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320" w:val="left"/>
          <w:tab w:leader="none" w:pos="5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866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spacing w:after="0"/>
              <w:rPr>
                <w:sz w:val="24"/>
                <w:szCs w:val="24"/>
                <w:color w:val="auto"/>
              </w:rPr>
            </w:pP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40"/>
          </w:cols>
          <w:pgMar w:left="240" w:top="122" w:right="27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July 23, 2010, there were 113,760,415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52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1044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044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June 30, 2010 and December 31, 2009</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7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 and six months ended June 30, 2010 and 2009 and the period from inception</w:t>
              </w:r>
            </w:hyperlink>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6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(February 14, 1991) to June 30, 2010</w:t>
              </w:r>
            </w:hyperlink>
          </w:p>
        </w:tc>
        <w:tc>
          <w:tcPr>
            <w:tcW w:w="7540" w:type="dxa"/>
            <w:vAlign w:val="bottom"/>
            <w:gridSpan w:val="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0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Six months ended June 30, 2010 and 2009 and the period from inception</w:t>
              </w:r>
            </w:hyperlink>
          </w:p>
        </w:tc>
        <w:tc>
          <w:tcPr>
            <w:tcW w:w="1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6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(February 14, 1991) to June 30, 2010</w:t>
              </w:r>
            </w:hyperlink>
          </w:p>
        </w:tc>
        <w:tc>
          <w:tcPr>
            <w:tcW w:w="7540" w:type="dxa"/>
            <w:vAlign w:val="bottom"/>
            <w:gridSpan w:val="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44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044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42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8100" w:type="dxa"/>
            <w:vAlign w:val="bottom"/>
            <w:gridSpan w:val="1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44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880" w:type="dxa"/>
            <w:vAlign w:val="bottom"/>
          </w:tcPr>
          <w:p>
            <w:pPr>
              <w:spacing w:after="0"/>
              <w:rPr>
                <w:sz w:val="17"/>
                <w:szCs w:val="17"/>
                <w:color w:val="auto"/>
              </w:rPr>
            </w:pP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4"/>
          </w:tcPr>
          <w:p>
            <w:pPr>
              <w:spacing w:after="0"/>
              <w:rPr>
                <w:sz w:val="17"/>
                <w:szCs w:val="17"/>
                <w:color w:val="auto"/>
              </w:rPr>
            </w:pPr>
          </w:p>
        </w:tc>
        <w:tc>
          <w:tcPr>
            <w:tcW w:w="7860" w:type="dxa"/>
            <w:vAlign w:val="bottom"/>
            <w:gridSpan w:val="11"/>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8840" w:type="dxa"/>
            <w:vAlign w:val="bottom"/>
            <w:gridSpan w:val="1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5520" w:type="dxa"/>
            <w:vAlign w:val="bottom"/>
            <w:gridSpan w:val="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44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3. Defaults Upon Senior Securities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4. (Removed and Reserved)</w:t>
              </w:r>
            </w:hyperlink>
          </w:p>
        </w:tc>
        <w:tc>
          <w:tcPr>
            <w:tcW w:w="480" w:type="dxa"/>
            <w:vAlign w:val="bottom"/>
            <w:tcBorders>
              <w:top w:val="single" w:sz="8" w:color="0000EE"/>
            </w:tcBorders>
            <w:gridSpan w:val="2"/>
          </w:tcPr>
          <w:p>
            <w:pPr>
              <w:spacing w:after="0"/>
              <w:rPr>
                <w:sz w:val="17"/>
                <w:szCs w:val="17"/>
                <w:color w:val="auto"/>
              </w:rPr>
            </w:pPr>
          </w:p>
        </w:tc>
        <w:tc>
          <w:tcPr>
            <w:tcW w:w="7560" w:type="dxa"/>
            <w:vAlign w:val="bottom"/>
            <w:gridSpan w:val="10"/>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5. Other Information</w:t>
              </w:r>
            </w:hyperlink>
          </w:p>
        </w:tc>
        <w:tc>
          <w:tcPr>
            <w:tcW w:w="8560" w:type="dxa"/>
            <w:vAlign w:val="bottom"/>
            <w:gridSpan w:val="1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4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SIGNATURES</w:t>
              </w:r>
            </w:hyperlink>
          </w:p>
        </w:tc>
        <w:tc>
          <w:tcPr>
            <w:tcW w:w="9280" w:type="dxa"/>
            <w:vAlign w:val="bottom"/>
            <w:gridSpan w:val="18"/>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EX-3.3</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AFREZZA</w:t>
      </w:r>
      <w:r>
        <w:rPr>
          <w:rFonts w:ascii="Arial" w:cs="Arial" w:eastAsia="Arial" w:hAnsi="Arial"/>
          <w:sz w:val="15"/>
          <w:szCs w:val="15"/>
          <w:color w:val="auto"/>
        </w:rPr>
        <w:t>TM</w:t>
      </w:r>
      <w:r>
        <w:rPr>
          <w:rFonts w:ascii="Arial" w:cs="Arial" w:eastAsia="Arial" w:hAnsi="Arial"/>
          <w:sz w:val="18"/>
          <w:szCs w:val="18"/>
          <w:color w:val="auto"/>
        </w:rPr>
        <w:t xml:space="preserve"> and Technosphere</w:t>
      </w:r>
      <w:r>
        <w:rPr>
          <w:rFonts w:ascii="Arial" w:cs="Arial" w:eastAsia="Arial" w:hAnsi="Arial"/>
          <w:sz w:val="15"/>
          <w:szCs w:val="15"/>
          <w:color w:val="auto"/>
        </w:rPr>
        <w:t>®</w:t>
      </w:r>
      <w:r>
        <w:rPr>
          <w:rFonts w:ascii="Arial" w:cs="Arial" w:eastAsia="Arial" w:hAnsi="Arial"/>
          <w:sz w:val="18"/>
          <w:szCs w:val="18"/>
          <w:color w:val="auto"/>
        </w:rPr>
        <w:t xml:space="preserve"> are our trademarks in the United States. We have also applied for and have registered company trademarks in other jurisdictions, including Europe and Japan.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1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2"/>
              </w:rPr>
              <w:t>June 30, 2010</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28,358</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30,019</w:t>
            </w: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2,414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research and development credit exchange — current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6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33,223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37,666</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204,398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208,229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239,557</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247,397</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2,365</w:t>
            </w:r>
          </w:p>
        </w:tc>
        <w:tc>
          <w:tcPr>
            <w:tcW w:w="320" w:type="dxa"/>
            <w:vAlign w:val="bottom"/>
          </w:tcPr>
          <w:p>
            <w:pPr>
              <w:spacing w:after="0"/>
              <w:rPr>
                <w:sz w:val="18"/>
                <w:szCs w:val="18"/>
                <w:color w:val="auto"/>
              </w:rPr>
            </w:pP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22,334</w:t>
            </w:r>
          </w:p>
        </w:tc>
        <w:tc>
          <w:tcPr>
            <w:tcW w:w="0" w:type="dxa"/>
            <w:vAlign w:val="bottom"/>
          </w:tcPr>
          <w:p>
            <w:pPr>
              <w:spacing w:after="0"/>
              <w:rPr>
                <w:sz w:val="1"/>
                <w:szCs w:val="1"/>
                <w:color w:val="auto"/>
              </w:rPr>
            </w:pPr>
          </w:p>
        </w:tc>
      </w:tr>
      <w:tr>
        <w:trPr>
          <w:trHeight w:val="223"/>
        </w:trPr>
        <w:tc>
          <w:tcPr>
            <w:tcW w:w="86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113,030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112,765</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377,219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306,618</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w w:val="95"/>
              </w:rPr>
              <w:t>Undesignated preferred stock, $0.01 par value — 10,000,000 shares authorized; no shares issued or outstanding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at June 30, 2010 and December 31, 2009</w:t>
            </w:r>
          </w:p>
        </w:tc>
        <w:tc>
          <w:tcPr>
            <w:tcW w:w="10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 200,000,000 and 150,000,000 shares authorized at June 30, 2010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December 31, 2009, respectively; 113,674,221 and 113,025,291 shares issued and outstanding at June 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 and December 31, 2009, respectively</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1,552,335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1,544,112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(1,691,133)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(1,604,182)</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(137,662)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(59,221)</w:t>
            </w:r>
          </w:p>
        </w:tc>
        <w:tc>
          <w:tcPr>
            <w:tcW w:w="0" w:type="dxa"/>
            <w:vAlign w:val="bottom"/>
          </w:tcPr>
          <w:p>
            <w:pPr>
              <w:spacing w:after="0"/>
              <w:rPr>
                <w:sz w:val="1"/>
                <w:szCs w:val="1"/>
                <w:color w:val="auto"/>
              </w:rPr>
            </w:pPr>
          </w:p>
        </w:tc>
      </w:tr>
      <w:tr>
        <w:trPr>
          <w:trHeight w:val="223"/>
        </w:trPr>
        <w:tc>
          <w:tcPr>
            <w:tcW w:w="8620" w:type="dxa"/>
            <w:vAlign w:val="bottom"/>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239,557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7"/>
            <w:vMerge w:val="restart"/>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56,651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82,738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13,537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4"/>
              <w:spacing w:after="0"/>
              <w:rPr>
                <w:sz w:val="20"/>
                <w:szCs w:val="20"/>
                <w:color w:val="auto"/>
              </w:rPr>
            </w:pPr>
            <w:r>
              <w:rPr>
                <w:rFonts w:ascii="Arial" w:cs="Arial" w:eastAsia="Arial" w:hAnsi="Arial"/>
                <w:sz w:val="18"/>
                <w:szCs w:val="18"/>
                <w:color w:val="auto"/>
              </w:rPr>
              <w:t>21,306</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28,454</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320,595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111,192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1,702,213</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(37,263)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(53,386)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(77,864)</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(111,192)</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(2,523)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04"/>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(42,251)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(55,604)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5"/>
              </w:rPr>
              <w:t>(86,951)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(115,016)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(42,251)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(55,604)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5"/>
              </w:rPr>
              <w:t>(86,951)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(115,016)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7"/>
              </w:rPr>
              <w:t>Deemed dividend related to beneficial conversion feature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of convertible preferred stock</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(42,251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(55,604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(86,951</w:t>
            </w:r>
          </w:p>
        </w:tc>
        <w:tc>
          <w:tcPr>
            <w:tcW w:w="640" w:type="dxa"/>
            <w:vAlign w:val="bottom"/>
          </w:tcPr>
          <w:p>
            <w:pPr>
              <w:jc w:val="right"/>
              <w:ind w:right="504"/>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(115,016</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(1,714,345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Net loss per share applicable to common stockholders —</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share applicable to common stockholders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113,116</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102,322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64"/>
              <w:spacing w:after="0"/>
              <w:rPr>
                <w:sz w:val="20"/>
                <w:szCs w:val="20"/>
                <w:color w:val="auto"/>
              </w:rPr>
            </w:pPr>
            <w:r>
              <w:rPr>
                <w:rFonts w:ascii="Arial" w:cs="Arial" w:eastAsia="Arial" w:hAnsi="Arial"/>
                <w:sz w:val="18"/>
                <w:szCs w:val="18"/>
                <w:color w:val="auto"/>
                <w:w w:val="89"/>
              </w:rPr>
              <w:t>113,105</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102,177</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760" w:type="dxa"/>
            <w:vAlign w:val="bottom"/>
            <w:gridSpan w:val="5"/>
            <w:vMerge w:val="restart"/>
          </w:tcPr>
          <w:p>
            <w:pPr>
              <w:jc w:val="right"/>
              <w:ind w:right="116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760" w:type="dxa"/>
            <w:vAlign w:val="bottom"/>
            <w:gridSpan w:val="5"/>
            <w:vMerge w:val="continue"/>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3"/>
          </w:tcPr>
          <w:p>
            <w:pPr>
              <w:jc w:val="right"/>
              <w:ind w:right="1460"/>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(86,951)</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 (115,016)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7"/>
              </w:rPr>
              <w:t>$ (1,691,133)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8,607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9,233</w:t>
            </w:r>
          </w:p>
        </w:tc>
        <w:tc>
          <w:tcPr>
            <w:tcW w:w="6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8,005</w:t>
            </w:r>
          </w:p>
        </w:tc>
        <w:tc>
          <w:tcPr>
            <w:tcW w:w="20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12,889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abandonment/disposal or impairment of property and equipment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discounts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Goodwill impairment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available-for-sale securities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600"/>
              <w:spacing w:after="0"/>
              <w:rPr>
                <w:sz w:val="20"/>
                <w:szCs w:val="20"/>
                <w:color w:val="auto"/>
              </w:rPr>
            </w:pPr>
            <w:r>
              <w:rPr>
                <w:rFonts w:ascii="Arial" w:cs="Arial" w:eastAsia="Arial" w:hAnsi="Arial"/>
                <w:sz w:val="18"/>
                <w:szCs w:val="18"/>
                <w:color w:val="auto"/>
              </w:rPr>
              <w:t>State research and development credit exchange receivable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1,066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1,150</w:t>
            </w:r>
          </w:p>
        </w:tc>
        <w:tc>
          <w:tcPr>
            <w:tcW w:w="6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(3,810)</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(3,259)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(3,313)</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(11,453)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(74,834)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(105,022)</w:t>
            </w:r>
          </w:p>
        </w:tc>
        <w:tc>
          <w:tcPr>
            <w:tcW w:w="6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(1,278,744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(2,000)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of marketable securities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17,800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(4,052)</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(12,548)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Net cash (used in) provided by investing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6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1,527</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668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Borrowings on notes payable to related party</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77,000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6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(1,302)</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77,225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105,450</w:t>
            </w:r>
          </w:p>
        </w:tc>
        <w:tc>
          <w:tcPr>
            <w:tcW w:w="6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660" w:type="dxa"/>
            <w:vAlign w:val="bottom"/>
            <w:gridSpan w:val="2"/>
          </w:tcPr>
          <w:p>
            <w:pPr>
              <w:jc w:val="right"/>
              <w:ind w:right="181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30,019</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27,648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28,358</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31,328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6,131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Non-cash construction in progress and property and equipment</w:t>
            </w:r>
          </w:p>
        </w:tc>
        <w:tc>
          <w:tcPr>
            <w:tcW w:w="1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2,814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2009 are included in the Company’s annual report on Form 10-K for the fiscal year ended December 31, 2009 filed with the SEC on March 16, 2010 (the “Annual Report”).</w:t>
      </w:r>
    </w:p>
    <w:p>
      <w:pPr>
        <w:spacing w:after="0" w:line="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2010 may not be indicative of the results that may be expected for the full year.</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Business — </w:t>
      </w:r>
      <w:r>
        <w:rPr>
          <w:rFonts w:ascii="Arial" w:cs="Arial" w:eastAsia="Arial" w:hAnsi="Arial"/>
          <w:sz w:val="17"/>
          <w:szCs w:val="17"/>
          <w:color w:val="auto"/>
        </w:rPr>
        <w:t>The Company is a biopharmaceutical company focused on the discovery, development and commercialization of therapeutic products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diseases such as diabetes and cancer. The Company’s lead product candidate, AFREZZA, is an ultra rapid-acting insulin. In March 2009, the Company submitted a new drug application (“NDA”) to the U.S. Food and Drug Administration (“FDA”) requesting approval of AFREZZA for the treatment of adults with type 1 or type 2 diabetes for the control of hyperglycemia. In March 2010, the Company received a Complete Response letter regarding this NDA from the FDA, requesting additional information. In July 2010, the FDA accepted the Company’s reply to the Complete Response letter and set a target action date of December 29, 2010. AFREZZA consists of the Company’s proprietary Technosphere particles onto which insulin molecules are loaded. These loaded particles are then aerosolized and inhaled deep into the lung using the Company’s AFREZZA inhaler.</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Since its inception through June 30, 2010 the Company has reported accumulated net losses of $1.7 billion and cumulative negative cash flow from operations of $1.3 billion. It is costly to develop therapeutic products and conduct clinical trials for these products. At June 30, 2010 the Company’s capital resources consisted of cash, cash equivalents, and marketable securities of $30.8 million (including a $2.0 million certificate of deposit held as collateral for foreign exchange hedging instruments) and $108.0 million of available borrowings under the loan agreement with an entity controlled by the Company’s principal stockholder (see Note 12). Based upon the Company’s current expectations, management believes the Company’s existing capital resources will enable it to continue planned operations through the first quarter of 2011. However, the Company cannot provide assurances that its plans will not change or that changed circumstances will not result in the depletion of its capital resources more rapidly than it currently anticipates. On April 30, 2010, the Company filed a shelf registration statement with the SEC providing for the sale of up to $200 million of equity and debt securities from time to time in one or more transactions. This registration statement was declared effective by the SEC on May 11, 2010. The shelf registration is intended to provide the Company with the flexibility to take advantage of potential financing opportunities when and if deemed appropriate by management of the Company. If the Company is not successful in raising additional capital through equity or debt financing or entering a business collaboration, the Company may be required to reduce expenses through the delay, reduction or curtailment of its projects, including AFREZZA development activities, or further reduction of costs for facilities and administration, and there will be substantial doubt about its ability to continue as a going concern.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Fair Value of Financial Instruments — </w:t>
      </w:r>
      <w:r>
        <w:rPr>
          <w:rFonts w:ascii="Arial" w:cs="Arial" w:eastAsia="Arial" w:hAnsi="Arial"/>
          <w:sz w:val="17"/>
          <w:szCs w:val="17"/>
          <w:color w:val="auto"/>
        </w:rPr>
        <w:t>The carrying amounts of financial instruments, which include cash equivalents, marketable securities and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approximate their fair values due to their relatively short maturities. The fair value of the note payable to an entity controlled by the Company’s principal shareholder cannot be reasonably estimated as the Company would not be able to obtain a similar credit arrangement in the current economic environment. The senior convertible notes had a carrying value of $113.0 million and $112.8 million as of June 30, 2010 and December 31, 2009, respectively. The senior convertible notes had an estimated fair value of $67.3 million as of June 30, 2010, calculated based on quoted prices in an inactive market (Level 2 in the fair value hierarchy) and an estimated fair value of $80.3 million as of December 31, 2009, calculated based on quoted prices in an active market (Level 1 in the fair value hierarchy). The Company had a transfer of $67.3 million from Level 1 to Level 2 in the fair value hierarchy as its senior convertible notes were previously being valued based on quoted prices in an active market. The fair value of foreign exchange hedging contracts equals the carrying value at each balance sheet date. The fair value of these contracts are determined using methodologies based on market observable inputs (Level 2 in the fair value hierarchy), including foreign currency spot rates. The Company recorded an unrealized loss on the foreign exchange hedging contracts of $1.8 million at June 30, 2010 and $0.3 million at December 31, 2009.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Subsequent Events — </w:t>
      </w:r>
      <w:r>
        <w:rPr>
          <w:rFonts w:ascii="Arial" w:cs="Arial" w:eastAsia="Arial" w:hAnsi="Arial"/>
          <w:sz w:val="18"/>
          <w:szCs w:val="18"/>
          <w:color w:val="auto"/>
        </w:rPr>
        <w:t>The Company has evaluated subsequent events through the date the financial statements were issued.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Recently Issued Accounting Standards — </w:t>
      </w:r>
      <w:r>
        <w:rPr>
          <w:rFonts w:ascii="Arial" w:cs="Arial" w:eastAsia="Arial" w:hAnsi="Arial"/>
          <w:sz w:val="18"/>
          <w:szCs w:val="18"/>
          <w:color w:val="auto"/>
        </w:rPr>
        <w:t>On April 29, 2010, the Financial Accounting Standards Board (“FASB”) issued Accounting Standards Update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(“ASU”) No. 2010-17, </w:t>
      </w:r>
      <w:r>
        <w:rPr>
          <w:rFonts w:ascii="Arial" w:cs="Arial" w:eastAsia="Arial" w:hAnsi="Arial"/>
          <w:sz w:val="18"/>
          <w:szCs w:val="18"/>
          <w:i w:val="1"/>
          <w:iCs w:val="1"/>
          <w:color w:val="auto"/>
        </w:rPr>
        <w:t>Milestone Method of Revenue Recognition,</w:t>
      </w:r>
      <w:r>
        <w:rPr>
          <w:rFonts w:ascii="Arial" w:cs="Arial" w:eastAsia="Arial" w:hAnsi="Arial"/>
          <w:sz w:val="18"/>
          <w:szCs w:val="18"/>
          <w:color w:val="auto"/>
        </w:rPr>
        <w:t xml:space="preserve"> which establishes a revenue recognition model for contingent consideration that is payable upon the achievement of an uncertain future event, referred to as a milestone, which requires an entity to record the milestone payment in its entirety in the period received if the milestone meets all the necessary criteria to be considered substantive. The scope of the ASU is limited to research and development arrangements. The ASU is effective for fiscal years beginning on or after June 15, 2010, and interim periods within those years. Early application is permitted. Adoption of this guidance is expected to have a significant effect on how certain future revenue arrangements are reflected in the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5"/>
              </w:rPr>
              <w:t>Gross</w:t>
            </w: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5"/>
              </w:rPr>
              <w:t>Gross</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Cost Basis</w:t>
            </w:r>
          </w:p>
        </w:tc>
        <w:tc>
          <w:tcPr>
            <w:tcW w:w="36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Loss</w:t>
            </w:r>
          </w:p>
        </w:tc>
        <w:tc>
          <w:tcPr>
            <w:tcW w:w="10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Basis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Loss</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2,414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2,414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2,761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68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2,475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available-for-sale securities at June 30, 2010 and December 31, 2009 consist principally of a $2.0 million certificate of deposit with a maturity greater than 90 days, held as collateral for foreign exchange hedging instruments, and a common stock investment. The certificate of deposit is stated at fair value based on quoted prices for similar instruments in an active market (Level 2 in the fair value hierarchy) and the common stock investment is stated at fair value based on quoted prices in an active market (Level 1 in the fair value hierarchy). The Company’s policy is to maintain a highly liquid short-term investment portfolio. The common stock investment was considered to be other than temporarily impaired as of June 30, 2010. As a result, the Company recognized realized losses of $0.3 million and reduced the cost basis to $2.4 million for its available-for-sale securities. Gross realized gains and losses for available-for-sale securities for the three and six months ended June 30, 2009 were insignificant and recorded as other income (expense). Gross unrealized gains and losses are included in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13,362</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2,714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893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19,824</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640" w:type="dxa"/>
            <w:vAlign w:val="bottom"/>
            <w:vMerge w:val="restart"/>
          </w:tcPr>
          <w:p>
            <w:pPr>
              <w:jc w:val="right"/>
              <w:ind w:right="327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2010 and 2009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4,256</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7,053</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8,005</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$ 12,889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of June 30, 2010, there were $9.6 million and $17.0 million of unrecognized compensation costs related to options and restricted stock units, respectively, which are expected to be recognized over the remaining weighted average vesting period of 2.3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Accounting Standards Codification (“ASC”) 220-10-45 </w:t>
      </w:r>
      <w:r>
        <w:rPr>
          <w:rFonts w:ascii="Arial" w:cs="Arial" w:eastAsia="Arial" w:hAnsi="Arial"/>
          <w:sz w:val="16"/>
          <w:szCs w:val="16"/>
          <w:i w:val="1"/>
          <w:iCs w:val="1"/>
          <w:color w:val="auto"/>
        </w:rPr>
        <w:t>Comprehensive Income Other Presentation</w:t>
      </w:r>
      <w:r>
        <w:rPr>
          <w:rFonts w:ascii="Arial" w:cs="Arial" w:eastAsia="Arial" w:hAnsi="Arial"/>
          <w:sz w:val="16"/>
          <w:szCs w:val="16"/>
          <w:color w:val="auto"/>
        </w:rPr>
        <w:t xml:space="preserve"> requires reporting and displaying comprehensive income (loss) and its components, which, for the Company, includes net loss and unrealized gains and losses on investments and cumulative translation gains and losses. In accordance with this guidance, the accumulated balance of other comprehensive income (loss) is disclosed as a separate component of stockholders’ equity. For the three and six months ended June 30, 2010 and 2009, comprehensive loss consisted of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(42,251)</w:t>
            </w: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(55,604)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(86,951)</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investments</w:t>
            </w:r>
          </w:p>
        </w:tc>
        <w:tc>
          <w:tcPr>
            <w:tcW w:w="2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273</w:t>
            </w: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(476)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Cumulative translation (loss) gain</w:t>
            </w:r>
          </w:p>
        </w:tc>
        <w:tc>
          <w:tcPr>
            <w:tcW w:w="17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(41,981)</w:t>
            </w: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(56,077)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(86,671)</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(115,430)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Included in the unrealized gain on investments for the three and six months ended June 30, 2010 is a realized loss of $0.3 million due to the other than temporary impairment of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common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17,257,838 shares and 17,072,136 shares as of June 30, 2010 and 2009,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June 30, 2010, the estimated amount receivable under the program was $1.4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Useful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Buildings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39-40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54,966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113,320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74,044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15,999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278,399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(74,001)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204,398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six months ended June 30, 2010 and 2009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4,170</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4,590</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8,342</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8,980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May 2010, the Company’s stockholders approved an increase in its authorized shares of common stock from 150,000,000 to 200,000,000. As such, the Company is authorized to issue 200,000,000 shares of common stock, par value $0.01 per share, and 10,000,000 shares of undesignated preferred stock, par value $0.01 per share, issuable in one or more series designated by the Company’s board of directors. No other class of capital stock is authorized. As of June 30, 2010 and December 31, 2009, 113,674,221 and 113,025,291 shares of common stock, respectively, were issued and outstanding. No shares of preferred stock were issued and outstanding at June 30, 2010 or December 31, 2009.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on August 5, 2010. During the six months ended June 30, 2010, no warrants were exercised. As of June 30, 2010, warrants to purchase 2,882,873 shares of common stock remained outstanding.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i w:val="1"/>
          <w:iCs w:val="1"/>
          <w:color w:val="auto"/>
        </w:rPr>
        <w:t xml:space="preserve">Supply Commitments — </w:t>
      </w:r>
      <w:r>
        <w:rPr>
          <w:rFonts w:ascii="Arial" w:cs="Arial" w:eastAsia="Arial" w:hAnsi="Arial"/>
          <w:sz w:val="18"/>
          <w:szCs w:val="18"/>
          <w:color w:val="auto"/>
        </w:rPr>
        <w:t>As of June 30, 2010, the Company had a binding annual commitment for insulin purchases with Organon N.V. (“Organon”)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aggregating approximately $82.0 million over the period from 2010 through 2012. If the Company terminates the supply agreement following failure to obtain or maintain regulatory approval of AFREZZA or either party terminates the agreement following the parties’ inability to agree to changes to product specifications mandated after regulatory approval, the Company will be required to pay Organon a specified termination fee if Organon is unable to sell certain quantities of insulin to other parties.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Guarantees and Indemnifications — </w:t>
      </w:r>
      <w:r>
        <w:rPr>
          <w:rFonts w:ascii="Arial" w:cs="Arial" w:eastAsia="Arial" w:hAnsi="Arial"/>
          <w:sz w:val="17"/>
          <w:szCs w:val="17"/>
          <w:color w:val="auto"/>
        </w:rPr>
        <w:t>In the ordinary course of its business, the Company makes certain indemnities, commitments and guarantees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Litigation — </w:t>
      </w:r>
      <w:r>
        <w:rPr>
          <w:rFonts w:ascii="Arial" w:cs="Arial" w:eastAsia="Arial" w:hAnsi="Arial"/>
          <w:sz w:val="18"/>
          <w:szCs w:val="18"/>
          <w:color w:val="auto"/>
        </w:rPr>
        <w:t>From time to time, the Company becomes involved in various legal proceedings and other matters. In accordance with general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for recording contingencies, the Company records a provision for a liability related to a legal proceeding when it is both probable that a liability has been incurred and the amount of the loss can be reasonably estimated. The Company does not believe that any liability from any reasonably foreseeable disposition of such claims and litigation, individually or in the aggregate, would have a material adverse effect on its consolidated financial position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loan arrangement</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In October 2007, the Company entered into a $350.0 million loan arrangement with its principal stockholder. Under the arrangement, the Company can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Interest will accrue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 arrears. Principal repayment is due on December 31, 2011. At any time after January 1, 2010, the principal stockholder can require the Company to prepay up to $200.0 million in advances that have been outstanding for at least 12 months. If the principal stockholder exercises this right, the Company will have until the earlier of 180 days after the principal stockholder provides written notice or December 31, 2011 to prepay such advances. The principal stockholder has agreed not to exercise his prepayment right if such prepayment would require the use of existing working capital resources to repay the loan. In the event of a default, all unpaid principal and interest either becomes immediately due and payable or may be accelerated at the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principal amount outstanding under the arrangement was $242.0 million and $165.0 million at June 30, 2010 and December 31, 2009, respectively. As of June 30, 2010, the Company had accrued interest of $2.5 million related to the amount outstanding and had $108.0 million of available borrowings under the arrangement.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Senior convertible notes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December 12, 2006, the Company completed an offering of $115.0 million aggregate principal amount of 3.75% Senior Convertible Notes due 2013 (the “Notes”).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of both June 30, 2010 and December 31, 2009, the Company had accrued interest of $0.2 million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 The Company incurred approximately $3.7 million in issuance costs which are recorded as an offset to the Notes in the accompanying condensed consolidated balance sheets. These costs are being amortized to interest expense using the effective interest method over the term of the Notes.</w:t>
      </w:r>
    </w:p>
    <w:p>
      <w:pPr>
        <w:spacing w:after="0" w:line="61"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Amortization of debt issuance expense in connection with the Notes during the three and six months ended June 30, 2010 and 2009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9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6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As discussed in Note 14 to the financial statements in the Company’s Annual Report, management of the Company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ASC 740-10-25 </w:t>
      </w:r>
      <w:r>
        <w:rPr>
          <w:rFonts w:ascii="Arial" w:cs="Arial" w:eastAsia="Arial" w:hAnsi="Arial"/>
          <w:sz w:val="17"/>
          <w:szCs w:val="17"/>
          <w:i w:val="1"/>
          <w:iCs w:val="1"/>
          <w:color w:val="auto"/>
        </w:rPr>
        <w:t>Income Taxes Recognition</w:t>
      </w:r>
      <w:r>
        <w:rPr>
          <w:rFonts w:ascii="Arial" w:cs="Arial" w:eastAsia="Arial" w:hAnsi="Arial"/>
          <w:sz w:val="17"/>
          <w:szCs w:val="17"/>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2009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and cancer. Our lead product candidate, AFREZZA (insulin human [rDNA origin]) Inhalation Powder, is an ultra rapid-acting insulin that has completed Phase 3 clinical trials that evaluated its safety and efficacy in the treatment of diabetes. We submitted an NDA to the FDA in March 2009. In March 2010, we received a Complete Response letter regarding this NDA from the FDA, seeking additional information about AFREZZA. In July 2010, the FDA accepted our reply to the Complete Response letter and set a target action date of December 29, 2010.</w:t>
      </w:r>
    </w:p>
    <w:p>
      <w:pPr>
        <w:spacing w:after="0" w:line="8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June 30, 2010, we have incurred a cumulative net loss of $1.7 billion and a stockholders’ deficit of $137.7 million. To date, we have not generated any product revenues and have funded our operations primarily through the sale of equity securities, convertible debt securities and borrowings under our related party loan. As discussed below in “Liquidity and Capital Resources,” if we are unable to obtain additional funding in the future, there will be substantial doubt about our ability to continue as a going concern.</w:t>
      </w:r>
    </w:p>
    <w:p>
      <w:pPr>
        <w:spacing w:after="0" w:line="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AFREZZA and recently initiated partnership discussions with a number of pharmaceutical companies regarding our cancer immunotherapy and cancer drug programs. There can be no assurance that any such collaboration will be available to us on a timely basis or on acceptable terms, if at all.</w:t>
      </w:r>
    </w:p>
    <w:p>
      <w:pPr>
        <w:spacing w:after="0" w:line="5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39"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AFREZZA and new inhalation systems for the treatment of diabetes;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regulatory approval to sell AFREZZA in the United States and other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sales and marketing collaborations for AFREZZA;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development collaborations for our cancer immunotherapy and cancer drug programs;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There were no purchases of insulin included in research and development expenses for the quarter ended June 30, 2010.</w:t>
      </w:r>
    </w:p>
    <w:p>
      <w:pPr>
        <w:spacing w:after="0" w:line="70"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8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manufacturing process and discussions with the FDA regarding its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2010 and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During the three and six months ended June 30, 2010 we recognized revenue of $93,000 under a license agreement, and we did not recognize any revenue during the same periods in 2009. We do not anticipate sales of any product prior to regulatory approval and commercialization of AFREZZA.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provide a comparison of the research and development expense categories for the three and six months ended June 30, 2010 and 2009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10,619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Manufacturing</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12,849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19,890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(7,041)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26,160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39,849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(13,689</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340" w:type="dxa"/>
            <w:vAlign w:val="bottom"/>
            <w:vMerge w:val="restart"/>
          </w:tcPr>
          <w:p>
            <w:pPr>
              <w:jc w:val="right"/>
              <w:ind w:right="59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13,826</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27,377</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(13,551)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Manufacturing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30,835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37,355</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(6,520)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10,281</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(433)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(83)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56,651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82,738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(26,087</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research and development expenses for the three and six months ended June 30, 2010, as compared to the three and six months ended</w:t>
      </w:r>
    </w:p>
    <w:p>
      <w:pPr>
        <w:spacing w:after="0" w:line="4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June 30, 2009, was primarily due to decreased costs associated with the clinical development of AFREZZA compared to the first and second quarter in 2009 when we prepared for the submission of the NDA, decreased manufacturing costs due to the timing of raw material purchases and decreased research expenses due to reduced salary-related and other research costs as a result of a reduction in force that we implemented in April 2009. We anticipate that our research and development expenses will decrease slightly in 2010 compared to the prior year as reduced product development costs will be mostly offset by increased raw material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provide a comparison of the general and administrative expense categories for the three and six months ended June 30, 2010 and 2009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auto"/>
                <w:w w:val="91"/>
              </w:rPr>
              <w:t xml:space="preserve">% </w:t>
            </w:r>
            <w:r>
              <w:rPr>
                <w:rFonts w:ascii="Arial" w:cs="Arial" w:eastAsia="Arial" w:hAnsi="Arial"/>
                <w:sz w:val="14"/>
                <w:szCs w:val="14"/>
                <w:b w:val="1"/>
                <w:bCs w:val="1"/>
                <w:color w:val="auto"/>
                <w:w w:val="91"/>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11,065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1,699</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2,472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(773)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11,196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13,537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Six months ended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auto"/>
                <w:w w:val="91"/>
              </w:rPr>
              <w:t xml:space="preserve">% </w:t>
            </w:r>
            <w:r>
              <w:rPr>
                <w:rFonts w:ascii="Arial" w:cs="Arial" w:eastAsia="Arial" w:hAnsi="Arial"/>
                <w:sz w:val="14"/>
                <w:szCs w:val="14"/>
                <w:b w:val="1"/>
                <w:bCs w:val="1"/>
                <w:color w:val="auto"/>
                <w:w w:val="91"/>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18,090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23,640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3,216</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4,814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(1,598)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21,306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28,454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for the three and six months ended June 30, 2010 decreased as compared to the same periods in the prior year primarily due to decreased salary related costs resulting from the April 2009 reduction in force as well as the non-recurrence of costs related to the Pfizer transaction during the first half of 2009. Overall, we expect general and administrative expenses to decrease in 2010 as a result of the April 2009 reduction in force and decreased professional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income for the three and six months ended June 30, 2010 decreased by $24,000 and $52,000, respectively, as compared to the same periods in the prior year primarily due to lower market interest rates.</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Interest expense for the three and six months ended June 30, 2010 increased by $1.2 million and $2.8 million, respectively, as compared to the same period in the prior year primarily due to the interest expense related to the greater amounts outstanding under the borrowing arrangement with an entity controlled by our principal stockholder (See Note 12 — Related-party loan arrangement, of the Notes to the accompanying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have funded our operations primarily through the sale of equity securities, convertible debt securities and borrowings under our related party note.</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In October 2007, we entered into a loan arrangement with our principal stockholder allowing us to borrow up to a total of $350.0 million.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will accrue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 arrears. Principal repayment is due on December 31, 2011. At any time after January 1, 2010, the lender can require us to prepay up to $200.0 million in advances that have been outstanding for at least 12 months. If the lender exercises this right, we will have until the earlier of 180 days after the lender provides written notice or December 31, 2011 to prepay such advances. The principal stockholder has agreed not to exercise his prepayment right if such prepayment would require the use of existing working capital resources to repay the loan.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our common stock. As of June 30, 2010, the amount borrowed and outstanding under the arrangement was $242.0 million.</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six months ended June 30, 2010, we used $74.8 million of cash for our operations compared to using $105.0 million for our operations in the six months ended June 30, 2009. We had a net loss of $87.0 million for the six months ended June 30, 2010, of which $17.0 million consisted of non-cash charges such as depreciation and amortization, and stock-based compensation. We expect our negative operating cash flow to continue at least until we obtain regulatory approval and achieve commercialization of AFREZZA.</w:t>
      </w:r>
    </w:p>
    <w:p>
      <w:pPr>
        <w:spacing w:after="0" w:line="7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used $4.1 million of cash for investing activities during the six months ended June 30, 2010, compared to $3.3 million of cash provided by investing activities for the six months ended June 30, 2009. For the six months ended June 30, 2010 and 2009, $4.1 million and $12.5 million, respectively, were used to purchase machinery and equipment to expand our manufacturing operations and our quality systems that support clinical trials for AFREZZA.</w:t>
      </w:r>
    </w:p>
    <w:p>
      <w:pPr>
        <w:spacing w:after="0" w:line="3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financing activities generated $77.2 million of cash for the six months ended June 30, 2010, compared to $105.5 million for the same period in 2009. For the six months ended June 30, 2010, cash from financing activities was primarily from the related party borrowings, as well as the exercise of stock options.</w:t>
      </w:r>
    </w:p>
    <w:p>
      <w:pPr>
        <w:spacing w:after="0" w:line="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As of June 30, 2010, we had $30.8 million in cash, cash equivalents and marketable securities (including a $2.0 million certificate of deposit held as collateral for foreign exchange hedging instruments). Although we believe our existing cash resources, including the $108.0 million remaining available under our loan arrangement with an entity controlled by our principal stockholder, will be sufficient to fund our anticipated cash requirements through the first quarter of 2011,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and/or debt securities, the entry into a strategic business collaboration with a pharmaceutical or biotechnology company or the establishment of other funding facilities, in order to continue the development and commercialization of AFREZZA and other product candidates and to support our other ongoing activities. On</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April 30, 2010, we filed a shelf registration statement with the SEC providing for the sale of up to $200 million of equity and debt securities from time to time in one or more transactions. This registration statement was declared effective by the SEC on May 11, 2010. However, we cannot provide assurances that we will be able to raise capital on favorable terms, if at all.</w:t>
      </w:r>
    </w:p>
    <w:p>
      <w:pPr>
        <w:spacing w:after="0" w:line="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intend to use our capital resources to continue the development and commercialization of AFREZZA, if approved, and to develop additional applications for our proprietary Technosphere platform technology. In addition, portions of our capital resources will be devoted to expanding our other product development programs for the treatment of different types of cancers. We are expending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portion of our capital to scale up our manufacturing capabilities in our Danbury facilities. We also intend to use our capital resources for general corporate purposes, which may include in-licensing or acquiring additional technologies.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On April 30, 2010, we filed a shelf registration statement with the SEC providing for the sale by us of up to $200 million of our equity and debt securities from time to time in one or more transactions. This registration statement was declared effective by the SEC on May 11, 2010. The shelf registration is intended to provide us with the flexibility to take advantage of potential financing opportunities when and if deemed appropriate by our management.</w:t>
      </w:r>
    </w:p>
    <w:p>
      <w:pPr>
        <w:spacing w:after="0" w:line="6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However, we cannot provide assurances that our plans will not change or that changed circumstances will not result in the depletion of our capital resources more rapidly than we currently anticipate. If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be substantial doubt about our ability to continue as a going concern.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2010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only material change to our contractual obligations disclosed in Item 7 of our Annual Report was the additional borrowing of $77.0 million from an entity controlled by our principal stockholder during the six months ended June 30, 2010. (See Note 12 — Related-party loan arrangement of the Notes to the accompanying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April 29, 2010, the FASB issued ASU No. 2010-17, </w:t>
      </w:r>
      <w:r>
        <w:rPr>
          <w:rFonts w:ascii="Arial" w:cs="Arial" w:eastAsia="Arial" w:hAnsi="Arial"/>
          <w:sz w:val="18"/>
          <w:szCs w:val="18"/>
          <w:i w:val="1"/>
          <w:iCs w:val="1"/>
          <w:color w:val="auto"/>
        </w:rPr>
        <w:t>Milestone Method of Revenue Recognition,</w:t>
      </w:r>
      <w:r>
        <w:rPr>
          <w:rFonts w:ascii="Arial" w:cs="Arial" w:eastAsia="Arial" w:hAnsi="Arial"/>
          <w:sz w:val="18"/>
          <w:szCs w:val="18"/>
          <w:color w:val="auto"/>
        </w:rPr>
        <w:t xml:space="preserve"> which establishes a revenue recognition model for contingent consideration that is payable upon the achievement of an uncertain future event, referred to as a milestone, which requires an entity to record the milestone payment in its entirety in the period received if the milestone meets all the necessary criteria to be considered substantive. The scope of the ASU is limited to research and development arrangements. The ASU is effective for fiscal years beginning on or after June 15, 2010, and interim periods within those years. Early application is permitted. Adoption of this guidance is expected to have a significant effect on how certain future revenue arrangements are reflected in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exposed to market risk related to changes in interest rates impacting our short-term investment portfolio as well as the interest rate on our credit facility with an entity controlled by our principal stockholder. The interest rate on our credit facility with an entity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controlled by our principal stockholder is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plus 3% per annum. Our current policy requires us to maintain a highly liquid short-term investment portfolio consisting mainly of U.S. money market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investment-grade corporate, government and municipal debt. None of these investments is entered into for trading purposes. Our cash is deposited in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invested through highly rated financial institutions in North America. Our short-term investments at June 30, 2010 are comprised mainly of a 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 and a common stock investment. We have entered into a foreign exchange hedging transaction as part of our risk management program. We continue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utilize our $350.0 million credit facility to fund operations. As of June 30, 2010, the amount borrowed and outstanding under the credit facility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$242.0 million. The interest rate is fixed at the time of the draw. If interest rates were to increase from levels at June 30, 2010 we could experience a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 of interest expense than assumed in our current operating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Rules 13a-15(e) and 15d-15(e) of the Exchange Act) as of June 30, 2010. Based on that evaluation, our chief executive officer and chief financial officer concluded that our disclosure controls and procedures were effective at the reasonable assurance level.</w:t>
      </w:r>
    </w:p>
    <w:p>
      <w:pPr>
        <w:spacing w:after="0" w:line="3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June 30, 2010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successful development and commercialization of our lead product candidate, AFREZZA, which is not yet approved, and our other product candidates, which are in early clinical or preclinical development.*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To date, we have not commercialized any product candidates. In March 2009, we submitted an NDA to the FDA requesting approval of AFREZZA for the treatment of adults with type 1 or type 2 diabetes for the control of hyperglycemia. In March 2010, we received a Complete Response letter regarding this NDA from the FDA. A Complete Response letter is issued by the FDA’s Center for Drug Evaluation and Research when the review of a submitted file is completed and questions remain that preclude the approval of the NDA in its current form. In July 2010, the FDA accepted our reply to the Complete Response letter and set a target action date of December 29, 2010. There can be no assurance that the FDA will find our proposed approach for addressing its questions acceptable. The FDA could also request that we conduct additional clinical trials to provide sufficient data for approval of the NDA. There can be no assurance that we will obtain approval of the NDA in a timely manner or at all.</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other product candidates are generally in early clinical or preclinical development. We anticipate that in the near term, our ability to generate revenues will depend solely on the successful development and commercialization of AFREZZA.</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expended significant time, money and effort in the development of our lead product candidate, AFREZZA, which has not yet received regulatory approval and which may not be approved by the FDA in a timely manner, or at all. 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AFREZZA,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5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never been profitable and, as of June 30, 2010, we had incurred a cumulative net loss of $1.7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6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June 30, 2010, we had a stockholders’ deficit of $137.7 million. Our ability to achieve and sustain profitability depends upon obtaining regulatory approvals for and successfully commercializing AFREZZA,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AFREZZA as our lead product candidate, we have begun to conduct clinical trials for additional product candidates. Our existing capital resources will not be sufficient to support the expense of fully commercializing AFREZZA or developing any of our product candidates.</w:t>
      </w:r>
    </w:p>
    <w:p>
      <w:pPr>
        <w:spacing w:after="0" w:line="7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Based upon our current expectations, we believe that our existing capital resources, including the loan arrangement with an entity controlled by our principal stockholder, will enable us to continue planned operations through the first quarter of 2011.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the entry into a strategic business collaboration, or the establishment of other funding facilities, in order to continue the development and commercialization of AFREZZA and other product candidates and to support our other ongoing activities. On April 30, 2010, we filed a shelf registration statement with the SEC providing for the sale by us of up to $200 million of our equity and debt securities from time to time in one or more transactions. This registration statement was declared effective by the SEC on May 11, 2010. The shelf registration is intended to provide us with the flexibility to take advantage of potential financing opportunities when and if deemed appropriate by our management. However, it may be difficult for us to raise additional capital through the sale of equity or debt securities. As of June 30, 2010, we had a stockholders’ deficit of $137.7 million which may affect our ability to raise additional capital. The amount of additional funds we need will depend on a number of factors, including:</w:t>
      </w:r>
    </w:p>
    <w:p>
      <w:pPr>
        <w:spacing w:after="0" w:line="75" w:lineRule="exact"/>
        <w:rPr>
          <w:sz w:val="20"/>
          <w:szCs w:val="20"/>
          <w:color w:val="auto"/>
        </w:rPr>
      </w:pPr>
    </w:p>
    <w:p>
      <w:pPr>
        <w:ind w:left="660" w:right="5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AFREZZA;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 and</w:t>
      </w:r>
    </w:p>
    <w:p>
      <w:pPr>
        <w:spacing w:after="0" w:line="130" w:lineRule="exact"/>
        <w:rPr>
          <w:rFonts w:ascii="Arial" w:cs="Arial" w:eastAsia="Arial" w:hAnsi="Arial"/>
          <w:sz w:val="18"/>
          <w:szCs w:val="18"/>
          <w:b w:val="1"/>
          <w:bCs w:val="1"/>
          <w:color w:val="auto"/>
        </w:rPr>
      </w:pPr>
    </w:p>
    <w:p>
      <w:pPr>
        <w:ind w:left="660" w:right="4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trials to demonstrate safety and efficacy if our current trials do not deliver results sufficient for FDA approval and commercialization.</w:t>
      </w:r>
    </w:p>
    <w:p>
      <w:pPr>
        <w:spacing w:after="0" w:line="6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have raised capital in the past primarily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credit facilities, licensing arrangements and/or asset sales on a timely basis, we may be required to reduce expenses through the delay, reduction or curtailment of our projects, including AFREZZA commercialization, or further reduction of costs for facilities and administration. Moreover, if we do not obtain such additional funds, there will be substantial doubt about our ability to continue as a going concern.</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Deteriorating global economic conditions may have an adverse impact on the loan facility with an entity controlled by our principal stockholder, which we currently cannot predict.</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widely reported, financial markets in the United States, Europe and Asia have been experiencing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an entity controlled by our principal stockholder. If we are unable to draw on this financial resource, our business and financial condition will be adversely affected.</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660" w:right="4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AFREZZA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To date we have not reached an agreement with any of these companies on a collaboration.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AFREZZA.</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93"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 may not yield successful results, and even if it does, we may still be unable to commercialize our product candidate.</w:t>
      </w:r>
    </w:p>
    <w:p>
      <w:pPr>
        <w:spacing w:after="0" w:line="6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73" w:lineRule="exact"/>
        <w:rPr>
          <w:sz w:val="20"/>
          <w:szCs w:val="20"/>
          <w:color w:val="auto"/>
        </w:rPr>
      </w:pPr>
    </w:p>
    <w:p>
      <w:pPr>
        <w:ind w:left="660" w:right="140" w:hanging="314"/>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63" w:lineRule="exact"/>
        <w:rPr>
          <w:sz w:val="20"/>
          <w:szCs w:val="20"/>
          <w:color w:val="auto"/>
        </w:rPr>
      </w:pPr>
    </w:p>
    <w:p>
      <w:pPr>
        <w:jc w:val="both"/>
        <w:ind w:right="40" w:firstLine="215"/>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transition successfully from a development company to a company that commercializes therapeutics, our business would suffer.*</w:t>
      </w:r>
    </w:p>
    <w:p>
      <w:pPr>
        <w:spacing w:after="0" w:line="14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require a well-structured plan to make the transition from the development stage to being a company with commercial operations. In order to implement our commercialization strategy, we will need to:</w:t>
      </w:r>
    </w:p>
    <w:p>
      <w:pPr>
        <w:spacing w:after="0" w:line="62"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align our management structure to accommodate the increasing complexity of our operations;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unable to accomplish these measures in a timely manner, we would be at considerable risk of failing to develop the capabilities necessary for commercial operations.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AFREZZA to be commercially viable, we need access to sufficient, reliable and affordable supplies of insulin, our AFREZZA inhaler, the related cartridges and other materials. We have a long-term agreement with N.V. Organon for the supply of insulin. In June 2009, we purchased from Pfizer, a portion of its inventory of bulk insulin and acquired an option to purchase the remainder of Pfizer’s insulin inventory, in whole or in part, at a specified price to the extent that Pfizer has not otherwise disposed of or used the retained insulin.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obtain FDKP, the precursor raw material for AFREZZA, from a major multinational chemical manufacturer. We have completed a successful validation campaign of FDKP at commercial scale. We can also utilize our in-house chemical manufacturing plant for supplemental capacity. We believe our contract manufacturer has the capacity to supply our current and future commercial requirements. We obtain our intended commercial AFREZZA inhaler and cartridges from a plastic molding company located in the United States.</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8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use our Danbury facility to formulate AFREZZA, fill plastic cartridges with AFREZZA and blister package the cartridges for use in our clinical trials. This facility has been fully qualified and undergone inspection by the FDA.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when we manufacture commercial material on a significantly larger production scale than the production scale for clinical trial materials, we are required by the FDA to establish that the results obtained from the clinical trials may reasonably be extrapolated to such commercial material. We have submitted documentation to the FDA to show correlation to the clinical-scale production materials but can provide no assurance that approval will be obtained.</w:t>
      </w:r>
    </w:p>
    <w:p>
      <w:pPr>
        <w:spacing w:after="0" w:line="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could be required to incur significant costs to comply with environmental laws and regulations in the future. Finally, current or future environmental laws and regulations may impair our research, development or production efforts.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During the construction of our expanded manufacturing facility, we completed the final stages of the soil cleanup plan in the third quarter of 2008, at a cost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$2.25 million. We have reached an agreement with the party responsible for their contribution to past clean-up costs and were reimbursed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$1.625 million in July 2010. The responsible party has agreed to pay for or indemnify us for any future costs and expenses directly related to the final 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environmental remediation. If we are unable to collect these future costs and expenses, if any, from the responsible party, our business and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may be harmed.</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products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we plan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117"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relative to existing treatment methods;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pricing and reimbursement relative to other treatment therapeutics and methods;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consumers for our products, our products might not be used or purchased, which would adversely affect our revenues.</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AFREZZA.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success depends upon our ability to attract, retain and motivate highly skilled employees. We may be unable to attract and retain these individuals on acceptable terms, if at all.</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72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57"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March 2009, we submitted an NDA for AFREZZA. The FDA has advised us that it will regulate AFREZZA as a “combination product” because of the complex nature of the system that includes the combination of a new drug (AFREZZA) and a new medical device (the AFREZZA inhaler used to administer the insulin). The FDA’s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March 2010, we received a Complete Response letter regarding this NDA from the FDA. A Complete Response letter is issued by the FDA’s Center for Drug Evaluation and Research when the review of a submitted file is completed and questions remain 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preclude the approval of the NDA in its current form. In July 2010, the FDA accepted our reply to the Complete Response letter and set a target action date of December 29, 2010. There can be no assurance that the FDA will find our proposed approach for addressing its questions acceptable. The FDA could also request that we conduct additional clinical trials to provide sufficient data for approval of the NDA. There can be no assurance that we will obtain approval of the NDA in a timely manner or at all.</w:t>
      </w:r>
    </w:p>
    <w:p>
      <w:pPr>
        <w:spacing w:after="0" w:line="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developing AFREZZA as a new treatment for diabetes utilizing unique, proprietary components. As a combination product, any changes to either the AFREZZA inhaler, or AFREZZA, including new suppliers, could possibly result in FDA requirements to repeat certain clinical studies. For example, we plan to launch AFREZZA with our next-generation inhaler rather than the device that was used in pivotal clinical studies, and in our July 2010 reply to the FDA’s Complete Response letter, we submitted information on the comparability of our next-generation inhaler to the device that was used in pivotal clinical studies. As a result of our change to our next-generation inhaler, the FDA could yet require us to undertake additional clinical trials and other studies, which could significantly delay the development and commercialization of AFREZZA. Our product candidates that are currently in development for the treatment of cancer also face similar obstacles and costs.</w:t>
      </w:r>
    </w:p>
    <w:p>
      <w:pPr>
        <w:spacing w:after="0" w:line="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must obtain final approval from the FDA for the trade name of our product. In September 2009, we proposed AFREZZA as a trade name, which the FDA found conditionally acceptable in December 2009.</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not be able to commercialize AFREZZA or any other product candidates until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Based on currently available clinical studies, we believe that AFREZZA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AFREZZA will be agreed to by the FDA or otherwise included in product labeling or advertising and, as a result, AFREZZA may not have our expected competitive advantages when compared to other insulin products.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safety or efficacy of a product occurs following approval. We cannot be sure that FDA and United States Congressional initiatives pertaining to ensuring the safety of marketed drugs or other developments pertaining to the pharmaceutical industry will not adversely affect our operations.</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insulin supplier does not yet supply human recombinant insulin for an FDA-approved product.*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insulin supplier for purposes of the AFREZZA NDA sells its product outside of the United States. The FDA has inspected this supplier and found it to be acceptable.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device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approval of AFREZZA.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Interference proceedings brought by the U.S. Patent and Trademark Office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Our stock price is volatile. </w:t>
      </w:r>
      <w:r>
        <w:rPr>
          <w:rFonts w:ascii="Arial" w:cs="Arial" w:eastAsia="Arial" w:hAnsi="Arial"/>
          <w:sz w:val="18"/>
          <w:szCs w:val="18"/>
          <w:color w:val="auto"/>
        </w:rPr>
        <w: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current turbulence in the U.S. and global financial markets could adversely affect our stock price and our ability to raise additional capital through the sale of equity and/or debt securities.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80"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30" w:lineRule="exact"/>
        <w:rPr>
          <w:rFonts w:ascii="Arial" w:cs="Arial" w:eastAsia="Arial" w:hAnsi="Arial"/>
          <w:sz w:val="18"/>
          <w:szCs w:val="18"/>
          <w:b w:val="1"/>
          <w:bCs w:val="1"/>
          <w:color w:val="auto"/>
        </w:rPr>
      </w:pPr>
    </w:p>
    <w:p>
      <w:pPr>
        <w:ind w:left="660" w:right="60" w:hanging="314"/>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statements about us and our investigational products that appear on interactive websites that permit users to generate content anonymously or under a pseudonym may be difficult to verify and statements attributed to company officials may, in fact, have originated elsewhere.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July 23, 2010, Mr. Mann beneficially owned approximately 42.1% of our outstanding shares of capital stock. We believe members of Mr. Mann’s family beneficially owned approximately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equity securities by us that were not registered under the Securities Act of 1933, as amended, during the second quarter of 2010.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72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00"/>
              <w:spacing w:after="0"/>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20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3.3</w:t>
            </w:r>
          </w:p>
        </w:tc>
        <w:tc>
          <w:tcPr>
            <w:tcW w:w="10500" w:type="dxa"/>
            <w:vAlign w:val="bottom"/>
          </w:tcPr>
          <w:p>
            <w:pPr>
              <w:ind w:left="20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3.4(3)</w:t>
            </w:r>
          </w:p>
        </w:tc>
        <w:tc>
          <w:tcPr>
            <w:tcW w:w="10500" w:type="dxa"/>
            <w:vAlign w:val="bottom"/>
          </w:tcPr>
          <w:p>
            <w:pPr>
              <w:ind w:left="20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4.1(4)</w:t>
            </w:r>
          </w:p>
        </w:tc>
        <w:tc>
          <w:tcPr>
            <w:tcW w:w="10500" w:type="dxa"/>
            <w:vAlign w:val="bottom"/>
          </w:tcPr>
          <w:p>
            <w:pPr>
              <w:ind w:left="200"/>
              <w:spacing w:after="0"/>
              <w:rPr>
                <w:sz w:val="20"/>
                <w:szCs w:val="20"/>
                <w:color w:val="auto"/>
              </w:rPr>
            </w:pPr>
            <w:r>
              <w:rPr>
                <w:rFonts w:ascii="Arial" w:cs="Arial" w:eastAsia="Arial" w:hAnsi="Arial"/>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4.2(5)</w:t>
            </w:r>
          </w:p>
        </w:tc>
        <w:tc>
          <w:tcPr>
            <w:tcW w:w="10500" w:type="dxa"/>
            <w:vAlign w:val="bottom"/>
          </w:tcPr>
          <w:p>
            <w:pPr>
              <w:ind w:left="20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4.3(5)</w:t>
            </w:r>
          </w:p>
        </w:tc>
        <w:tc>
          <w:tcPr>
            <w:tcW w:w="10500" w:type="dxa"/>
            <w:vAlign w:val="bottom"/>
          </w:tcPr>
          <w:p>
            <w:pPr>
              <w:ind w:left="200"/>
              <w:spacing w:after="0"/>
              <w:rPr>
                <w:sz w:val="20"/>
                <w:szCs w:val="20"/>
                <w:color w:val="auto"/>
              </w:rPr>
            </w:pPr>
            <w:r>
              <w:rPr>
                <w:rFonts w:ascii="Arial" w:cs="Arial" w:eastAsia="Arial" w:hAnsi="Arial"/>
                <w:sz w:val="18"/>
                <w:szCs w:val="18"/>
                <w:color w:val="auto"/>
              </w:rPr>
              <w:t>Form of 3.75% Senior Convertible Note due 2013.</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4.4(1)</w:t>
            </w:r>
          </w:p>
        </w:tc>
        <w:tc>
          <w:tcPr>
            <w:tcW w:w="10500" w:type="dxa"/>
            <w:vAlign w:val="bottom"/>
          </w:tcPr>
          <w:p>
            <w:pPr>
              <w:ind w:left="20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4.5(1)</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Registration Rights Agreement, dated October 15, 1998 by and among CTL ImmunoTherapies Corp., Medical Research Group, LLC, McLean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Watson Advisory Inc. and Alfred E. Mann, as amended.</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Certification of the Chief Executive Officer Pursuant to Rules 13a-14(a) or 15d-14(a) of the Securities Exchange Act of 1934, as amended.</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200"/>
              <w:spacing w:after="0"/>
              <w:rPr>
                <w:sz w:val="20"/>
                <w:szCs w:val="20"/>
                <w:color w:val="auto"/>
              </w:rPr>
            </w:pPr>
            <w:r>
              <w:rPr>
                <w:rFonts w:ascii="Arial" w:cs="Arial" w:eastAsia="Arial" w:hAnsi="Arial"/>
                <w:sz w:val="18"/>
                <w:szCs w:val="18"/>
                <w:color w:val="auto"/>
                <w:w w:val="94"/>
              </w:rPr>
              <w:t>Certification of the Chief Financial Officer Pursuant to Rules 13a-14(a) or 15d-14(a) of the Securities Exchange Act of 1934, as amended.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right="220" w:hanging="912"/>
        <w:spacing w:after="0" w:line="308"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Incorporated by reference to MannKind’s registration statement on Form S-3 (File No. 333-138373) filed with the SEC on November 2, 2006.</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December 12, 2006.</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 August 2, 2010</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Matthew J. Pfeffer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19"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3.3</w:t>
      </w:r>
    </w:p>
    <w:p>
      <w:pPr>
        <w:spacing w:after="0" w:line="32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CERTIFICATE OF AMENDMENT OF AMENDED AND RESTATED CERTIFICATE OF INCORPORATION OF MANNKIND CORPORATION</w:t>
      </w:r>
    </w:p>
    <w:p>
      <w:pPr>
        <w:spacing w:after="0" w:line="282" w:lineRule="exact"/>
        <w:rPr>
          <w:sz w:val="20"/>
          <w:szCs w:val="20"/>
          <w:color w:val="auto"/>
        </w:rPr>
      </w:pPr>
    </w:p>
    <w:p>
      <w:pPr>
        <w:ind w:right="740" w:firstLine="225"/>
        <w:spacing w:after="0" w:line="282" w:lineRule="auto"/>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r>
        <w:rPr>
          <w:rFonts w:ascii="Arial" w:cs="Arial" w:eastAsia="Arial" w:hAnsi="Arial"/>
          <w:sz w:val="18"/>
          <w:szCs w:val="18"/>
          <w:color w:val="auto"/>
        </w:rPr>
        <w:t>, a corporation organized and existing under and by virtue of the General Corporation Law of the State of Delaware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w:t>
      </w:r>
    </w:p>
    <w:p>
      <w:pPr>
        <w:spacing w:after="0" w:line="54" w:lineRule="exact"/>
        <w:rPr>
          <w:sz w:val="20"/>
          <w:szCs w:val="20"/>
          <w:color w:val="auto"/>
        </w:rPr>
      </w:pPr>
    </w:p>
    <w:p>
      <w:pPr>
        <w:ind w:right="480" w:firstLine="225"/>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name of the Corporation was Pharmaceutical Discovery Corporation. The date on which the Corporation’s original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was filed with the Secretary of State of the State of Delaware is February 14, 1991.</w:t>
      </w:r>
    </w:p>
    <w:p>
      <w:pPr>
        <w:spacing w:after="0" w:line="54" w:lineRule="exact"/>
        <w:rPr>
          <w:sz w:val="20"/>
          <w:szCs w:val="20"/>
          <w:color w:val="auto"/>
        </w:rPr>
      </w:pPr>
    </w:p>
    <w:p>
      <w:pPr>
        <w:ind w:right="180" w:firstLine="225"/>
        <w:spacing w:after="0" w:line="258"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w:t>
      </w:r>
      <w:r>
        <w:rPr>
          <w:rFonts w:ascii="Arial" w:cs="Arial" w:eastAsia="Arial" w:hAnsi="Arial"/>
          <w:sz w:val="18"/>
          <w:szCs w:val="18"/>
          <w:color w:val="auto"/>
        </w:rPr>
        <w:t>This Certificate of Amendment amends certain provisions of the Amended and Restated Certificate of Incorporation of the 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amended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has been duly adopted by the Board of Directors of the Corporation acting in accordance with the provisions of Section 242 of the General Corporation Law of the State of Delaware, and further adopted in accordance with the provisions of Sections 211 and 242 of the General Corporation Law of the State of Delaware by the stockholders of the Corporation and shall become effective upon filing with the Secretary of State of the State of Delaware.</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A of Article IV of the Restated Certificate is hereby amended and restated to read in its entirety as follows:</w:t>
      </w:r>
    </w:p>
    <w:p>
      <w:pPr>
        <w:spacing w:after="0" w:line="121" w:lineRule="exact"/>
        <w:rPr>
          <w:sz w:val="20"/>
          <w:szCs w:val="20"/>
          <w:color w:val="auto"/>
        </w:rPr>
      </w:pPr>
    </w:p>
    <w:p>
      <w:pPr>
        <w:ind w:left="240" w:right="40" w:firstLine="215"/>
        <w:spacing w:after="0" w:line="259" w:lineRule="auto"/>
        <w:rPr>
          <w:sz w:val="20"/>
          <w:szCs w:val="20"/>
          <w:color w:val="auto"/>
        </w:rPr>
      </w:pPr>
      <w:r>
        <w:rPr>
          <w:rFonts w:ascii="Arial" w:cs="Arial" w:eastAsia="Arial" w:hAnsi="Arial"/>
          <w:sz w:val="18"/>
          <w:szCs w:val="18"/>
          <w:color w:val="auto"/>
        </w:rPr>
        <w:t xml:space="preserve">A. This Corporation is authorized to issue two classes of stock to be designated, respectively,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and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The total number of shares which the Corporation is authorized to issue is two hundred ten million (210,000,000) shares. Two hundred million (200,000,000) shares shall be Common Stock, each having a par value of one cent ($.01). Ten million (10,000,000) shares shall be Preferred Stock, each having a par value of one cent ($.01).</w:t>
      </w:r>
    </w:p>
    <w:p>
      <w:pPr>
        <w:spacing w:after="0" w:line="75"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MannKind Corporation has caused this Certificate of Amendment to be signed by its Chairman of the Board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on June 16, 2010.</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Alfred E. Mann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six months ended June 30, 2010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2,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5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six months ended June 30, 2010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2,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June 30, 2010,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right="560" w:firstLine="233"/>
        <w:spacing w:after="0" w:line="375" w:lineRule="auto"/>
        <w:tabs>
          <w:tab w:leader="none" w:pos="4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2, 2010</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2nd day of August,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2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Alfred E. Mann</w:t>
            </w: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Securities Exchange Act of 1934, as amended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2019-12-10T10:46:54Z</dcterms:created>
  <dcterms:modified xsi:type="dcterms:W3CDTF">2019-12-10T10:46:54Z</dcterms:modified>
</cp:coreProperties>
</file>