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mnkd-20260630.htm"/>
      <w:bookmarkStart w:id="1" w:name="ksmnkd20260630"/>
      <w:bookmarkEnd w:id="0"/>
      <w:bookmarkEnd w:id="1"/>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000-50865</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8"/>
        </w:rPr>
        <w:t>MannKind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07" w:type="dxa"/>
        <w:jc w:val="left"/>
        <w:tblInd w:w="0" w:type="dxa"/>
        <w:tblLayout w:type="fixed"/>
        <w:tblCellMar>
          <w:top w:w="28" w:type="dxa"/>
          <w:left w:w="28" w:type="dxa"/>
          <w:bottom w:w="28" w:type="dxa"/>
          <w:right w:w="28" w:type="dxa"/>
        </w:tblCellMar>
      </w:tblPr>
      <w:tblGrid>
        <w:gridCol w:w="2926"/>
        <w:gridCol w:w="1681"/>
      </w:tblGrid>
      <w:tr>
        <w:trPr/>
        <w:tc>
          <w:tcPr>
            <w:tcW w:w="2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13-3607736</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incorporation or organization)</w:t>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 Casper Street</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Danbury, Connecticut</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06810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(818) 661-5000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N/A</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60" w:after="283"/>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MNKD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79" w:type="dxa"/>
        <w:jc w:val="left"/>
        <w:tblInd w:w="0" w:type="dxa"/>
        <w:tblLayout w:type="fixed"/>
        <w:tblCellMar>
          <w:top w:w="28" w:type="dxa"/>
          <w:left w:w="28" w:type="dxa"/>
          <w:bottom w:w="28" w:type="dxa"/>
          <w:right w:w="28" w:type="dxa"/>
        </w:tblCellMar>
      </w:tblPr>
      <w:tblGrid>
        <w:gridCol w:w="1921"/>
        <w:gridCol w:w="386"/>
        <w:gridCol w:w="2551"/>
        <w:gridCol w:w="421"/>
      </w:tblGrid>
      <w:tr>
        <w:trPr/>
        <w:tc>
          <w:tcPr>
            <w:tcW w:w="192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Emerging growth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As of July 24, 2026, there were 321,540,637 shares of the registrant’s common stock, $0.01 par value per share, outstanding.</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w:t>
      </w:r>
    </w:p>
    <w:p>
      <w:pPr>
        <w:pStyle w:val="TextBody"/>
        <w:bidi w:val="0"/>
        <w:spacing w:before="120" w:after="283"/>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PART I. FINANCIAL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ndensed_consol_stmt_of_operations">
              <w:r>
                <w:rPr>
                  <w:rStyle w:val="InternetLink"/>
                  <w:rFonts w:ascii="Times New Roman" w:hAnsi="Times New Roman"/>
                  <w:color w:val="0000FF"/>
                  <w:sz w:val="20"/>
                  <w:u w:val="single"/>
                </w:rPr>
                <w:t>Condensed Consolidated Statements of Operations: Three and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nd_cons_statements_of_comp_inc_loss">
              <w:r>
                <w:rPr>
                  <w:rStyle w:val="InternetLink"/>
                  <w:rFonts w:ascii="Times New Roman" w:hAnsi="Times New Roman"/>
                  <w:color w:val="0000FF"/>
                  <w:sz w:val="20"/>
                  <w:u w:val="single"/>
                </w:rPr>
                <w:t>Condensed Consolidated Statements of Comprehensive (Loss) Income: Three and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ndensed_consol_balance_sheets">
              <w:r>
                <w:rPr>
                  <w:rStyle w:val="InternetLink"/>
                  <w:rFonts w:ascii="Times New Roman" w:hAnsi="Times New Roman"/>
                  <w:color w:val="0000FF"/>
                  <w:sz w:val="20"/>
                  <w:u w:val="single"/>
                </w:rPr>
                <w:t>Condensed Consolidated Balance Sheets: June 30, 2026 and December 31,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
              <w:r>
                <w:rPr>
                  <w:rStyle w:val="InternetLink"/>
                  <w:rFonts w:ascii="Times New Roman" w:hAnsi="Times New Roman"/>
                  <w:color w:val="0000FF"/>
                  <w:sz w:val="20"/>
                  <w:u w:val="single"/>
                </w:rPr>
                <w:t>Condensed Consolidated Statements of Stockholders’ Deficit:</w:t>
              </w:r>
            </w:hyperlink>
            <w:hyperlink w:anchor="consolidated_statements_stockholders">
              <w:r>
                <w:rPr>
                  <w:rStyle w:val="InternetLink"/>
                  <w:rFonts w:ascii="Times New Roman" w:hAnsi="Times New Roman"/>
                  <w:color w:val="0000FF"/>
                  <w:sz w:val="20"/>
                </w:rPr>
                <w:t xml:space="preserve"> </w:t>
              </w:r>
            </w:hyperlink>
            <w:hyperlink w:anchor="consolidated_statements_stockholders">
              <w:r>
                <w:rPr>
                  <w:rStyle w:val="InternetLink"/>
                  <w:rFonts w:ascii="Times New Roman" w:hAnsi="Times New Roman"/>
                  <w:color w:val="0000FF"/>
                  <w:sz w:val="20"/>
                  <w:u w:val="single"/>
                </w:rPr>
                <w:t>Three and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Six months ended June 30, 2026 and 2025</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part_2_other_information">
              <w:r>
                <w:rPr>
                  <w:rStyle w:val="InternetLink"/>
                  <w:rFonts w:ascii="Times New Roman" w:hAnsi="Times New Roman"/>
                  <w:color w:val="0000FF"/>
                  <w:sz w:val="20"/>
                  <w:u w:val="single"/>
                </w:rPr>
                <w:t>PART II. 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4"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_stmt_of_operations"/>
      <w:bookmarkEnd w:id="4"/>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364"/>
        <w:gridCol w:w="346"/>
        <w:gridCol w:w="211"/>
        <w:gridCol w:w="781"/>
        <w:gridCol w:w="166"/>
        <w:gridCol w:w="146"/>
        <w:gridCol w:w="211"/>
        <w:gridCol w:w="781"/>
        <w:gridCol w:w="166"/>
        <w:gridCol w:w="146"/>
        <w:gridCol w:w="211"/>
        <w:gridCol w:w="781"/>
        <w:gridCol w:w="166"/>
        <w:gridCol w:w="146"/>
        <w:gridCol w:w="211"/>
        <w:gridCol w:w="781"/>
        <w:gridCol w:w="591"/>
      </w:tblGrid>
      <w:tr>
        <w:trPr/>
        <w:tc>
          <w:tcPr>
            <w:tcW w:w="43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 – commercial, excluding 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foreign currency transaction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financing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settlement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(benefit)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income</w:t>
              <w:br/>
              <w:t>   per share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income</w:t>
              <w:br/>
              <w:t>   per share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_cons_statements_of_comp_inc_loss"/>
      <w:bookmarkEnd w:id="5"/>
      <w:r>
        <w:rPr>
          <w:rFonts w:ascii="Times New Roman" w:hAnsi="Times New Roman"/>
          <w:b/>
          <w:color w:val="000000"/>
          <w:sz w:val="20"/>
        </w:rPr>
        <w:t>MANNKIND CORPORATION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COMPREHENSIVE (LOSS) INCOME</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9477" w:type="dxa"/>
        <w:jc w:val="left"/>
        <w:tblInd w:w="0" w:type="dxa"/>
        <w:tblLayout w:type="fixed"/>
        <w:tblCellMar>
          <w:top w:w="28" w:type="dxa"/>
          <w:left w:w="28" w:type="dxa"/>
          <w:bottom w:w="28" w:type="dxa"/>
          <w:right w:w="28" w:type="dxa"/>
        </w:tblCellMar>
      </w:tblPr>
      <w:tblGrid>
        <w:gridCol w:w="4611"/>
        <w:gridCol w:w="146"/>
        <w:gridCol w:w="211"/>
        <w:gridCol w:w="736"/>
        <w:gridCol w:w="166"/>
        <w:gridCol w:w="146"/>
        <w:gridCol w:w="211"/>
        <w:gridCol w:w="421"/>
        <w:gridCol w:w="146"/>
        <w:gridCol w:w="146"/>
        <w:gridCol w:w="211"/>
        <w:gridCol w:w="736"/>
        <w:gridCol w:w="166"/>
        <w:gridCol w:w="146"/>
        <w:gridCol w:w="211"/>
        <w:gridCol w:w="676"/>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6" w:name="condensed_consol_balance_sheets"/>
      <w:bookmarkEnd w:id="6"/>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9365" w:type="dxa"/>
        <w:jc w:val="left"/>
        <w:tblInd w:w="0" w:type="dxa"/>
        <w:tblLayout w:type="fixed"/>
        <w:tblCellMar>
          <w:top w:w="28" w:type="dxa"/>
          <w:left w:w="28" w:type="dxa"/>
          <w:bottom w:w="28" w:type="dxa"/>
          <w:right w:w="28" w:type="dxa"/>
        </w:tblCellMar>
      </w:tblPr>
      <w:tblGrid>
        <w:gridCol w:w="5671"/>
        <w:gridCol w:w="146"/>
        <w:gridCol w:w="203"/>
        <w:gridCol w:w="922"/>
        <w:gridCol w:w="166"/>
        <w:gridCol w:w="146"/>
        <w:gridCol w:w="271"/>
        <w:gridCol w:w="1229"/>
        <w:gridCol w:w="6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291,579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 - on-body infusor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IPR&amp;D - ReadyFlow Formulation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792,182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convertible notes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Liability for sale of future royalties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consideration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Recognized loss on purchase commitments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for sale of future royalties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liability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Recognized loss on purchase commitments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Milestone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843,204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Undesignated preferred stock, $0.01</w:t>
            </w:r>
            <w:r>
              <w:rPr>
                <w:rFonts w:ascii="Times New Roman" w:hAnsi="Times New Roman"/>
                <w:color w:val="000000"/>
                <w:sz w:val="20"/>
              </w:rPr>
              <w:t> </w:t>
            </w:r>
            <w:r>
              <w:rPr>
                <w:rFonts w:ascii="Times New Roman" w:hAnsi="Times New Roman"/>
                <w:color w:val="000000"/>
                <w:sz w:val="16"/>
              </w:rPr>
              <w:t>par value – 10,000,000</w:t>
            </w:r>
            <w:r>
              <w:rPr>
                <w:rFonts w:ascii="Times New Roman" w:hAnsi="Times New Roman"/>
                <w:color w:val="000000"/>
                <w:sz w:val="20"/>
              </w:rPr>
              <w:t> </w:t>
            </w:r>
            <w:r>
              <w:rPr>
                <w:rFonts w:ascii="Times New Roman" w:hAnsi="Times New Roman"/>
                <w:color w:val="000000"/>
                <w:sz w:val="16"/>
              </w:rPr>
              <w:t xml:space="preserve">shares authorized; </w:t>
              <w:br/>
              <w:t>   no</w:t>
            </w:r>
            <w:r>
              <w:rPr>
                <w:rFonts w:ascii="Times New Roman" w:hAnsi="Times New Roman"/>
                <w:color w:val="000000"/>
                <w:sz w:val="20"/>
              </w:rPr>
              <w:t> </w:t>
            </w:r>
            <w:r>
              <w:rPr>
                <w:rFonts w:ascii="Times New Roman" w:hAnsi="Times New Roman"/>
                <w:color w:val="000000"/>
                <w:sz w:val="16"/>
              </w:rPr>
              <w:t>shares issued or outstanding as of June 30, 2026 or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 800,000,000</w:t>
            </w:r>
            <w:r>
              <w:rPr>
                <w:rFonts w:ascii="Times New Roman" w:hAnsi="Times New Roman"/>
                <w:color w:val="000000"/>
                <w:sz w:val="20"/>
              </w:rPr>
              <w:t> </w:t>
            </w:r>
            <w:r>
              <w:rPr>
                <w:rFonts w:ascii="Times New Roman" w:hAnsi="Times New Roman"/>
                <w:color w:val="000000"/>
                <w:sz w:val="16"/>
              </w:rPr>
              <w:t>shares authorized;</w:t>
              <w:br/>
              <w:t>  309,911,682</w:t>
            </w:r>
            <w:r>
              <w:rPr>
                <w:rFonts w:ascii="Times New Roman" w:hAnsi="Times New Roman"/>
                <w:color w:val="000000"/>
                <w:sz w:val="20"/>
              </w:rPr>
              <w:t> </w:t>
            </w:r>
            <w:r>
              <w:rPr>
                <w:rFonts w:ascii="Times New Roman" w:hAnsi="Times New Roman"/>
                <w:color w:val="000000"/>
                <w:sz w:val="16"/>
              </w:rPr>
              <w:t>and 307,832,587</w:t>
            </w:r>
            <w:r>
              <w:rPr>
                <w:rFonts w:ascii="Times New Roman" w:hAnsi="Times New Roman"/>
                <w:color w:val="000000"/>
                <w:sz w:val="20"/>
              </w:rPr>
              <w:t> </w:t>
            </w:r>
            <w:r>
              <w:rPr>
                <w:rFonts w:ascii="Times New Roman" w:hAnsi="Times New Roman"/>
                <w:color w:val="000000"/>
                <w:sz w:val="16"/>
              </w:rPr>
              <w:t>shares issued and outstanding as of</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3,141,741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(3,195,956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792,182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b/>
          <w:color w:val="000000"/>
          <w:sz w:val="20"/>
        </w:rPr>
      </w:pPr>
      <w:bookmarkStart w:id="7" w:name="consolidated_statements_stockholders"/>
      <w:bookmarkEnd w:id="7"/>
      <w:r>
        <w:rPr>
          <w:rFonts w:ascii="Times New Roman" w:hAnsi="Times New Roman"/>
          <w:b/>
          <w:color w:val="000000"/>
          <w:sz w:val="20"/>
        </w:rPr>
        <w:t>CONDENSED CONSOLIDATED STATEMENTS OF STOCKHOLDERS’ DEFICIT</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27"/>
        <w:gridCol w:w="146"/>
        <w:gridCol w:w="146"/>
        <w:gridCol w:w="586"/>
        <w:gridCol w:w="146"/>
        <w:gridCol w:w="146"/>
        <w:gridCol w:w="181"/>
        <w:gridCol w:w="436"/>
        <w:gridCol w:w="146"/>
        <w:gridCol w:w="146"/>
        <w:gridCol w:w="192"/>
        <w:gridCol w:w="737"/>
        <w:gridCol w:w="151"/>
        <w:gridCol w:w="146"/>
        <w:gridCol w:w="590"/>
        <w:gridCol w:w="1230"/>
        <w:gridCol w:w="151"/>
        <w:gridCol w:w="146"/>
        <w:gridCol w:w="209"/>
        <w:gridCol w:w="853"/>
        <w:gridCol w:w="151"/>
        <w:gridCol w:w="146"/>
        <w:gridCol w:w="181"/>
        <w:gridCol w:w="556"/>
        <w:gridCol w:w="360"/>
      </w:tblGrid>
      <w:tr>
        <w:trPr/>
        <w:tc>
          <w:tcPr>
            <w:tcW w:w="2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3,141,741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(3,195,956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(51,022</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pursuant to</w:t>
              <w:br/>
              <w:t>     conversion of senior convertible note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6,455</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(16,619</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3,150,295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(3,212,575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(59,195</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issuance of common stock associated</w:t>
              <w:br/>
              <w:t>   with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1,389</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10,226</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loss on available-for-sale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(19,032</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3,161,330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(3,231,607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(67,197</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117"/>
        <w:gridCol w:w="146"/>
        <w:gridCol w:w="146"/>
        <w:gridCol w:w="586"/>
        <w:gridCol w:w="146"/>
        <w:gridCol w:w="146"/>
        <w:gridCol w:w="181"/>
        <w:gridCol w:w="436"/>
        <w:gridCol w:w="146"/>
        <w:gridCol w:w="146"/>
        <w:gridCol w:w="197"/>
        <w:gridCol w:w="757"/>
        <w:gridCol w:w="151"/>
        <w:gridCol w:w="146"/>
        <w:gridCol w:w="569"/>
        <w:gridCol w:w="1376"/>
        <w:gridCol w:w="146"/>
        <w:gridCol w:w="146"/>
        <w:gridCol w:w="222"/>
        <w:gridCol w:w="905"/>
        <w:gridCol w:w="151"/>
        <w:gridCol w:w="146"/>
        <w:gridCol w:w="181"/>
        <w:gridCol w:w="556"/>
        <w:gridCol w:w="360"/>
      </w:tblGrid>
      <w:tr>
        <w:trPr/>
        <w:tc>
          <w:tcPr>
            <w:tcW w:w="2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3,118,865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(3,201,819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(78,816</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issuance of common stock associated</w:t>
              <w:br/>
              <w:t xml:space="preserve">   with stock options and restricted stock </w:t>
              <w:br/>
              <w: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1,590</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5,385</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13,158</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3,125,830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(3,188,661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(58,618</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issuance of common stock associated</w:t>
              <w:br/>
              <w:t xml:space="preserve">   with stock options and restricted stock </w:t>
              <w:br/>
              <w:t>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(5,983</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from market</w:t>
              <w:br/>
              <w:t>     price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under Employee</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w:t>
            </w:r>
          </w:p>
        </w:tc>
        <w:tc>
          <w:tcPr>
            <w:tcW w:w="36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Unrealized gain on available-for-sale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36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11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3,128,631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(3,187,993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(55,042</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MANNKIND CORPORATION AND SUBSIDIARIES</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18"/>
        </w:rPr>
        <w:t>CONDENSED CONSOLIDATED STATEMENTS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(Unaudited)</w:t>
      </w:r>
    </w:p>
    <w:tbl>
      <w:tblPr>
        <w:tblW w:w="10059" w:type="dxa"/>
        <w:jc w:val="left"/>
        <w:tblInd w:w="0" w:type="dxa"/>
        <w:tblLayout w:type="fixed"/>
        <w:tblCellMar>
          <w:top w:w="28" w:type="dxa"/>
          <w:left w:w="28" w:type="dxa"/>
          <w:bottom w:w="28" w:type="dxa"/>
          <w:right w:w="28" w:type="dxa"/>
        </w:tblCellMar>
      </w:tblPr>
      <w:tblGrid>
        <w:gridCol w:w="6916"/>
        <w:gridCol w:w="346"/>
        <w:gridCol w:w="181"/>
        <w:gridCol w:w="556"/>
        <w:gridCol w:w="151"/>
        <w:gridCol w:w="146"/>
        <w:gridCol w:w="181"/>
        <w:gridCol w:w="586"/>
        <w:gridCol w:w="996"/>
      </w:tblGrid>
      <w:tr>
        <w:trPr/>
        <w:tc>
          <w:tcPr>
            <w:tcW w:w="69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9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9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(loss) income to net cash (used in) provided by</w:t>
              <w:br/>
              <w:t>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12,905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on liability for sale of future royalties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Sold portion of royalty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Write-off of inventory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Noncash lease expense of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(Gain) loss on foreign currency transactions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accretion of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contingent consideration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debt discount and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settlement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deferred tax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(15,338</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(9,333</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(919</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maturities of available-for-sale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101,792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available-for-sale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(88,127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provided by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payments on senior convertible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proceeds related to issuance of common stock associated with</w:t>
              <w:br/>
              <w:t>   restricted stock units and stock options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(4,393</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Milestone payment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payments on financing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market price stock purchase plan and employee stock purchase plan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(DECREASE) INCREASE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10,671</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47,076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57,747</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tbl>
      <w:tblPr>
        <w:tblW w:w="7196" w:type="dxa"/>
        <w:jc w:val="left"/>
        <w:tblInd w:w="0" w:type="dxa"/>
        <w:tblLayout w:type="fixed"/>
        <w:tblCellMar>
          <w:top w:w="28" w:type="dxa"/>
          <w:left w:w="28" w:type="dxa"/>
          <w:bottom w:w="28" w:type="dxa"/>
          <w:right w:w="28" w:type="dxa"/>
        </w:tblCellMar>
      </w:tblPr>
      <w:tblGrid>
        <w:gridCol w:w="5096"/>
        <w:gridCol w:w="146"/>
        <w:gridCol w:w="158"/>
        <w:gridCol w:w="554"/>
        <w:gridCol w:w="163"/>
        <w:gridCol w:w="158"/>
        <w:gridCol w:w="158"/>
        <w:gridCol w:w="472"/>
        <w:gridCol w:w="291"/>
      </w:tblGrid>
      <w:tr>
        <w:trPr/>
        <w:tc>
          <w:tcPr>
            <w:tcW w:w="5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Interest paid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Income taxes paid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upon settlement of senior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Amortization of liability for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Non-cash construction-in-progress,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MANNKIND CORPORATION AND SUBSIDIARIES</w:t>
      </w:r>
    </w:p>
    <w:p>
      <w:pPr>
        <w:pStyle w:val="TextBody"/>
        <w:bidi w:val="0"/>
        <w:jc w:val="center"/>
        <w:rPr>
          <w:rFonts w:ascii="Times New Roman" w:hAnsi="Times New Roman"/>
          <w:sz w:val="20"/>
        </w:rPr>
      </w:pPr>
      <w:bookmarkStart w:id="9" w:name="notes_to_condensed_consolidated_financia"/>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Description of Business and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2025, filed with the SEC on February 26, 2026 (the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all adjustments, consisting only of normal, recurring adjustments, considered necessary for a fair presentation of the results of these interim periods have been included. The results of operations for the three and six months ended June 30, 2026 may not be indicative of the results that may be expected for the full year. </w:t>
      </w:r>
    </w:p>
    <w:p>
      <w:pPr>
        <w:pStyle w:val="TextBody"/>
        <w:bidi w:val="0"/>
        <w:spacing w:before="120" w:after="283"/>
        <w:jc w:val="left"/>
        <w:rPr>
          <w:rFonts w:ascii="Times New Roman" w:hAnsi="Times New Roman"/>
          <w:sz w:val="20"/>
        </w:rPr>
      </w:pPr>
      <w:r>
        <w:rPr>
          <w:rFonts w:ascii="Times New Roman" w:hAnsi="Times New Roman"/>
          <w:i/>
          <w:color w:val="000000"/>
          <w:sz w:val="20"/>
        </w:rPr>
        <w:t>Financial Statement Estimates</w:t>
      </w:r>
      <w:r>
        <w:rPr>
          <w:rFonts w:ascii="Times New Roman" w:hAnsi="Times New Roman"/>
          <w:color w:val="000000"/>
          <w:sz w:val="20"/>
        </w:rPr>
        <w:t xml:space="preserve"> — The preparation of financial statements in conformity with GAAP requires management to make estimates and 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and measurement of progress related to recognition of deferred revenue for collaboration revenue, the fair value of developed technology and in process research and development ("IPR&amp;D"), assessing long-lived assets for impairment, the fair value of the contingent consideration liability, clinical trial expenses, inventory costing, interest expense on liability for sale of future royalties,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Business </w:t>
      </w:r>
      <w:r>
        <w:rPr>
          <w:rFonts w:ascii="Times New Roman" w:hAnsi="Times New Roman"/>
          <w:color w:val="000000"/>
          <w:sz w:val="20"/>
        </w:rPr>
        <w:t>— MannKind is a biopharmaceutical company focused on the development and commercialization of patient-centric therapies that address serious unmet medical needs for those living with cardiometabolic and orphan lung diseases. The Company is currently commercializing three products: Afrezza (insulin human) Inhalation Powder, an ultra rapid-acting inhaled insulin indicated to improve glycemic control in patients with diabetes aged six and older; Furoscix (furosemide injection), to treat fluid buildup in patients with chronic heart failure or chronic kidney disease; and the V-Go wearable insulin delivery device, which provides continuous subcutaneous infusion of insulin in adults that require insulin. The Company also developed Tyvaso DPI (treprostinil) inhalation powder, which is approved for the treatment of pulmonary arterial hypertension (“PAH”) and for the treatment of pulmonary hypertension associated with interstitial lung disease (“PH-ILD”). The Company receives a royalty on net sales and revenue from supplies of Tyvaso DPI that it manufactures for its development and marketing partner, United Therapeutics.</w:t>
      </w:r>
    </w:p>
    <w:p>
      <w:pPr>
        <w:pStyle w:val="TextBody"/>
        <w:bidi w:val="0"/>
        <w:spacing w:before="24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 The condensed consolidated financial statements have been prepared in accordance with GAAP. </w:t>
      </w:r>
    </w:p>
    <w:p>
      <w:pPr>
        <w:pStyle w:val="TextBody"/>
        <w:bidi w:val="0"/>
        <w:spacing w:before="240" w:after="283"/>
        <w:jc w:val="left"/>
        <w:rPr>
          <w:rFonts w:ascii="Times New Roman" w:hAnsi="Times New Roman"/>
          <w:sz w:val="20"/>
        </w:rPr>
      </w:pPr>
      <w:r>
        <w:rPr>
          <w:rFonts w:ascii="Times New Roman" w:hAnsi="Times New Roman"/>
          <w:i/>
          <w:color w:val="000000"/>
          <w:sz w:val="20"/>
        </w:rPr>
        <w:t>Principles of Consolidation</w:t>
      </w:r>
      <w:r>
        <w:rPr>
          <w:rFonts w:ascii="Times New Roman" w:hAnsi="Times New Roman"/>
          <w:color w:val="000000"/>
          <w:sz w:val="20"/>
        </w:rPr>
        <w:t xml:space="preserve"> — The condensed consolidated financial statements include the accounts of the Company and its wholly-owned subsidiaries. Intercompany balances and transactions have been eliminated.</w:t>
      </w:r>
    </w:p>
    <w:p>
      <w:pPr>
        <w:pStyle w:val="TextBody"/>
        <w:bidi w:val="0"/>
        <w:spacing w:before="240" w:after="283"/>
        <w:jc w:val="left"/>
        <w:rPr>
          <w:rFonts w:ascii="Times New Roman" w:hAnsi="Times New Roman"/>
          <w:sz w:val="20"/>
        </w:rPr>
      </w:pPr>
      <w:r>
        <w:rPr>
          <w:rFonts w:ascii="Times New Roman" w:hAnsi="Times New Roman"/>
          <w:i/>
          <w:color w:val="000000"/>
          <w:sz w:val="20"/>
        </w:rPr>
        <w:t>Reclassifications</w:t>
      </w:r>
      <w:r>
        <w:rPr>
          <w:rFonts w:ascii="Times New Roman" w:hAnsi="Times New Roman"/>
          <w:color w:val="000000"/>
          <w:sz w:val="20"/>
        </w:rPr>
        <w:t xml:space="preserve"> — Certain immaterial amounts reported in prior year's accrued expenses footnote have been reclassified to conform with the current year presentation. </w:t>
      </w:r>
    </w:p>
    <w:p>
      <w:pPr>
        <w:pStyle w:val="TextBody"/>
        <w:bidi w:val="0"/>
        <w:spacing w:before="240" w:after="240"/>
        <w:jc w:val="left"/>
        <w:rPr>
          <w:rFonts w:ascii="Times New Roman" w:hAnsi="Times New Roman"/>
          <w:sz w:val="20"/>
        </w:rPr>
      </w:pPr>
      <w:r>
        <w:rPr>
          <w:rFonts w:ascii="Times New Roman" w:hAnsi="Times New Roman"/>
          <w:i/>
          <w:color w:val="000000"/>
          <w:sz w:val="20"/>
        </w:rPr>
        <w:t>Segment Information</w:t>
      </w:r>
      <w:r>
        <w:rPr>
          <w:rFonts w:ascii="Times New Roman" w:hAnsi="Times New Roman"/>
          <w:color w:val="000000"/>
          <w:sz w:val="20"/>
        </w:rPr>
        <w:t xml:space="preserve"> — Operating segments are identified as components of an enterprise which engage in business activities that result in revenue and expenses for which separate discrete financial information is available for evaluation by the chief operating decision-maker (the “CODM”) in making decisions regarding resource allocation and assessing performance on a regular basis. The CODM is comprised of the Company's CEO and CFO. To date, the Company has viewed its operations and manages its business as a single reportable segment operating in the United States of America. The business and accounting policies of the Company's single reportable segment are further explained below. The measure of segment assets is reported as total assets in the consolidated balance sheets. No intra-entity sales or transfers are transacted within 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key metric utilized by the CODM to assess resource allocation and performance is the Company’s segment net income, which is the same as the consolidated net income reported in the condensed consolidated statements of operations. The CODM also analyzes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consolidated net income to evaluate its return on segment assets and to establish budgets and forecasts. The table below shows the details of the Company’s segment revenues and significant expense categories regularly provided to and reviewed by the CODM as well as other significant segment items included in consolidated net income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4849"/>
        <w:gridCol w:w="146"/>
        <w:gridCol w:w="211"/>
        <w:gridCol w:w="781"/>
        <w:gridCol w:w="166"/>
        <w:gridCol w:w="146"/>
        <w:gridCol w:w="211"/>
        <w:gridCol w:w="676"/>
        <w:gridCol w:w="166"/>
        <w:gridCol w:w="146"/>
        <w:gridCol w:w="211"/>
        <w:gridCol w:w="781"/>
        <w:gridCol w:w="166"/>
        <w:gridCol w:w="146"/>
        <w:gridCol w:w="211"/>
        <w:gridCol w:w="781"/>
        <w:gridCol w:w="411"/>
      </w:tblGrid>
      <w:tr>
        <w:trPr/>
        <w:tc>
          <w:tcPr>
            <w:tcW w:w="4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Afrezza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Furoscix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 – commercial, excluding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settlement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(1) </w:t>
      </w:r>
      <w:r>
        <w:rPr>
          <w:rFonts w:ascii="Times New Roman" w:hAnsi="Times New Roman"/>
          <w:color w:val="000000"/>
          <w:sz w:val="18"/>
        </w:rPr>
        <w:t>Includes (gain) loss on foreign currency transaction, expense related to the fair value adjustment of the contingent consideration and income tax (benefit)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 The Company recognizes revenue when its customers obtain control of promised goods or services, in an amount that reflects the consideration which the Company expects to be entitled in exchange for those goods or services.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 — Net Revenue — Commercial Product Sales —</w:t>
      </w:r>
      <w:r>
        <w:rPr>
          <w:rFonts w:ascii="Times New Roman" w:hAnsi="Times New Roman"/>
          <w:color w:val="000000"/>
          <w:sz w:val="20"/>
        </w:rPr>
        <w:t xml:space="preserve"> The Company sells its products to a limited number of wholesale distributors, specialty and retail pharmacies, DMEs, specialty distributors and direct purchasers in the U.S. and India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transfers control and recognizes revenue upon delivery of product to wholesale distributors, specialty and retail pharmacies, DMEs, specialty distributors and direct purchasers. Product revenues are recorded net of applicable reserves, including discounts, allowances, rebates, returns and other incentives. See </w:t>
      </w:r>
      <w:r>
        <w:rPr>
          <w:rFonts w:ascii="Times New Roman" w:hAnsi="Times New Roman"/>
          <w:i/>
          <w:color w:val="000000"/>
          <w:sz w:val="20"/>
        </w:rPr>
        <w:t xml:space="preserve">Reserves for Variable Consideration </w:t>
      </w:r>
      <w:r>
        <w:rPr>
          <w:rFonts w:ascii="Times New Roman" w:hAnsi="Times New Roman"/>
          <w:color w:val="000000"/>
          <w:sz w:val="20"/>
        </w:rPr>
        <w:t>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Reserves for Variable Consideration </w:t>
      </w:r>
      <w:r>
        <w:rPr>
          <w:rFonts w:ascii="Times New Roman" w:hAnsi="Times New Roman"/>
          <w:color w:val="000000"/>
          <w:sz w:val="20"/>
        </w:rPr>
        <w:t>— Revenues from product sales are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Trade Discounts and Allowances </w:t>
      </w:r>
      <w:r>
        <w:rPr>
          <w:rFonts w:ascii="Times New Roman" w:hAnsi="Times New Roman"/>
          <w:color w:val="000000"/>
          <w:sz w:val="20"/>
        </w:rPr>
        <w:t xml:space="preserve">— The Company generally provides Customers with discounts which include incentives, such as prompt pay discounts, 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Product Returns </w:t>
      </w:r>
      <w:r>
        <w:rPr>
          <w:rFonts w:ascii="Times New Roman" w:hAnsi="Times New Roman"/>
          <w:color w:val="000000"/>
          <w:sz w:val="20"/>
        </w:rPr>
        <w:t>— Consistent with industry practice, the Company generally offers Customers a right of return for unopened product that has been 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its own sales information, including its visibility into the inventory remaining in the distribution channel. The Company's current return reserve percentage is estimated to be in the low single digits. Adjustments to the returns reserve are made when changes in the Company's assumptions result in revised estimates to the Company’s assumptions.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Provider Chargebacks and Discounts </w:t>
      </w:r>
      <w:r>
        <w:rPr>
          <w:rFonts w:ascii="Times New Roman" w:hAnsi="Times New Roman"/>
          <w:color w:val="000000"/>
          <w:sz w:val="20"/>
        </w:rPr>
        <w:t>— Chargebacks for fees and discounts to providers represent the estimated obligations resulting from contractual 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Government Rebates </w:t>
      </w:r>
      <w:r>
        <w:rPr>
          <w:rFonts w:ascii="Times New Roman" w:hAnsi="Times New Roman"/>
          <w:color w:val="000000"/>
          <w:sz w:val="20"/>
        </w:rPr>
        <w:t xml:space="preserve">— The Company is subject to discount obligations under Medicare and state Medicaid programs. These reserves are recorded in the 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and Furoscix, the Company also estimates the number of patients in the initial and catastrophic phases of the Part D benefit for whom the Company will owe an additional liability under the Medicare Part D Manufacturer Discount Program. The Company’s liability for these rebates consists of invoices received for claims from prior quarters that have not been paid or for which an invoice has not yet been received, estimates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claims for the current quarter, and estimated future claims that will be made for products that have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Payer Rebates </w:t>
      </w:r>
      <w:r>
        <w:rPr>
          <w:rFonts w:ascii="Times New Roman" w:hAnsi="Times New Roman"/>
          <w:color w:val="000000"/>
          <w:sz w:val="20"/>
        </w:rPr>
        <w:t>— The Company contracts with certain private payer organizations, primarily insurance companies and pharmacy benefit managers, for the 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Incentives </w:t>
      </w:r>
      <w:r>
        <w:rPr>
          <w:rFonts w:ascii="Times New Roman" w:hAnsi="Times New Roman"/>
          <w:color w:val="000000"/>
          <w:sz w:val="20"/>
        </w:rPr>
        <w:t>— Other incentives which the Company offers include voluntary patient support programs, such as the Company's co-pay assistance 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Revenue Recognition — Collaborations and Services </w:t>
      </w:r>
      <w:r>
        <w:rPr>
          <w:rFonts w:ascii="Times New Roman" w:hAnsi="Times New Roman"/>
          <w:color w:val="000000"/>
          <w:sz w:val="20"/>
        </w:rPr>
        <w:t xml:space="preserve">— The Company enters into licensing, research or other agreements under which the 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If an arrangement has multiple performance obligations, the allocation of the transaction price is determined from observable market inputs, if available,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However, the timing of recognition is based on the Company’s current estimates and, if the estimates should change in the future, the Company may recognize a different amount of deferred revenue over the next 12-month period. For further information, see Note 10 – </w:t>
      </w:r>
      <w:r>
        <w:rPr>
          <w:rFonts w:ascii="Times New Roman" w:hAnsi="Times New Roman"/>
          <w:i/>
          <w:color w:val="000000"/>
          <w:sz w:val="20"/>
        </w:rPr>
        <w:t>Collaborations, Licensing and Other Arrangements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including estimating future revenue to be earned over the contract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Company’s revenue calculation. If a milestone is not considered probable at inception, it is excluded from the transaction price and no revenue is recognized related to that milestone until it becomes probable of achievement. At that time, the milestone consideration is added to the transaction price and typically recognized through a cumulative catch-up adjustment based on the Company’s measure of progress toward satisfaction of the related performance obligation.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evaluates grants of additional licensing rights upon option exercises to determine whether such should be accounted for as separate contracts. Any change in transaction price is assessed by management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the change in estimated variable consideration relates to performance obligations that have been partially or fully satisfied, the effect of the change is recognized as an adjustment to revenue in the period of the change. This adjustment is recorded on a cumulative catch-up basis, reflecting the amount of revenue that would have been recognized if the revised estimate had been used since contract inception.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the change in estimated variable consideration relates to performance obligations that have not yet been satisfied, or when the Company elects to use the practical alternative described below, the effect of the change is recognized prospectively over the remaining performance period.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With respect to the Company's significant collaboration and service agreement with UT that includes a long-term commercial supply agreement (as amended, the “CSA”), the Company initially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the manufacturing and supply of product (“Manufacturing Services”). Pre-production activities under the CSA, such as facility expansion services and other administrative services, were recorded to deferred revenue and are recognized over the Manufacturing Services performance obligation as required by ASC 606. Under the CSA, UT issued purchase orders for the supply of Tyvaso DPI with revenue recognized at the point in time in which control of the product is transferred to UT, and deferred revenue is recognized as product is delivered over the CSA term using an output method based on the estimate of the measurement of progress. In January 2026, the Company and UT executed the Seventh Amendment to the CSA (the “Seventh Amendment”) which modified the CSA by establishing minimum annual purchase obligations for commercial supply as well as tiered pricing dependent on the volume of units purchased beginning in 2026 through the end of the CSA term. The Seventh Amendment is accounted for as a termination of the existing contract and the creation of a new contract. The outstanding balance of deferred revenue from the prior contract was carried forward into the new contract and included with the consideration expected to be received under the modified pricing terms. Upon the execution of the Seventh Amendment, the Company assessed the CSA with UT and determined that a material right existed for the optional manufacturing services and elected to account for it using the practical alternative allowed for under ASC 606 (i.e., allocate the transaction price to the optional services by reference to the services expected to be provided and the corresponding expected consideration). Under this practical alternative, the Company has made a policy election to recognize changes in estimated consideration attributable to the contract prospectively, such that the amount of revenue to be recognized per unit for future deliveries is adjusted, without recording a cumulative catch-up to amounts recognized in prior periods. Revenue is then recognized at the point in time in which control of the product is transferred to UT. See Note 10 – </w:t>
      </w:r>
      <w:r>
        <w:rPr>
          <w:rFonts w:ascii="Times New Roman" w:hAnsi="Times New Roman"/>
          <w:i/>
          <w:color w:val="000000"/>
          <w:sz w:val="20"/>
        </w:rPr>
        <w:t>Collaborations, Licensing and Other Arrangements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Revenue Recognition — Royalties —</w:t>
      </w:r>
      <w:r>
        <w:rPr>
          <w:rFonts w:ascii="Times New Roman" w:hAnsi="Times New Roman"/>
          <w:color w:val="000000"/>
          <w:sz w:val="20"/>
        </w:rPr>
        <w:t xml:space="preserve"> The Company recognizes royalty revenue for a sales-based or usage-based royalty if it is promised in exchange for an intellectual property license. The royalty revenue is recognized as the subsequent sale of the product occurs or, if later and applicable, the satisfaction or partial satisfaction of the performance obligation to which the royalty has been allocated. The Company’s UT License Agreement (as defined in Note 10 – </w:t>
      </w:r>
      <w:r>
        <w:rPr>
          <w:rFonts w:ascii="Times New Roman" w:hAnsi="Times New Roman"/>
          <w:i/>
          <w:color w:val="000000"/>
          <w:sz w:val="20"/>
        </w:rPr>
        <w:t>Collaborations, Licensing and Other Arrangements</w:t>
      </w:r>
      <w:r>
        <w:rPr>
          <w:rFonts w:ascii="Times New Roman" w:hAnsi="Times New Roman"/>
          <w:color w:val="000000"/>
          <w:sz w:val="20"/>
        </w:rPr>
        <w:t xml:space="preserve">) entitles it to receive a 10% royalty on net sales of Tyvaso DPI for the license of the Company’s IP that was considered 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i/>
          <w:color w:val="000000"/>
          <w:sz w:val="20"/>
        </w:rPr>
        <w:t xml:space="preserve">Milestone Payments </w:t>
      </w:r>
      <w:r>
        <w:rPr>
          <w:rFonts w:ascii="Times New Roman" w:hAnsi="Times New Roman"/>
          <w:color w:val="000000"/>
          <w:sz w:val="20"/>
        </w:rPr>
        <w:t>— At the inception of each arrangement that includes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net revenue and cost of revenue and cost of goods sold as shown on the condensed consolidated statement of operations is comprised of the following (in thousands):</w:t>
      </w:r>
    </w:p>
    <w:tbl>
      <w:tblPr>
        <w:tblW w:w="7422" w:type="dxa"/>
        <w:jc w:val="left"/>
        <w:tblInd w:w="0" w:type="dxa"/>
        <w:tblLayout w:type="fixed"/>
        <w:tblCellMar>
          <w:top w:w="28" w:type="dxa"/>
          <w:left w:w="28" w:type="dxa"/>
          <w:bottom w:w="28" w:type="dxa"/>
          <w:right w:w="28" w:type="dxa"/>
        </w:tblCellMar>
      </w:tblPr>
      <w:tblGrid>
        <w:gridCol w:w="1946"/>
        <w:gridCol w:w="146"/>
        <w:gridCol w:w="211"/>
        <w:gridCol w:w="781"/>
        <w:gridCol w:w="146"/>
        <w:gridCol w:w="146"/>
        <w:gridCol w:w="211"/>
        <w:gridCol w:w="676"/>
        <w:gridCol w:w="146"/>
        <w:gridCol w:w="146"/>
        <w:gridCol w:w="211"/>
        <w:gridCol w:w="781"/>
        <w:gridCol w:w="146"/>
        <w:gridCol w:w="146"/>
        <w:gridCol w:w="211"/>
        <w:gridCol w:w="781"/>
        <w:gridCol w:w="5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Product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Royalties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the revenue from Afrezza, Furoscix and V-Go sales to wholesale distributors, specialty and retail pharmacies, DMEs, specialty distributors and direct purchasers and from the manufacture of Tyvaso DPI delivered to UT.</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Amounts represent revenue generated from the Company's collaboration arrangements, including services related to the development agreement with UT as well as arrangements with other collaboration partners. See Note 10 – </w:t>
      </w:r>
      <w:r>
        <w:rPr>
          <w:rFonts w:ascii="Times New Roman" w:hAnsi="Times New Roman"/>
          <w:i/>
          <w:color w:val="000000"/>
          <w:sz w:val="18"/>
        </w:rPr>
        <w:t>Collaborations, Licensing and Other Arrangements</w:t>
      </w:r>
      <w:r>
        <w:rPr>
          <w:rFonts w:ascii="Times New Roman" w:hAnsi="Times New Roman"/>
          <w:color w:val="000000"/>
          <w:sz w:val="18"/>
        </w:rPr>
        <w:t xml:space="preserve">. </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Amounts represent royalties earned based on UT’s net revenue from Tyvaso DPI sales.</w:t>
      </w:r>
    </w:p>
    <w:tbl>
      <w:tblPr>
        <w:tblW w:w="9252" w:type="dxa"/>
        <w:jc w:val="left"/>
        <w:tblInd w:w="0" w:type="dxa"/>
        <w:tblLayout w:type="fixed"/>
        <w:tblCellMar>
          <w:top w:w="28" w:type="dxa"/>
          <w:left w:w="28" w:type="dxa"/>
          <w:bottom w:w="28" w:type="dxa"/>
          <w:right w:w="28" w:type="dxa"/>
        </w:tblCellMar>
      </w:tblPr>
      <w:tblGrid>
        <w:gridCol w:w="4091"/>
        <w:gridCol w:w="146"/>
        <w:gridCol w:w="211"/>
        <w:gridCol w:w="676"/>
        <w:gridCol w:w="146"/>
        <w:gridCol w:w="146"/>
        <w:gridCol w:w="211"/>
        <w:gridCol w:w="676"/>
        <w:gridCol w:w="146"/>
        <w:gridCol w:w="146"/>
        <w:gridCol w:w="211"/>
        <w:gridCol w:w="676"/>
        <w:gridCol w:w="146"/>
        <w:gridCol w:w="146"/>
        <w:gridCol w:w="211"/>
        <w:gridCol w:w="676"/>
        <w:gridCol w:w="591"/>
      </w:tblGrid>
      <w:tr>
        <w:trPr/>
        <w:tc>
          <w:tcPr>
            <w:tcW w:w="4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goods sold and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goods sold and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Goods Sold — Commercial </w:t>
      </w:r>
      <w:r>
        <w:rPr>
          <w:rFonts w:ascii="Times New Roman" w:hAnsi="Times New Roman"/>
          <w:color w:val="000000"/>
          <w:sz w:val="20"/>
        </w:rPr>
        <w:t xml:space="preserve">— Cost of goods sold - commercial is associated with the product revenue for Afrezza, Furoscix and V-Go and includes material, labor costs and manufacturing overhead. Write-offs of inventory and certain other period costs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The Company incurs a quarterly capacity fee through its agreement with Amphastar which is included in cost of goods sold. See Note 15 – </w:t>
      </w:r>
      <w:r>
        <w:rPr>
          <w:rFonts w:ascii="Times New Roman" w:hAnsi="Times New Roman"/>
          <w:i/>
          <w:color w:val="000000"/>
          <w:sz w:val="20"/>
        </w:rPr>
        <w:t>Commitments and Contingencies</w:t>
      </w:r>
      <w:r>
        <w:rPr>
          <w:rFonts w:ascii="Times New Roman" w:hAnsi="Times New Roman"/>
          <w:color w:val="000000"/>
          <w:sz w:val="20"/>
        </w:rPr>
        <w:t xml:space="preserve"> for additional information on this agreement. All insulin inventory on hand was written off and the full purchase commitment contract to purchase future insulin was accrued as a recognized loss on purchase commitments in prior years.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Revenue </w:t>
      </w:r>
      <w:r>
        <w:rPr>
          <w:rFonts w:ascii="Times New Roman" w:hAnsi="Times New Roman"/>
          <w:color w:val="000000"/>
          <w:sz w:val="20"/>
        </w:rPr>
        <w:t xml:space="preserve">— </w:t>
      </w:r>
      <w:r>
        <w:rPr>
          <w:rFonts w:ascii="Times New Roman" w:hAnsi="Times New Roman"/>
          <w:i/>
          <w:color w:val="000000"/>
          <w:sz w:val="20"/>
        </w:rPr>
        <w:t>Collaborations and Services</w:t>
      </w:r>
      <w:r>
        <w:rPr>
          <w:rFonts w:ascii="Times New Roman" w:hAnsi="Times New Roman"/>
          <w:color w:val="000000"/>
          <w:sz w:val="20"/>
        </w:rPr>
        <w:t xml:space="preserve"> — Cost of revenue for collaborations and services is primarily associated with product revenue for Tyvaso DPI and includes material, labor costs and manufacturing overhead. Write-offs of inventory and certain other period costs are recorded as expenses in the period in which they are incurred, rather than as a portion of inventory costs. Cost of revenue for collaborations and services also includes the cost of product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w:t>
      </w:r>
      <w:r>
        <w:rPr>
          <w:rFonts w:ascii="Times New Roman" w:hAnsi="Times New Roman"/>
          <w:color w:val="000000"/>
          <w:sz w:val="20"/>
        </w:rPr>
        <w:t xml:space="preserve"> Clinical trial expenses result from obligations under contracts with vendors, consultants and clinical site agreements in addition to internal costs associated with conducting clinical trials. R&amp;D costs are expensed as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 </w:t>
      </w:r>
    </w:p>
    <w:p>
      <w:pPr>
        <w:pStyle w:val="TextBody"/>
        <w:bidi w:val="0"/>
        <w:spacing w:before="240" w:after="283"/>
        <w:jc w:val="left"/>
        <w:rPr>
          <w:rFonts w:ascii="Times New Roman" w:hAnsi="Times New Roman"/>
          <w:sz w:val="20"/>
        </w:rPr>
      </w:pPr>
      <w:r>
        <w:rPr>
          <w:rFonts w:ascii="Times New Roman" w:hAnsi="Times New Roman"/>
          <w:i/>
          <w:color w:val="000000"/>
          <w:sz w:val="20"/>
        </w:rPr>
        <w:t>Cash, Cash Equivalents and Restricted Cash</w:t>
      </w:r>
      <w:r>
        <w:rPr>
          <w:rFonts w:ascii="Times New Roman" w:hAnsi="Times New Roman"/>
          <w:color w:val="000000"/>
          <w:sz w:val="20"/>
        </w:rPr>
        <w:t xml:space="preserve"> — The Company considers all highly liquid investments with original maturities of 90 days or less at the time of purchase, that are readily convertible into cash to be cash equivalents. As of June 30, 2026 and December 31, 2025, cash equivalents were comprised of interest-bearing money market funds, U.S. Treasury securities, corporate bonds and commercial paper with original maturities of 90 days or less from the date of purchase.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w:t>
      </w:r>
    </w:p>
    <w:p>
      <w:pPr>
        <w:pStyle w:val="TextBody"/>
        <w:bidi w:val="0"/>
        <w:spacing w:before="240" w:after="283"/>
        <w:jc w:val="left"/>
        <w:rPr>
          <w:rFonts w:ascii="Times New Roman" w:hAnsi="Times New Roman"/>
          <w:sz w:val="20"/>
        </w:rPr>
      </w:pPr>
      <w:r>
        <w:rPr>
          <w:rFonts w:ascii="Times New Roman" w:hAnsi="Times New Roman"/>
          <w:i/>
          <w:color w:val="000000"/>
          <w:sz w:val="20"/>
        </w:rPr>
        <w:t>Available-for-Sale Investments</w:t>
      </w:r>
      <w:r>
        <w:rPr>
          <w:rFonts w:ascii="Times New Roman" w:hAnsi="Times New Roman"/>
          <w:color w:val="000000"/>
          <w:sz w:val="20"/>
        </w:rPr>
        <w:t xml:space="preserve"> — The Company's available-for-sale investments consist primarily of highly liquid money market funds, commercial bonds and paper, and U.S. Treasury securities that are intended to facilitate liquidity and capital preservation. Available-for-sale investments are measured at fair value with realized gains and losses and unrealized losses related to credit risk reported in other income (expense) in the consolidated statements of operations. Unrealized holding gains and losses are excluded from earnings and reported in other comprehensive income until realized. These investments with maturities less than 12 months are included in short-term investments and investments with maturities in excess of 12 months are included in long-term investments in the condensed consolidated balance sheets. The accretion of these investments, net of amortization, is recognized as interest income in the condensed consolidated statements of operations. See Note 3 – </w:t>
      </w: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Concentration of Credit Risk</w:t>
      </w:r>
      <w:r>
        <w:rPr>
          <w:rFonts w:ascii="Times New Roman" w:hAnsi="Times New Roman"/>
          <w:color w:val="000000"/>
          <w:sz w:val="20"/>
        </w:rPr>
        <w:t xml:space="preserve"> — Financial instruments that potentially subject the Company to concentration of credit risk consisted of cash and cash equivalents and investments. Cash and cash equivalents are held in high credit quality institutions. Cash equivalents consisted of interest-bearing money market funds and U.S. Treasury securities with original or remaining maturities of 90 days or less at the time of purchase. Investments generally consisted of commercial paper, corporate notes or bonds and U.S. Treasury securities. Cash equivalents and investments are regularly monitored by management.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Accounts Receivable and Allowance for Credit Losses </w:t>
      </w:r>
      <w:r>
        <w:rPr>
          <w:rFonts w:ascii="Times New Roman" w:hAnsi="Times New Roman"/>
          <w:color w:val="000000"/>
          <w:sz w:val="20"/>
        </w:rPr>
        <w:t>— Accounts receivable are recorded at the invoiced amount and are not interest bearing. Accounts 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Pre-Launch Inventory </w:t>
      </w:r>
      <w:r>
        <w:rPr>
          <w:rFonts w:ascii="Times New Roman" w:hAnsi="Times New Roman"/>
          <w:color w:val="000000"/>
          <w:sz w:val="20"/>
        </w:rPr>
        <w:t xml:space="preserve">— The Company periodically evaluates whether costs incurred to manufacture inventory prior to regulatory approval or commercial validation should be capitalized as inventory or expensed as research and development. Such costs are capitalized only when management determines that the inventory is expected to provide probable future economic benefit and is likely to be used in commercial production.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and would instead recognize such costs as R&amp;D expense in the period incurred. See Note 5 – </w:t>
      </w:r>
      <w:r>
        <w:rPr>
          <w:rFonts w:ascii="Times New Roman" w:hAnsi="Times New Roman"/>
          <w:i/>
          <w:color w:val="000000"/>
          <w:sz w:val="20"/>
        </w:rPr>
        <w:t>Inventories.</w:t>
      </w:r>
    </w:p>
    <w:p>
      <w:pPr>
        <w:pStyle w:val="TextBody"/>
        <w:bidi w:val="0"/>
        <w:spacing w:before="240" w:after="283"/>
        <w:jc w:val="left"/>
        <w:rPr>
          <w:rFonts w:ascii="Times New Roman" w:hAnsi="Times New Roman"/>
          <w:sz w:val="20"/>
        </w:rPr>
      </w:pPr>
      <w:r>
        <w:rPr>
          <w:rFonts w:ascii="Times New Roman" w:hAnsi="Times New Roman"/>
          <w:i/>
          <w:color w:val="000000"/>
          <w:sz w:val="20"/>
        </w:rPr>
        <w:t>Inventories</w:t>
      </w:r>
      <w:r>
        <w:rPr>
          <w:rFonts w:ascii="Times New Roman" w:hAnsi="Times New Roman"/>
          <w:color w:val="000000"/>
          <w:sz w:val="20"/>
        </w:rPr>
        <w:t xml:space="preserve"> — Inventories are stated at the lower of cost or net realizable value. The Company determines the cost of inventory using the first-in, first-out, or FIFO, method. The Company capitalizes inventory costs associated with the Company’s products based on management’s judgment that future economic benefits are expected to be realized; otherwise, such costs are expensed as incurred as cost of goods sold. The Company uses contract manufacturing organizations ("CMOs") in the U.S. and outside of the U.S. to produce its Furoscix inventory and a CMO outside of the U.S. for certain stages of V-Go inventory.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analyzes its inventory levels to identify inventory that may expire or has a cost basis in excess of its estimated realizable value. The Company performs an assessment of projected sales and evaluates the lower of cost or net realizable value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excess inventory on hand at the end of each reporting period. Excess and obsolete inventory identified, if any, are recorded as an inventory write-off within the condensed consolidated statements of operations and comprehensive loss.</w:t>
      </w:r>
    </w:p>
    <w:p>
      <w:pPr>
        <w:pStyle w:val="TextBody"/>
        <w:bidi w:val="0"/>
        <w:spacing w:before="24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 Property and equipment is recorded at historical cost, net of accumulated depreciation. Depreciation expense is recorded over the assets’ useful lives on a straight-line basis and included in cost of goods sold, research and development, and selling, general and administrative expense in the condensed consolidated statements of operations. See Note 6 – </w:t>
      </w:r>
      <w:r>
        <w:rPr>
          <w:rFonts w:ascii="Times New Roman" w:hAnsi="Times New Roman"/>
          <w:i/>
          <w:color w:val="000000"/>
          <w:sz w:val="20"/>
        </w:rPr>
        <w:t>Property and Equipment</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 Long-lived assets include property and equipment, operating lease right-of-use assets and other intangible assets. The Company evaluates long-lived assets for impairment whenever events or changes in circumstances indicate that the carrying value of an asset may not be recoverable. Assets are considered to be impaired if the carrying value is considered to be unrecoverable.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believes an asset to be impaired, the impairment recognized is the amount by which the carrying value of the asset exceeds the fair value of the asset. Fair value is determined using market, income or cost approaches as appropriate for the asset. Any write-downs are treated as permanent reductions in the carrying amount of the asset and recognized as an operating loss.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Acquisitions — </w:t>
      </w:r>
      <w:r>
        <w:rPr>
          <w:rFonts w:ascii="Times New Roman" w:hAnsi="Times New Roman"/>
          <w:color w:val="000000"/>
          <w:sz w:val="20"/>
        </w:rPr>
        <w:t xml:space="preserve">The Company first determines whether a set of assets acquired constitute a business and should be accounted for as a business combination. If the assets acquired do not constitute a business, the Company accounts for the transaction as an asset acquisition. Business combinations are accounted for by means of the acquisition method of accounting. Under the acquisition method, assets acquired, including developed technology and in-process R&amp;D (“IPR&amp;D”),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 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 Measurement period adjustments related to acquired assets and liabilities may be recorded within one year of the acquisition date and are recognized in earnings in the period in which the adjustments are identified. The accompanying consolidated balance sheet as of June 30, 2026 includes certain assets acquired and liabilities assumed based on management’s preliminary estimates of their respective fair values such as valuation of acquired intangible assets, contingent liabilities and deferred tax assets and liabilities. The Company expects to finalize these fair value measurements as additional information becomes available, including completion of its review of acquired contractual arrangements and other relevant facts and circumstances. See Note 2 –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Goodwill and Other Intangible Assets — </w:t>
      </w:r>
      <w:r>
        <w:rPr>
          <w:rFonts w:ascii="Times New Roman" w:hAnsi="Times New Roman"/>
          <w:color w:val="000000"/>
          <w:sz w:val="20"/>
        </w:rPr>
        <w:t>Goodwill represents the excess of consideration transferred over the fair value of identifiable net assets acquired and is evaluated for impairment annually or more frequently if events or circumstances indicate impairment.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acquired intangible assets is determined using either a cost approach or an income approach. The 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The fair value of reporting units used in the impairment assessment is estimated using valuation techniques that may include market and income approaches. To the extent the carrying amount of a reporting unit is less than its estimated fair value, an impairment charge will be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IPR&amp;D acquired in a business combination is considered an indefinite-lived intangible asset until the completion or abandonment of the associated R&amp;D efforts. During the R&amp;D period, the asset is not amortized but rather is tested for impairment annually, or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pStyle w:val="TextBody"/>
        <w:bidi w:val="0"/>
        <w:spacing w:before="240" w:after="283"/>
        <w:jc w:val="left"/>
        <w:rPr>
          <w:rFonts w:ascii="Times New Roman" w:hAnsi="Times New Roman"/>
          <w:sz w:val="20"/>
        </w:rPr>
      </w:pPr>
      <w:r>
        <w:rPr>
          <w:rFonts w:ascii="Times New Roman" w:hAnsi="Times New Roman"/>
          <w:i/>
          <w:color w:val="000000"/>
          <w:sz w:val="20"/>
        </w:rPr>
        <w:t>Recognized Loss on Purchase Commitments</w:t>
      </w:r>
      <w:r>
        <w:rPr>
          <w:rFonts w:ascii="Times New Roman" w:hAnsi="Times New Roman"/>
          <w:color w:val="000000"/>
          <w:sz w:val="20"/>
        </w:rPr>
        <w:t xml:space="preserve"> — The Company reviews the terms of the long-term supply agreements and assesses the need for any accrual for estimated losses, such as lower of cost or net realizable value, that will not be recovered by future product sales. The recognized loss on purchase commitments is reduced as inventory items are received or as the liability is extinguished. See Note 15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Rights Liability</w:t>
      </w:r>
      <w:r>
        <w:rPr>
          <w:rFonts w:ascii="Times New Roman" w:hAnsi="Times New Roman"/>
          <w:color w:val="000000"/>
          <w:sz w:val="20"/>
        </w:rPr>
        <w:t xml:space="preserve"> — In July 2013, in conjunction with the execution of a (now repaid) loan agreement with Deerfield Private Design Fund II, L.P. 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See Note 15 – </w:t>
      </w:r>
      <w:r>
        <w:rPr>
          <w:rFonts w:ascii="Times New Roman" w:hAnsi="Times New Roman"/>
          <w:i/>
          <w:color w:val="000000"/>
          <w:sz w:val="20"/>
        </w:rPr>
        <w:t>Commitments and Contingencies.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2021, the Milestone Rights were purchased by Barings Global Special Situations Credit Fund 4 (Delaware), L.P. and Barings Global Special Situations Credit 4 (LUX) S.ar.l. (together, the “Milestone Purchasers”). As a result, the Milestone Purchasers have assumed the rights and obligations of the Original Milestone Purchasers and are now entitled to all rights under the Milestone Rights Agreement. The Milestone Rights liability is reported at fair value at the date of the agreement which is periodically offset against payments. See Note 11 – </w:t>
      </w:r>
      <w:r>
        <w:rPr>
          <w:rFonts w:ascii="Times New Roman" w:hAnsi="Times New Roman"/>
          <w:i/>
          <w:color w:val="000000"/>
          <w:sz w:val="20"/>
        </w:rPr>
        <w:t>Fair Value of Financial Instruments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Company’s condensed consolidated statements of operations as interest expense. Furthermore, the Milestone Rights liability is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8 – </w:t>
      </w:r>
      <w:r>
        <w:rPr>
          <w:rFonts w:ascii="Times New Roman" w:hAnsi="Times New Roman"/>
          <w:i/>
          <w:color w:val="000000"/>
          <w:sz w:val="20"/>
        </w:rPr>
        <w:t>Accrued Expenses and Other Current Liabilities</w:t>
      </w:r>
      <w:r>
        <w:rPr>
          <w:rFonts w:ascii="Times New Roman" w:hAnsi="Times New Roman"/>
          <w:color w:val="000000"/>
          <w:sz w:val="20"/>
        </w:rPr>
        <w:t xml:space="preserve"> and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Fair Value of Financial Instruments </w:t>
      </w:r>
      <w:r>
        <w:rPr>
          <w:rFonts w:ascii="Times New Roman" w:hAnsi="Times New Roman"/>
          <w:color w:val="000000"/>
          <w:sz w:val="20"/>
        </w:rPr>
        <w:t xml:space="preserve">— 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Quoted prices for identical instruments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Significant inputs to the valuation model are unobservable.</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 The provisions for federal, foreign, state and local income taxes are calculated on pre-tax income based on current tax law and include the 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Contingencies</w:t>
      </w:r>
      <w:r>
        <w:rPr>
          <w:rFonts w:ascii="Times New Roman" w:hAnsi="Times New Roman"/>
          <w:color w:val="000000"/>
          <w:sz w:val="20"/>
        </w:rPr>
        <w:t xml:space="preserve"> — The Company records a loss contingency for a liability when it is both probable that a liability has been incurred and the amount of the 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Stock-Based Compensation </w:t>
      </w:r>
      <w:r>
        <w:rPr>
          <w:rFonts w:ascii="Times New Roman" w:hAnsi="Times New Roman"/>
          <w:color w:val="000000"/>
          <w:sz w:val="20"/>
        </w:rPr>
        <w:t xml:space="preserve">— Share-based payments to employees, including grants of restricted stock units (“RSUs”), performance-based restricted stock units ("Performance RSUs"), performance-based non-qualified stock options awards (“PNQs”),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See Note 14 – </w:t>
      </w:r>
      <w:r>
        <w:rPr>
          <w:rFonts w:ascii="Times New Roman" w:hAnsi="Times New Roman"/>
          <w:i/>
          <w:color w:val="000000"/>
          <w:sz w:val="20"/>
        </w:rPr>
        <w:t>Stock-Based Compensation Expense</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 or Loss Per Share of Common Stock</w:t>
      </w:r>
      <w:r>
        <w:rPr>
          <w:rFonts w:ascii="Times New Roman" w:hAnsi="Times New Roman"/>
          <w:color w:val="000000"/>
          <w:sz w:val="20"/>
        </w:rPr>
        <w:t xml:space="preserve"> — Basic net income or loss per share ("EPS") is computed by dividing net income or loss by the weighted average number of common shares outstanding for the period. Diluted EPS reflects the effect of potential common stock issuances resulting from assumed stock option exercises and vesting of RSUs,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amends ASC 220-40,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xml:space="preserve">, to require disaggregated disclosure of income statement 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While the Company does not anticipate a material impact on its financial position, results of operations, or cash flows, adoption of this ASU will result in additional disclosures related to the disaggregation of income statement expenses.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which modifies the accounting for software costs under Subtopic 350-40, </w:t>
      </w:r>
      <w:r>
        <w:rPr>
          <w:rFonts w:ascii="Times New Roman" w:hAnsi="Times New Roman"/>
          <w:i/>
          <w:color w:val="000000"/>
          <w:sz w:val="20"/>
        </w:rPr>
        <w:t>Intangibles - Goodwill and Other - Internal-Use Software</w:t>
      </w:r>
      <w:r>
        <w:rPr>
          <w:rFonts w:ascii="Times New Roman" w:hAnsi="Times New Roman"/>
          <w:color w:val="000000"/>
          <w:sz w:val="20"/>
        </w:rPr>
        <w:t>. The objective of this ASU is to better align the accounting with how software is being developed by removing all references to prescriptive and sequential software development. Instead, an entity is required to start capitalizing software costs when both management has authorized and committed to funding the software project and it is probable that the project will be completed and the software will be used for its intended purpose. This ASU is effective for all entities subject to the internal-use software guidance in Subtopic 350-40 for annual reporting periods beginning after December 15, 2027. Early adoption is permitted at the start of an annual period. The Company is currently evaluating the potential impact of this ASU on its financial position, results of operations or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Business Combinations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7, 2025 (the "Merger Date"), the Company completed its merger with scPharmaceuticals Inc. ("scPharma") at a price of $5.35 per share in cash plus one non-tradable contingent value right ("CVR") per share, which represents the right to receive up to an aggregate amount of $1.00 per CVR in cash upon the achievement of certain regulatory and net sales milestones on or prior to the applicable milestone outside dates, for total consideration of up to $6.35 per share in cash, representing a total equity value of approximately $303.8 million and representing a total deal value of up to approximately $363.5 million if the CVR milestones are achieved at the maximum payment amount. </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Accounting Treatment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The merger with scPharma was accounted for as a business combination using the acquisition method of accounting, which requires the assets acquired and liabilities assumed to be recognized at their respective fair values as of the Merger Date and resulted in the recognition of a developed technology intangible asset of $194.0 million and an IPR&amp;D intangible asset of $129.6 million. The excess of purchase price over the fair value of the net assets acquired in this transaction was recorded as $65.7 million in goodwill. See Note 7 – </w:t>
      </w:r>
      <w:r>
        <w:rPr>
          <w:rFonts w:ascii="Times New Roman" w:hAnsi="Times New Roman"/>
          <w:i/>
          <w:color w:val="000000"/>
          <w:sz w:val="20"/>
        </w:rPr>
        <w:t>Goodwill and Other Intangible Assets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fair value of the acquired developed technology related to the on-body infusor and the IPR&amp;D were derived using an income approach, specifically a projected discounted cash flow method, adjusted for the probability of regulatory and commercial success. The projected discounted cash flow models used to estimate the Company’s Developed technology and IPR&amp;D reflect significant assumptions regarding the estimates a market participant would make in order to evaluate a commercial drug and a drug development asset,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extent, character and utility of the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cost-savings attributes of the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of the functional or economic obsolescence of each intangible asset,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relative risk and uncertainty associated with an investment in intangible assets</w:t>
        <w:br/>
      </w:r>
      <w:r>
        <w:rPr>
          <w:color w:val="000000"/>
        </w:rPr>
        <w:t>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The determination of the fair value of the developed technology and IPR&amp;D intangible assets as such, required management to make significant estimates and assumptions related to future cash flows and the discount rate. The discount rates used in the determination of fair value for developed technology and IPR&amp;D were both 23% and both used a royalty rate of 10%. The developed technology and IPR&amp;D are both Level 3 in the fair value hierarchy described above in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jc w:val="left"/>
        <w:rPr>
          <w:rFonts w:ascii="Times New Roman" w:hAnsi="Times New Roman"/>
          <w:i/>
          <w:color w:val="000000"/>
          <w:sz w:val="20"/>
        </w:rPr>
      </w:pPr>
      <w:r>
        <w:rPr>
          <w:rFonts w:ascii="Times New Roman" w:hAnsi="Times New Roman"/>
          <w:i/>
          <w:color w:val="000000"/>
          <w:sz w:val="20"/>
        </w:rPr>
        <w:t>Contingent Value Right ("CVR")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consideration for the CVR is included in Contingent consideration - current and Contingent consideration - long term in the consolidated balance sheets and is achieved through the following milestones: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240" w:after="283"/>
        <w:jc w:val="left"/>
        <w:rPr/>
      </w:pPr>
      <w:r>
        <w:rPr>
          <w:rFonts w:ascii="Times New Roman" w:hAnsi="Times New Roman"/>
          <w:i/>
          <w:color w:val="000000"/>
          <w:sz w:val="20"/>
        </w:rPr>
        <w:t xml:space="preserve">Milestone 1: </w:t>
      </w:r>
      <w:r>
        <w:rPr>
          <w:rFonts w:ascii="Times New Roman" w:hAnsi="Times New Roman"/>
          <w:color w:val="000000"/>
          <w:sz w:val="20"/>
        </w:rPr>
        <w:t>Receipt of FDA approval of a drug-device combination product comprising high concentration furosemide (the "ReadyFlow Formulation") delivered either in an autoinjector or a self-dose injection delivery system (such milestone, “Milestone 1”) with (a) $0.75</w:t>
      </w:r>
      <w:r>
        <w:rPr>
          <w:color w:val="000000"/>
        </w:rPr>
        <w:t xml:space="preserve"> </w:t>
      </w:r>
      <w:r>
        <w:rPr>
          <w:rFonts w:ascii="Times New Roman" w:hAnsi="Times New Roman"/>
          <w:color w:val="000000"/>
          <w:sz w:val="20"/>
        </w:rPr>
        <w:t>per CVR if Milestone 1 is achieved by September 30, 2026, (b) $0.50</w:t>
      </w:r>
      <w:r>
        <w:rPr>
          <w:color w:val="000000"/>
        </w:rPr>
        <w:t xml:space="preserve"> </w:t>
      </w:r>
      <w:r>
        <w:rPr>
          <w:rFonts w:ascii="Times New Roman" w:hAnsi="Times New Roman"/>
          <w:color w:val="000000"/>
          <w:sz w:val="20"/>
        </w:rPr>
        <w:t>per CVR if Milestone 1 is achieved by December 31, 2026 and (c) $0.25</w:t>
      </w:r>
      <w:r>
        <w:rPr>
          <w:color w:val="000000"/>
        </w:rPr>
        <w:t xml:space="preserve"> </w:t>
      </w:r>
      <w:r>
        <w:rPr>
          <w:rFonts w:ascii="Times New Roman" w:hAnsi="Times New Roman"/>
          <w:color w:val="000000"/>
          <w:sz w:val="20"/>
        </w:rPr>
        <w:t>per CVR if Milestone 1 is achieved by June 30, 2027. Milestone 1 was achieved on July 23, 2026, which will necessitate an aggregate payout of approximately $44.8</w:t>
      </w:r>
      <w:r>
        <w:rPr>
          <w:color w:val="000000"/>
        </w:rPr>
        <w:t xml:space="preserve"> </w:t>
      </w:r>
      <w:r>
        <w:rPr>
          <w:rFonts w:ascii="Times New Roman" w:hAnsi="Times New Roman"/>
          <w:color w:val="000000"/>
          <w:sz w:val="20"/>
        </w:rPr>
        <w:t xml:space="preserve">million in the third quarter of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left"/>
        <w:rPr/>
      </w:pPr>
      <w:r>
        <w:rPr>
          <w:rFonts w:ascii="Times New Roman" w:hAnsi="Times New Roman"/>
          <w:i/>
          <w:color w:val="000000"/>
          <w:sz w:val="20"/>
        </w:rPr>
        <w:t xml:space="preserve">Milestone 2: </w:t>
      </w:r>
      <w:r>
        <w:rPr>
          <w:rFonts w:ascii="Times New Roman" w:hAnsi="Times New Roman"/>
          <w:color w:val="000000"/>
          <w:sz w:val="20"/>
        </w:rPr>
        <w:t>Achievement in any trailing consecutive 12-month period ending prior to and including December 31, 2026 of at least $110.0</w:t>
      </w:r>
      <w:r>
        <w:rPr>
          <w:color w:val="000000"/>
        </w:rPr>
        <w:t xml:space="preserve"> </w:t>
      </w:r>
      <w:r>
        <w:rPr>
          <w:rFonts w:ascii="Times New Roman" w:hAnsi="Times New Roman"/>
          <w:color w:val="000000"/>
          <w:sz w:val="20"/>
        </w:rPr>
        <w:t>million of worldwide net sales of Furoscix and, if any, the ReadyFlow Formulation (collectively, the “Products”) in such 12-month period (“Milestone 2”) with (a) $0.25</w:t>
      </w:r>
      <w:r>
        <w:rPr>
          <w:color w:val="000000"/>
        </w:rPr>
        <w:t xml:space="preserve"> </w:t>
      </w:r>
      <w:r>
        <w:rPr>
          <w:rFonts w:ascii="Times New Roman" w:hAnsi="Times New Roman"/>
          <w:color w:val="000000"/>
          <w:sz w:val="20"/>
        </w:rPr>
        <w:t>per CVR upon the achievement of $120.0</w:t>
      </w:r>
      <w:r>
        <w:rPr>
          <w:color w:val="000000"/>
        </w:rPr>
        <w:t xml:space="preserve"> </w:t>
      </w:r>
      <w:r>
        <w:rPr>
          <w:rFonts w:ascii="Times New Roman" w:hAnsi="Times New Roman"/>
          <w:color w:val="000000"/>
          <w:sz w:val="20"/>
        </w:rPr>
        <w:t>million of worldwide net sales in such period and (b) between $0.10</w:t>
      </w:r>
      <w:r>
        <w:rPr>
          <w:color w:val="000000"/>
        </w:rPr>
        <w:t xml:space="preserve"> </w:t>
      </w:r>
      <w:r>
        <w:rPr>
          <w:rFonts w:ascii="Times New Roman" w:hAnsi="Times New Roman"/>
          <w:color w:val="000000"/>
          <w:sz w:val="20"/>
        </w:rPr>
        <w:t>and $0.25</w:t>
      </w:r>
      <w:r>
        <w:rPr>
          <w:color w:val="000000"/>
        </w:rPr>
        <w:t xml:space="preserve"> </w:t>
      </w:r>
      <w:r>
        <w:rPr>
          <w:rFonts w:ascii="Times New Roman" w:hAnsi="Times New Roman"/>
          <w:color w:val="000000"/>
          <w:sz w:val="20"/>
        </w:rPr>
        <w:t>per CVR if, as of December 31, 2026, the highest worldwide net sales in any trailing 12-month period were between $110.0</w:t>
      </w:r>
      <w:r>
        <w:rPr>
          <w:color w:val="000000"/>
        </w:rPr>
        <w:t xml:space="preserve"> </w:t>
      </w:r>
      <w:r>
        <w:rPr>
          <w:rFonts w:ascii="Times New Roman" w:hAnsi="Times New Roman"/>
          <w:color w:val="000000"/>
          <w:sz w:val="20"/>
        </w:rPr>
        <w:t>million and $120.0</w:t>
      </w:r>
      <w:r>
        <w:rPr>
          <w:color w:val="000000"/>
        </w:rPr>
        <w:t xml:space="preserve"> </w:t>
      </w:r>
      <w:r>
        <w:rPr>
          <w:rFonts w:ascii="Times New Roman" w:hAnsi="Times New Roman"/>
          <w:color w:val="000000"/>
          <w:sz w:val="20"/>
        </w:rPr>
        <w:t>million, which payment will be calculated on a straight-line basis such that the payment per CVR increases proportionally as worldwide net sales increase from $110.0</w:t>
      </w:r>
      <w:r>
        <w:rPr>
          <w:color w:val="000000"/>
        </w:rPr>
        <w:t xml:space="preserve"> </w:t>
      </w:r>
      <w:r>
        <w:rPr>
          <w:rFonts w:ascii="Times New Roman" w:hAnsi="Times New Roman"/>
          <w:color w:val="000000"/>
          <w:sz w:val="20"/>
        </w:rPr>
        <w:t>million to $120.0</w:t>
      </w:r>
      <w:r>
        <w:rPr>
          <w:color w:val="000000"/>
        </w:rPr>
        <w:t xml:space="preserve"> </w:t>
      </w:r>
      <w:r>
        <w:rPr>
          <w:rFonts w:ascii="Times New Roman" w:hAnsi="Times New Roman"/>
          <w:color w:val="000000"/>
          <w:sz w:val="20"/>
        </w:rPr>
        <w:t>million. Milestone 2 will not be achieved if trailing worldwide net sales are less than $110.0</w:t>
      </w:r>
      <w:r>
        <w:rPr>
          <w:color w:val="000000"/>
        </w:rPr>
        <w:t xml:space="preserve"> </w:t>
      </w:r>
      <w:r>
        <w:rPr>
          <w:rFonts w:ascii="Times New Roman" w:hAnsi="Times New Roman"/>
          <w:color w:val="000000"/>
          <w:sz w:val="20"/>
        </w:rPr>
        <w:t>million during this period. No payment shall be made if the highest worldwide net sales in any trailing twelve-month period are less than $110.0</w:t>
      </w:r>
      <w:r>
        <w:rPr>
          <w:color w:val="000000"/>
        </w:rPr>
        <w:t xml:space="preserve"> </w:t>
      </w:r>
      <w:r>
        <w:rPr>
          <w:rFonts w:ascii="Times New Roman" w:hAnsi="Times New Roman"/>
          <w:color w:val="000000"/>
          <w:sz w:val="20"/>
        </w:rPr>
        <w:t xml:space="preserve">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CVR was valued using both a Scenario-Based Method for Milestone 1 and a Monte Carlo Simulation Method for Milestone 2 to estimate the probability of success. The probability adjusted cash flow included significant estimates and assumptions pertaining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commercialization events and net sales received by the Company during the term of the CVR Agreement (as discussed above). See Note 11 – </w:t>
      </w:r>
      <w:r>
        <w:rPr>
          <w:rFonts w:ascii="Times New Roman" w:hAnsi="Times New Roman"/>
          <w:i/>
          <w:color w:val="000000"/>
          <w:sz w:val="20"/>
        </w:rPr>
        <w:t>Fair Value of Financial Instruments</w:t>
      </w:r>
      <w:r>
        <w:rPr>
          <w:rFonts w:ascii="Times New Roman" w:hAnsi="Times New Roman"/>
          <w:color w:val="000000"/>
          <w:sz w:val="20"/>
        </w:rPr>
        <w:t xml:space="preserve"> for the key assumptions used in determining fair value.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contingent consideration liability is remeasured each subsequent reporting period until the related contingencies have been resolved. For the three and six months ended June 30, 2026, the Company recorded $5.0 and $7.8 million to other expense as a result of the remeasurement of the fair value of the contingent consideration liability obtained from the acquisition of scPharma. The following table summarizes the activities within the account balance as of June 30, 2026 (in thousands):</w:t>
      </w:r>
    </w:p>
    <w:tbl>
      <w:tblPr>
        <w:tblW w:w="4645" w:type="dxa"/>
        <w:jc w:val="left"/>
        <w:tblInd w:w="0" w:type="dxa"/>
        <w:tblLayout w:type="fixed"/>
        <w:tblCellMar>
          <w:top w:w="28" w:type="dxa"/>
          <w:left w:w="28" w:type="dxa"/>
          <w:bottom w:w="28" w:type="dxa"/>
          <w:right w:w="28" w:type="dxa"/>
        </w:tblCellMar>
      </w:tblPr>
      <w:tblGrid>
        <w:gridCol w:w="3421"/>
        <w:gridCol w:w="146"/>
        <w:gridCol w:w="211"/>
        <w:gridCol w:w="676"/>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Measurement period adjustments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During the three and six months ended June 30, 2026, the Company did not record any measurement period adjustments to its acquired assets and liabilities. The Company expects to finalize the purchase price allocation within the one year measurement period, ending October 7,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Investments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Cash Equivalents </w:t>
      </w:r>
      <w:r>
        <w:rPr>
          <w:rFonts w:ascii="Times New Roman" w:hAnsi="Times New Roman"/>
          <w:color w:val="000000"/>
          <w:sz w:val="20"/>
        </w:rPr>
        <w:t xml:space="preserve">— Cash equivalents consist of highly liquid investments with original maturities of 90 days or less at the time of purchase that are readily convertible into cash.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Available-for-Sale Investments Portfolio </w:t>
      </w:r>
      <w:r>
        <w:rPr>
          <w:rFonts w:ascii="Times New Roman" w:hAnsi="Times New Roman"/>
          <w:color w:val="000000"/>
          <w:sz w:val="20"/>
        </w:rPr>
        <w:t>—The Company's investments portfolio consists of highly liquid money market funds, commercial bonds and paper, and U.S. Treasury securities (collectively, the "Investments") for which the Company accounts for as available-for-sale. Unrealized gains and losses are recorded in other comprehensive (loss) income.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contractual maturities of the Investments are summarized below (in thousands):</w:t>
      </w:r>
    </w:p>
    <w:tbl>
      <w:tblPr>
        <w:tblW w:w="8813" w:type="dxa"/>
        <w:jc w:val="left"/>
        <w:tblInd w:w="0" w:type="dxa"/>
        <w:tblLayout w:type="fixed"/>
        <w:tblCellMar>
          <w:top w:w="28" w:type="dxa"/>
          <w:left w:w="28" w:type="dxa"/>
          <w:bottom w:w="28" w:type="dxa"/>
          <w:right w:w="28" w:type="dxa"/>
        </w:tblCellMar>
      </w:tblPr>
      <w:tblGrid>
        <w:gridCol w:w="3106"/>
        <w:gridCol w:w="146"/>
        <w:gridCol w:w="239"/>
        <w:gridCol w:w="765"/>
        <w:gridCol w:w="165"/>
        <w:gridCol w:w="165"/>
        <w:gridCol w:w="239"/>
        <w:gridCol w:w="765"/>
        <w:gridCol w:w="146"/>
        <w:gridCol w:w="146"/>
        <w:gridCol w:w="217"/>
        <w:gridCol w:w="803"/>
        <w:gridCol w:w="150"/>
        <w:gridCol w:w="150"/>
        <w:gridCol w:w="217"/>
        <w:gridCol w:w="803"/>
        <w:gridCol w:w="5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Due in one year or less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132,732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94,160</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137,733</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pPr>
      <w:r>
        <w:rPr>
          <w:rFonts w:ascii="Times New Roman" w:hAnsi="Times New Roman"/>
          <w:color w:val="000000"/>
          <w:sz w:val="18"/>
        </w:rPr>
        <w:t>The investments due in one year or less include cash equivalents of $35.9</w:t>
      </w:r>
      <w:r>
        <w:rPr>
          <w:rFonts w:ascii="Times New Roman" w:hAnsi="Times New Roman"/>
          <w:color w:val="000000"/>
          <w:sz w:val="20"/>
        </w:rPr>
        <w:t xml:space="preserve"> </w:t>
      </w:r>
      <w:r>
        <w:rPr>
          <w:rFonts w:ascii="Times New Roman" w:hAnsi="Times New Roman"/>
          <w:color w:val="000000"/>
          <w:sz w:val="18"/>
        </w:rPr>
        <w:t>million as of June 30, 2026</w:t>
      </w:r>
      <w:r>
        <w:rPr>
          <w:rFonts w:ascii="Times New Roman" w:hAnsi="Times New Roman"/>
          <w:color w:val="000000"/>
          <w:sz w:val="20"/>
        </w:rPr>
        <w:t xml:space="preserve"> and $</w:t>
      </w:r>
      <w:r>
        <w:rPr>
          <w:rFonts w:ascii="Times New Roman" w:hAnsi="Times New Roman"/>
          <w:color w:val="000000"/>
          <w:sz w:val="18"/>
        </w:rPr>
        <w:t>36.4</w:t>
      </w:r>
      <w:r>
        <w:rPr>
          <w:rFonts w:ascii="Times New Roman" w:hAnsi="Times New Roman"/>
          <w:color w:val="000000"/>
          <w:sz w:val="20"/>
        </w:rPr>
        <w:t xml:space="preserve"> </w:t>
      </w:r>
      <w:r>
        <w:rPr>
          <w:rFonts w:ascii="Times New Roman" w:hAnsi="Times New Roman"/>
          <w:color w:val="000000"/>
          <w:sz w:val="18"/>
        </w:rPr>
        <w:t>million as of December 31, 2025.</w:t>
      </w:r>
      <w:r>
        <w:rPr>
          <w:color w:val="00000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fair values of the Investments are disclosed below (dollars in thousands):</w:t>
      </w:r>
    </w:p>
    <w:tbl>
      <w:tblPr>
        <w:tblW w:w="10205" w:type="dxa"/>
        <w:jc w:val="left"/>
        <w:tblInd w:w="0" w:type="dxa"/>
        <w:tblLayout w:type="fixed"/>
        <w:tblCellMar>
          <w:top w:w="28" w:type="dxa"/>
          <w:left w:w="28" w:type="dxa"/>
          <w:bottom w:w="28" w:type="dxa"/>
          <w:right w:w="28" w:type="dxa"/>
        </w:tblCellMar>
      </w:tblPr>
      <w:tblGrid>
        <w:gridCol w:w="2507"/>
        <w:gridCol w:w="146"/>
        <w:gridCol w:w="1099"/>
        <w:gridCol w:w="146"/>
        <w:gridCol w:w="253"/>
        <w:gridCol w:w="884"/>
        <w:gridCol w:w="166"/>
        <w:gridCol w:w="146"/>
        <w:gridCol w:w="603"/>
        <w:gridCol w:w="993"/>
        <w:gridCol w:w="146"/>
        <w:gridCol w:w="146"/>
        <w:gridCol w:w="393"/>
        <w:gridCol w:w="703"/>
        <w:gridCol w:w="166"/>
        <w:gridCol w:w="146"/>
        <w:gridCol w:w="211"/>
        <w:gridCol w:w="736"/>
        <w:gridCol w:w="615"/>
      </w:tblGrid>
      <w:tr>
        <w:trPr/>
        <w:tc>
          <w:tcPr>
            <w:tcW w:w="2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7"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18,738</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42,284</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94,141</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58,201</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7"/>
        <w:gridCol w:w="146"/>
        <w:gridCol w:w="1093"/>
        <w:gridCol w:w="146"/>
        <w:gridCol w:w="245"/>
        <w:gridCol w:w="910"/>
        <w:gridCol w:w="166"/>
        <w:gridCol w:w="146"/>
        <w:gridCol w:w="524"/>
        <w:gridCol w:w="1050"/>
        <w:gridCol w:w="146"/>
        <w:gridCol w:w="146"/>
        <w:gridCol w:w="391"/>
        <w:gridCol w:w="699"/>
        <w:gridCol w:w="166"/>
        <w:gridCol w:w="146"/>
        <w:gridCol w:w="211"/>
        <w:gridCol w:w="781"/>
        <w:gridCol w:w="616"/>
      </w:tblGrid>
      <w:tr>
        <w:trPr/>
        <w:tc>
          <w:tcPr>
            <w:tcW w:w="2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Available-for-Sale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Holding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Holding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28,303</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bonds and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88,287</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(36,372</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101,476</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As of June 30, 2026 and December 31, 2025, there was $0.5 million and $0.7 million, respectively, of accrued interest receivable on investments which is included in prepaid expense and other current assets in the condensed consolidated balance sheets.</w:t>
      </w:r>
    </w:p>
    <w:p>
      <w:pPr>
        <w:pStyle w:val="TextBody"/>
        <w:bidi w:val="0"/>
        <w:spacing w:before="120" w:after="120"/>
        <w:jc w:val="left"/>
        <w:rPr>
          <w:rFonts w:ascii="Times New Roman" w:hAnsi="Times New Roman"/>
          <w:sz w:val="20"/>
        </w:rPr>
      </w:pPr>
      <w:r>
        <w:rPr>
          <w:rFonts w:ascii="Times New Roman" w:hAnsi="Times New Roman"/>
          <w:i/>
          <w:color w:val="000000"/>
          <w:sz w:val="20"/>
        </w:rPr>
        <w:t>Available-for-Sale Investment — Thirona —</w:t>
      </w:r>
      <w:r>
        <w:rPr>
          <w:rFonts w:ascii="Times New Roman" w:hAnsi="Times New Roman"/>
          <w:color w:val="000000"/>
          <w:sz w:val="20"/>
        </w:rPr>
        <w:t xml:space="preserve"> In June 2021 and January 2022, the Company purchased $3.0 million and $5.0 million, respectively, of convertible promissory notes issued by Thirona Bio, Inc. ("Thirona"). Following Thirona’s cessation of operations in September 2025 after recent clinical trial results, the Company determined the investment was other-than-temporarily impaired and recorded a $6.6 million impairment loss, inclusive of the write-off of $1.3 million of previously recognized unrealized gains, representing the fair value at that time. The Company also wrote off approximately $1.1 million of interest receivable, with the impairment recorded in other income (expense) in the consolidated statements of operations for the year ended December 31, 2025.</w:t>
      </w:r>
    </w:p>
    <w:p>
      <w:pPr>
        <w:pStyle w:val="TextBody"/>
        <w:bidi w:val="0"/>
        <w:spacing w:before="120" w:after="283"/>
        <w:jc w:val="left"/>
        <w:rPr>
          <w:rFonts w:ascii="Times New Roman" w:hAnsi="Times New Roman"/>
          <w:sz w:val="20"/>
        </w:rPr>
      </w:pPr>
      <w:r>
        <w:rPr>
          <w:rFonts w:ascii="Times New Roman" w:hAnsi="Times New Roman"/>
          <w:b/>
          <w:color w:val="000000"/>
          <w:sz w:val="20"/>
        </w:rPr>
        <w:t>4. Accounts Receivable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Accounts receivable, net consists of the following (in thousands): </w:t>
      </w:r>
    </w:p>
    <w:tbl>
      <w:tblPr>
        <w:tblW w:w="8620" w:type="dxa"/>
        <w:jc w:val="left"/>
        <w:tblInd w:w="0" w:type="dxa"/>
        <w:tblLayout w:type="fixed"/>
        <w:tblCellMar>
          <w:top w:w="28" w:type="dxa"/>
          <w:left w:w="28" w:type="dxa"/>
          <w:bottom w:w="28" w:type="dxa"/>
          <w:right w:w="28" w:type="dxa"/>
        </w:tblCellMar>
      </w:tblPr>
      <w:tblGrid>
        <w:gridCol w:w="4746"/>
        <w:gridCol w:w="146"/>
        <w:gridCol w:w="250"/>
        <w:gridCol w:w="875"/>
        <w:gridCol w:w="166"/>
        <w:gridCol w:w="146"/>
        <w:gridCol w:w="334"/>
        <w:gridCol w:w="1166"/>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Wholesaler distribution fees and prompt pay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 for returns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accounts receivable – commercial,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38,367</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was no allowance for credit losses for commercial accounts receivable or credit losses for collaborations and services accounts receivable. As of June 30, 2026 and December 31, 2025, the Company's three customers representing the largest individual accounts receivable balances accounted for approximately 66% and 68% of commercial accounts receivable, respectively. As of June 30, 2026 and December 31, 2025, the Company's collaboration partner, UT, accounted for 97% and 94%, respectively, of the collaborations and services 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UT accounted for approximately 61% of consolidated revenues for both the three and six months ended June 30, 2026 and 70% and 72% for the three and six months ended June 30, 2025, respectively. For the three and six months ended June 30, 2026, one single commercial customer accounted for 15% and 11%, respectively, of the Company's consolidated revenues. For the three months ended June 30, 2025, two other commercial customers each accounted for approximately 12% of the Company's consolidated revenues. For the six months ended June 30, 2025, two other commercial customers accounted for approximately 12% and 11% of the Company’s consolidated revenues.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Inventories consist of the following (in thousands): </w:t>
      </w:r>
    </w:p>
    <w:tbl>
      <w:tblPr>
        <w:tblW w:w="5050" w:type="dxa"/>
        <w:jc w:val="left"/>
        <w:tblInd w:w="0" w:type="dxa"/>
        <w:tblLayout w:type="fixed"/>
        <w:tblCellMar>
          <w:top w:w="28" w:type="dxa"/>
          <w:left w:w="28" w:type="dxa"/>
          <w:bottom w:w="28" w:type="dxa"/>
          <w:right w:w="28" w:type="dxa"/>
        </w:tblCellMar>
      </w:tblPr>
      <w:tblGrid>
        <w:gridCol w:w="1596"/>
        <w:gridCol w:w="146"/>
        <w:gridCol w:w="267"/>
        <w:gridCol w:w="858"/>
        <w:gridCol w:w="146"/>
        <w:gridCol w:w="146"/>
        <w:gridCol w:w="357"/>
        <w:gridCol w:w="1143"/>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Work-in-process and finished goods as of June 30, 2026 and December 31, 2025 include conversion costs and exclude the cost of insulin. All insulin inventory on hand was written off in prior years and the projected loss on the purchase commitment contract to purchase future insulin was accrued in prior years. See Note 15 – </w:t>
      </w:r>
      <w:r>
        <w:rPr>
          <w:rFonts w:ascii="Times New Roman" w:hAnsi="Times New Roman"/>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June 30, 2026 and December 31, 2025. Inventory that did not meet acceptable standards, or was forecasted to become obsolete due to expiration, is reserved for inventory obsolescence in the condensed consolidated balance sheets and recorded as costs of goods sold in the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and equipment consisted of the following (dollars in thousands): </w:t>
      </w:r>
    </w:p>
    <w:tbl>
      <w:tblPr>
        <w:tblW w:w="8452" w:type="dxa"/>
        <w:jc w:val="left"/>
        <w:tblInd w:w="0" w:type="dxa"/>
        <w:tblLayout w:type="fixed"/>
        <w:tblCellMar>
          <w:top w:w="28" w:type="dxa"/>
          <w:left w:w="28" w:type="dxa"/>
          <w:bottom w:w="28" w:type="dxa"/>
          <w:right w:w="28" w:type="dxa"/>
        </w:tblCellMar>
      </w:tblPr>
      <w:tblGrid>
        <w:gridCol w:w="3346"/>
        <w:gridCol w:w="146"/>
        <w:gridCol w:w="391"/>
        <w:gridCol w:w="929"/>
        <w:gridCol w:w="146"/>
        <w:gridCol w:w="146"/>
        <w:gridCol w:w="225"/>
        <w:gridCol w:w="900"/>
        <w:gridCol w:w="166"/>
        <w:gridCol w:w="146"/>
        <w:gridCol w:w="301"/>
        <w:gridCol w:w="1199"/>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Depreciation expense related to property and equipment was as follows (in thousands): </w:t>
      </w:r>
    </w:p>
    <w:tbl>
      <w:tblPr>
        <w:tblW w:w="6217" w:type="dxa"/>
        <w:jc w:val="left"/>
        <w:tblInd w:w="0" w:type="dxa"/>
        <w:tblLayout w:type="fixed"/>
        <w:tblCellMar>
          <w:top w:w="28" w:type="dxa"/>
          <w:left w:w="28" w:type="dxa"/>
          <w:bottom w:w="28" w:type="dxa"/>
          <w:right w:w="28" w:type="dxa"/>
        </w:tblCellMar>
      </w:tblPr>
      <w:tblGrid>
        <w:gridCol w:w="1876"/>
        <w:gridCol w:w="146"/>
        <w:gridCol w:w="211"/>
        <w:gridCol w:w="571"/>
        <w:gridCol w:w="146"/>
        <w:gridCol w:w="146"/>
        <w:gridCol w:w="211"/>
        <w:gridCol w:w="571"/>
        <w:gridCol w:w="146"/>
        <w:gridCol w:w="146"/>
        <w:gridCol w:w="211"/>
        <w:gridCol w:w="571"/>
        <w:gridCol w:w="146"/>
        <w:gridCol w:w="146"/>
        <w:gridCol w:w="211"/>
        <w:gridCol w:w="571"/>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20"/>
        </w:rPr>
        <w:t xml:space="preserve">During the six months ended June 30, 2026, the Company retired $0.1 million of building improvements and furniture, fixtures and office equipment, as they were no longer in service. The net book value for the disposed assets was </w:t>
      </w:r>
      <w:r>
        <w:rPr>
          <w:rFonts w:ascii="Times New Roman" w:hAnsi="Times New Roman"/>
          <w:i/>
          <w:color w:val="000000"/>
          <w:sz w:val="20"/>
        </w:rPr>
        <w:t>de minimis</w:t>
      </w:r>
      <w:r>
        <w:rPr>
          <w:rFonts w:ascii="Times New Roman" w:hAnsi="Times New Roman"/>
          <w:color w:val="000000"/>
          <w:sz w:val="20"/>
        </w:rPr>
        <w:t xml:space="preserve">. During the three and six months ended June 30, 2025, the Company retired $0.1 million of machinery and equipment as it was no longer in service. The net book value for the disposed assets in both periods was </w:t>
      </w:r>
      <w:r>
        <w:rPr>
          <w:rFonts w:ascii="Times New Roman" w:hAnsi="Times New Roman"/>
          <w:i/>
          <w:color w:val="000000"/>
          <w:sz w:val="20"/>
        </w:rPr>
        <w:t>de minimis</w:t>
      </w:r>
      <w:r>
        <w:rPr>
          <w:rFonts w:ascii="Times New Roman" w:hAnsi="Times New Roman"/>
          <w:color w:val="000000"/>
          <w:sz w:val="20"/>
        </w:rPr>
        <w:t>.</w:t>
      </w:r>
    </w:p>
    <w:p>
      <w:pPr>
        <w:pStyle w:val="TextBody"/>
        <w:bidi w:val="0"/>
        <w:jc w:val="left"/>
        <w:rPr>
          <w:rFonts w:ascii="Times New Roman" w:hAnsi="Times New Roman"/>
          <w:b/>
          <w:color w:val="000000"/>
          <w:sz w:val="20"/>
        </w:rPr>
      </w:pPr>
      <w:r>
        <w:rPr>
          <w:rFonts w:ascii="Times New Roman" w:hAnsi="Times New Roman"/>
          <w:b/>
          <w:color w:val="000000"/>
          <w:sz w:val="20"/>
        </w:rPr>
        <w:t>7. Goodwill and Other Intangible Assets</w:t>
      </w:r>
    </w:p>
    <w:p>
      <w:pPr>
        <w:pStyle w:val="TextBody"/>
        <w:bidi w:val="0"/>
        <w:spacing w:before="120" w:after="160"/>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 Goodwill represents the excess of the purchase price over the identifiable tangible and intangible assets acquired and liabilities assumed in business combinations. Goodwill is tested for impairment at least annually, or more frequently if events or changes in circumstances indicate that it may be impaired. The Company first performs a qualitative assessment to determine whether it is more likely than not that the fair value of a reporting unit is less than its carrying amount. If the qualitative assessment indicates that impairment may exist, a quantitative impairment test is performed.</w:t>
      </w:r>
    </w:p>
    <w:p>
      <w:pPr>
        <w:pStyle w:val="TextBody"/>
        <w:bidi w:val="0"/>
        <w:jc w:val="left"/>
        <w:rPr>
          <w:rFonts w:ascii="Times New Roman" w:hAnsi="Times New Roman"/>
          <w:sz w:val="20"/>
        </w:rPr>
      </w:pPr>
      <w:r>
        <w:rPr>
          <w:rFonts w:ascii="Times New Roman" w:hAnsi="Times New Roman"/>
          <w:color w:val="000000"/>
          <w:sz w:val="20"/>
        </w:rPr>
        <w:t xml:space="preserve">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2025, the Company recorded additions of $65.7 million to Goodwill related to its merger with scPharma. See Note 2 –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i/>
          <w:color w:val="000000"/>
          <w:sz w:val="20"/>
        </w:rPr>
        <w:t xml:space="preserve">Intangible Assets </w:t>
      </w:r>
      <w:r>
        <w:rPr>
          <w:rFonts w:ascii="Times New Roman" w:hAnsi="Times New Roman"/>
          <w:color w:val="000000"/>
          <w:sz w:val="20"/>
        </w:rPr>
        <w:t>— Intangible assets consisted of the following (dollars in thousands):</w:t>
      </w:r>
    </w:p>
    <w:tbl>
      <w:tblPr>
        <w:tblW w:w="11411" w:type="dxa"/>
        <w:jc w:val="left"/>
        <w:tblInd w:w="0" w:type="dxa"/>
        <w:tblLayout w:type="fixed"/>
        <w:tblCellMar>
          <w:top w:w="28" w:type="dxa"/>
          <w:left w:w="28" w:type="dxa"/>
          <w:bottom w:w="28" w:type="dxa"/>
          <w:right w:w="28" w:type="dxa"/>
        </w:tblCellMar>
      </w:tblPr>
      <w:tblGrid>
        <w:gridCol w:w="1126"/>
        <w:gridCol w:w="146"/>
        <w:gridCol w:w="168"/>
        <w:gridCol w:w="658"/>
        <w:gridCol w:w="146"/>
        <w:gridCol w:w="146"/>
        <w:gridCol w:w="211"/>
        <w:gridCol w:w="781"/>
        <w:gridCol w:w="146"/>
        <w:gridCol w:w="146"/>
        <w:gridCol w:w="178"/>
        <w:gridCol w:w="903"/>
        <w:gridCol w:w="166"/>
        <w:gridCol w:w="146"/>
        <w:gridCol w:w="211"/>
        <w:gridCol w:w="781"/>
        <w:gridCol w:w="546"/>
        <w:gridCol w:w="546"/>
        <w:gridCol w:w="211"/>
        <w:gridCol w:w="781"/>
        <w:gridCol w:w="146"/>
        <w:gridCol w:w="146"/>
        <w:gridCol w:w="270"/>
        <w:gridCol w:w="811"/>
        <w:gridCol w:w="166"/>
        <w:gridCol w:w="146"/>
        <w:gridCol w:w="211"/>
        <w:gridCol w:w="781"/>
        <w:gridCol w:w="5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on-body infusor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ReadyFlow Formulation – IPR&amp;D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iSPERSE License – IPR&amp;D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Developed technology – V-Go</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315,965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Included within Other intangible assets on the consolidated balance sheets.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Amortization expense related to the Developed technology – on-body infusor ("on-body infusor") was $4.3 million and $8.6 million for the three and six months ended June 30, 2026, respectively. The on-body infusor was acquired from scPharma in October 2025. See Note 2 – </w:t>
      </w:r>
      <w:r>
        <w:rPr>
          <w:rFonts w:ascii="Times New Roman" w:hAnsi="Times New Roman"/>
          <w:i/>
          <w:color w:val="000000"/>
          <w:sz w:val="20"/>
        </w:rPr>
        <w:t>Business Combinations</w:t>
      </w:r>
      <w:r>
        <w:rPr>
          <w:rFonts w:ascii="Times New Roman" w:hAnsi="Times New Roman"/>
          <w:color w:val="000000"/>
          <w:sz w:val="20"/>
        </w:rPr>
        <w:t xml:space="preserve">. The estimated annual amortization expense for the on-body infusor will be approximately $17.3 million per year for the years ending December 31, 2026 through 2036. Amortization expense related to the Developed technology – V-Go was </w:t>
      </w:r>
      <w:r>
        <w:rPr>
          <w:rFonts w:ascii="Times New Roman" w:hAnsi="Times New Roman"/>
          <w:i/>
          <w:color w:val="000000"/>
          <w:sz w:val="20"/>
        </w:rPr>
        <w:t xml:space="preserve">de minimis </w:t>
      </w:r>
      <w:r>
        <w:rPr>
          <w:rFonts w:ascii="Times New Roman" w:hAnsi="Times New Roman"/>
          <w:color w:val="000000"/>
          <w:sz w:val="20"/>
        </w:rPr>
        <w:t xml:space="preserve">and $0.1 million for the three and six months ended June 30, 2026 and </w:t>
      </w:r>
      <w:r>
        <w:rPr>
          <w:rFonts w:ascii="Times New Roman" w:hAnsi="Times New Roman"/>
          <w:i/>
          <w:color w:val="000000"/>
          <w:sz w:val="20"/>
        </w:rPr>
        <w:t>de minimis</w:t>
      </w:r>
      <w:r>
        <w:rPr>
          <w:rFonts w:ascii="Times New Roman" w:hAnsi="Times New Roman"/>
          <w:color w:val="000000"/>
          <w:sz w:val="20"/>
        </w:rPr>
        <w:t xml:space="preserve"> and $0.1 million for the three and six months ended June 30, 2025. The estimated annual amortization expense for the Developed technology – V-Go will be approximately $0.2 million per year for the years ending December 31, 2026 through 2029.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ReadyFlow Formulation is an indefinite-lived intangible asset, and as such is not amortized but rather is tested for impairment annually, or when facts or circumstances indicate the carrying value of the asset may not be recoverable. Once available for use, the intangible asset will be accounted for as a finite-lived intangible asset. The ReadyFlow Formulation was acquired from scPharma in October 2025 and was determined to be a Level 3 asset. See Note 11 – </w:t>
      </w:r>
      <w:r>
        <w:rPr>
          <w:rFonts w:ascii="Times New Roman" w:hAnsi="Times New Roman"/>
          <w:i/>
          <w:color w:val="000000"/>
          <w:sz w:val="20"/>
        </w:rPr>
        <w:t>Fair Value of Financial Instruments</w:t>
      </w:r>
      <w:r>
        <w:rPr>
          <w:rFonts w:ascii="Times New Roman" w:hAnsi="Times New Roman"/>
          <w:color w:val="000000"/>
          <w:sz w:val="20"/>
        </w:rPr>
        <w:t xml:space="preserve"> for a description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iSPERSE License – IPR&amp;D is an indefinite-lived intangible asset, and as such is not amortized but rather is tested for impairment annually, or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 IPR&amp;D was acquired from Pulmatrix in July 2024.</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evaluates its other intangible assets for potential impairment when events or changes in circumstances indicate that the carrying amount of an asset or asset group may not be recoverable. See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were comprised of the following (in thousands): </w:t>
      </w:r>
    </w:p>
    <w:tbl>
      <w:tblPr>
        <w:tblW w:w="8045" w:type="dxa"/>
        <w:jc w:val="left"/>
        <w:tblInd w:w="0" w:type="dxa"/>
        <w:tblLayout w:type="fixed"/>
        <w:tblCellMar>
          <w:top w:w="28" w:type="dxa"/>
          <w:left w:w="28" w:type="dxa"/>
          <w:bottom w:w="28" w:type="dxa"/>
          <w:right w:w="28" w:type="dxa"/>
        </w:tblCellMar>
      </w:tblPr>
      <w:tblGrid>
        <w:gridCol w:w="4591"/>
        <w:gridCol w:w="146"/>
        <w:gridCol w:w="267"/>
        <w:gridCol w:w="858"/>
        <w:gridCol w:w="146"/>
        <w:gridCol w:w="146"/>
        <w:gridCol w:w="357"/>
        <w:gridCol w:w="1143"/>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Discounts and allowances for 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operations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research organization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 organization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Current portion of milestone rights liability</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Returns reserve for acquired product</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 xml:space="preserve">See Note 15 </w:t>
      </w:r>
      <w:r>
        <w:rPr>
          <w:rFonts w:ascii="Times New Roman" w:hAnsi="Times New Roman"/>
          <w:color w:val="000000"/>
          <w:sz w:val="20"/>
        </w:rPr>
        <w:t xml:space="preserve">– </w:t>
      </w:r>
      <w:r>
        <w:rPr>
          <w:rFonts w:ascii="Times New Roman" w:hAnsi="Times New Roman"/>
          <w:i/>
          <w:color w:val="000000"/>
          <w:sz w:val="18"/>
        </w:rPr>
        <w:t>Commitments and Contingencies</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i/>
          <w:color w:val="000000"/>
          <w:sz w:val="18"/>
        </w:rPr>
        <w:t>Contingencies — Milestone Rights.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sz w:val="20"/>
        </w:rPr>
      </w:pPr>
      <w:r>
        <w:rPr>
          <w:rFonts w:ascii="Times New Roman" w:hAnsi="Times New Roman"/>
          <w:color w:val="000000"/>
          <w:sz w:val="18"/>
        </w:rPr>
        <w:t xml:space="preserve">See Note 15 </w:t>
      </w:r>
      <w:r>
        <w:rPr>
          <w:rFonts w:ascii="Times New Roman" w:hAnsi="Times New Roman"/>
          <w:color w:val="000000"/>
          <w:sz w:val="20"/>
        </w:rPr>
        <w:t xml:space="preserve">– </w:t>
      </w:r>
      <w:r>
        <w:rPr>
          <w:rFonts w:ascii="Times New Roman" w:hAnsi="Times New Roman"/>
          <w:i/>
          <w:color w:val="000000"/>
          <w:sz w:val="18"/>
        </w:rPr>
        <w:t>Commitments and Contingencies</w:t>
      </w:r>
      <w:r>
        <w:rPr>
          <w:rFonts w:ascii="Times New Roman" w:hAnsi="Times New Roman"/>
          <w:color w:val="000000"/>
          <w:sz w:val="20"/>
        </w:rPr>
        <w:t xml:space="preserve"> </w:t>
      </w:r>
      <w:r>
        <w:rPr>
          <w:rFonts w:ascii="Times New Roman" w:hAnsi="Times New Roman"/>
          <w:color w:val="000000"/>
          <w:sz w:val="18"/>
        </w:rPr>
        <w:t>under</w:t>
      </w:r>
      <w:r>
        <w:rPr>
          <w:rFonts w:ascii="Times New Roman" w:hAnsi="Times New Roman"/>
          <w:color w:val="000000"/>
          <w:sz w:val="20"/>
        </w:rPr>
        <w:t xml:space="preserve"> </w:t>
      </w:r>
      <w:r>
        <w:rPr>
          <w:rFonts w:ascii="Times New Roman" w:hAnsi="Times New Roman"/>
          <w:i/>
          <w:color w:val="000000"/>
          <w:sz w:val="18"/>
        </w:rPr>
        <w:t>Loss Contingencies — Returns Reserve for Acquired Product.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Borrowings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borrowings as of June 30, 2026 are as follows (in thousands):</w:t>
      </w:r>
    </w:p>
    <w:tbl>
      <w:tblPr>
        <w:tblW w:w="4450" w:type="dxa"/>
        <w:jc w:val="left"/>
        <w:tblInd w:w="0" w:type="dxa"/>
        <w:tblLayout w:type="fixed"/>
        <w:tblCellMar>
          <w:top w:w="28" w:type="dxa"/>
          <w:left w:w="28" w:type="dxa"/>
          <w:bottom w:w="28" w:type="dxa"/>
          <w:right w:w="28" w:type="dxa"/>
        </w:tblCellMar>
      </w:tblPr>
      <w:tblGrid>
        <w:gridCol w:w="2701"/>
        <w:gridCol w:w="346"/>
        <w:gridCol w:w="211"/>
        <w:gridCol w:w="781"/>
        <w:gridCol w:w="411"/>
      </w:tblGrid>
      <w:tr>
        <w:trPr/>
        <w:tc>
          <w:tcPr>
            <w:tcW w:w="27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Blackstone term loan, due 2030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principal payments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Blackstone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6, 2025 (the “Closing Date”), the Company entered into a senior secured term loan agreement, which was subsequently amended on August 24, 2025 (as amended, the “Credit Agreement”), with Blackstone Alternative Credit Advisors LP, as Blackstone Representative and Lead Arranger (in such capacity, “Blackstone”), the lenders party thereto from time to time, the subsidiary guarantors party thereto from time to time, and Wilmington Trust, National Association, as administrative agent and collateral agent for the lenders (in such capacity, the “Agent”).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credit facility provided for by the Credit Agreement (the “Blackstone Credit Facility”), the lenders (i) funded a $75 million initial term loan on the Closing Date; (ii) provided $250.0 million in delayed draw term loans on October 7, 2025 in connection with the transactions contemplated by the merger agreement with scPharma, with an additional $50.0 million in delayed draw term loan commitments remaining available under the Credit Agreement subject to certain customary draw down conditions, and (iii) made available up to $300.0 million in the form of uncommitted delayed draw term loans, which the Company may borrow in the future subject to mutual agreement with Blackstone and the lenders under the Credit Agreement. After deducting debt issuance costs payable by the Company, the net proceeds from the Blackstone Credit Facility were approximately $317.7 million. Amortization of debt issuance costs related to the Blackstone Credit Facility for the three and six months ended June 30, 2026 were approximately $0.4 million and $0.7 million, respectively. As of June 30, 2026, the unamortized debt issuance costs were $5.9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Blackstone Credit Facility will mature on August 6, 2030 (the “Maturity Date”). The Company elected to borrow the existing term loans as SOFR Loans, which bear interest at a rate per annum equal to one, three or six month term SOFR (at the Company’s election), subject to a 2.00% floor (the “Adjusted Term SOFR”), plus a margin of 4.75%. Upon the occurrence and continuation of an event of default under the Credit Agreement, interest on the term loans accrues at the applicable rate plus 2.00% per annum. Interest is paid quarterly or, if the Company elects 1-month SOFR, monthly. The interest rate margin for a SOFR loan increases to 5.00% at any time the Company’s ratio of indebtedness to adjusted EBITDA (measured on a trailing four quarter basis) is greater than or equal to 5.00:1.00 as of the most recent fiscal quarter for which the Company has delivered financial statements. As of June 30, 2026, the effective interest rate is 9.12% per annum. Term loans under the Credit Agreement are funded net of an upfront fee payable by the Company. The Company shall pay the delayed draw term loan lenders a ticking fee at a rate per annum equal to 1.00% of the daily unused portion of the delayed draw term loan commitments beginning on the one year anniversary of the agreement through the end of the delayed draw commitment period, payable quarterly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term loans under the Blackstone Credit Facility, as well as any accrued and unpaid interest and fees, are repayable on the Maturity Date. The Company has the option to prepay the loans under the Blackstone Credit Facility in whole or in part, subject to early prepayment fees in an amount equal to (a) the greater of (i) the present value of the sum of (x) 3.00% of the principal amount to be prepaid as if that amount would otherwise be prepaid on the first anniversary of the Closing Date, and (y) the amount of all interest which would otherwise have accrued under the Credit Agreement for the period from the date of such prepayment to the first anniversary of the Closing Date, assuming an interest rate for such period equal to the sum of the applicable margin for SOFR Loans plus Adjusted Term SOFR as of the date of determination, computed using a discount rate equal to the treasury rate as of such date plus 50 basis points (the “Make Whole Premium”) and (ii) 3.00% of the principal amount to be prepaid if prepayment occurs on or prior to the first anniversary of the Closing Date, (b) 3.00% of principal prepaid if prepayment occurs after the first anniversary of the Closing Date but on or prior to the second anniversary of the Closing Date, (c) 1.00% of principal prepaid if prepayment occurs after the second anniversary of the Closing Date and prior to or on the third anniversary of the Closing Date and (d) 0.00% after the third anniversary of the Closing Date. In addition, subject to the terms and conditions of the Credit Agreement, the Company is required to make a mandatory prepayment of the term loans upon occurrence of certain events such as upon certain assets sales, events of loss, incurrence of debt not permitted to be incurred under the Credit Agreement, or a change of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obligations under the Blackstone Credit Facility are guaranteed by each of the Company’s subsidiaries and any future subsidiaries, subject to limited exceptions set forth in the Credit Agreement, and are secured by a first-priority perfected security interest (subject to permitted liens), on substantially all of the assets of the Company and the subsidiary guarantors, including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includes representations and warranties, affirmative covenants (including reporting obligations), negative covenants and events of default that are usual and customary for facilities of this type, in each case, subject to certain permitted exceptions as set forth therein. The Credit Agreement also contains a financial covenant for the benefit of the lenders, which requires the Company to have liquidity of at least $40.0 million as of the last business day of each fiscal quarter ending after the Closing Date, with liquidity defined as our unrestricted cash and cash equivalents which are subject to a control agreement, in favor of the Agent, for the benefit of the lenders.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were no events of default and the Company was in compliance with all covenants under the Credit Agreement.</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Senior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2021, the Company issued $230.0 million aggregate principal amount of senior convertible notes (the “senior convertible notes”) in a private offering. The Company’s net proceeds from the March 2021 offering were approximately $222.7 million, after deducting the initial purchasers’ discounts and commissions and the estimated offering expenses payable by the Company. The senior convertible notes were issued pursuant to an indenture, dated March 4, 2021 (the “Indenture”), between the Company and U.S. Bank National Association, as trustee. The senior convertible notes were general unsecured obligations of the Company and matured on March 1, 2026. The senior convertible notes bore cash interest from March 4, 2021 at an annual rate of 2.50% payable semi-annually in arrears on March 1 and September 1 of each year, beginning on September 1, 2021.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4, 2026, the Company settled the remaining $36.3 million aggregate principal amount of the senior convertible notes, all of which were tendered for conversion prior to the maturity date of March 1, 2026. The settlement was made on March 4, 2026 with $35.5 million in cash and 569,023 shares of the Company’s common stock. The issuance of shares in connection with the repayment resulted in a loss on settlement of debt of approximately $0.9 million which was recorded in the condensed consolidated statements of operations in March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Collaborations, Licensing and Other Arrangements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Revenue from collaborations and services were as follows (in thousands):</w:t>
      </w:r>
    </w:p>
    <w:tbl>
      <w:tblPr>
        <w:tblW w:w="9077" w:type="dxa"/>
        <w:jc w:val="left"/>
        <w:tblInd w:w="0" w:type="dxa"/>
        <w:tblLayout w:type="fixed"/>
        <w:tblCellMar>
          <w:top w:w="28" w:type="dxa"/>
          <w:left w:w="28" w:type="dxa"/>
          <w:bottom w:w="28" w:type="dxa"/>
          <w:right w:w="28" w:type="dxa"/>
        </w:tblCellMar>
      </w:tblPr>
      <w:tblGrid>
        <w:gridCol w:w="4116"/>
        <w:gridCol w:w="146"/>
        <w:gridCol w:w="211"/>
        <w:gridCol w:w="676"/>
        <w:gridCol w:w="146"/>
        <w:gridCol w:w="146"/>
        <w:gridCol w:w="211"/>
        <w:gridCol w:w="676"/>
        <w:gridCol w:w="146"/>
        <w:gridCol w:w="146"/>
        <w:gridCol w:w="211"/>
        <w:gridCol w:w="676"/>
        <w:gridCol w:w="146"/>
        <w:gridCol w:w="146"/>
        <w:gridCol w:w="211"/>
        <w:gridCol w:w="67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License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CSA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Amphastar co-promotion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Cipla License and Distribution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 from collaborations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Amounts consist of revenue recognized for Manufacturing Services to UT for the periods presented.</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revenue from UT was as follows (in thousands):</w:t>
      </w:r>
    </w:p>
    <w:tbl>
      <w:tblPr>
        <w:tblW w:w="8172" w:type="dxa"/>
        <w:jc w:val="left"/>
        <w:tblInd w:w="0" w:type="dxa"/>
        <w:tblLayout w:type="fixed"/>
        <w:tblCellMar>
          <w:top w:w="28" w:type="dxa"/>
          <w:left w:w="28" w:type="dxa"/>
          <w:bottom w:w="28" w:type="dxa"/>
          <w:right w:w="28" w:type="dxa"/>
        </w:tblCellMar>
      </w:tblPr>
      <w:tblGrid>
        <w:gridCol w:w="3001"/>
        <w:gridCol w:w="146"/>
        <w:gridCol w:w="211"/>
        <w:gridCol w:w="676"/>
        <w:gridCol w:w="146"/>
        <w:gridCol w:w="146"/>
        <w:gridCol w:w="211"/>
        <w:gridCol w:w="676"/>
        <w:gridCol w:w="146"/>
        <w:gridCol w:w="146"/>
        <w:gridCol w:w="211"/>
        <w:gridCol w:w="781"/>
        <w:gridCol w:w="146"/>
        <w:gridCol w:w="146"/>
        <w:gridCol w:w="211"/>
        <w:gridCol w:w="781"/>
        <w:gridCol w:w="3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License Agreement - royalties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UT License Agreement</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 CSA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 from 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contract asset related to the royalties receivable of $29.1 million and $28.1 million as of June 30, 2026 and 2025, respectively, was included in prepaid expense and other current assets in the condensed consolidated balance sheets and collected in the following quarter.</w:t>
      </w:r>
    </w:p>
    <w:p>
      <w:pPr>
        <w:pStyle w:val="TextBody"/>
        <w:bidi w:val="0"/>
        <w:spacing w:before="120" w:after="283"/>
        <w:jc w:val="left"/>
        <w:rPr>
          <w:rFonts w:ascii="Times New Roman" w:hAnsi="Times New Roman"/>
          <w:color w:val="000000"/>
          <w:sz w:val="14"/>
        </w:rPr>
      </w:pPr>
      <w:r>
        <w:rPr>
          <w:rFonts w:ascii="Times New Roman" w:hAnsi="Times New Roman"/>
          <w:color w:val="000000"/>
          <w:sz w:val="14"/>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consist of revenue earned related to the development of ralinepag DPI.</w:t>
      </w:r>
    </w:p>
    <w:p>
      <w:pPr>
        <w:pStyle w:val="TextBody"/>
        <w:bidi w:val="0"/>
        <w:spacing w:before="240" w:after="283"/>
        <w:jc w:val="left"/>
        <w:rPr>
          <w:rFonts w:ascii="Times New Roman" w:hAnsi="Times New Roman"/>
          <w:sz w:val="20"/>
        </w:rPr>
      </w:pPr>
      <w:r>
        <w:rPr>
          <w:rFonts w:ascii="Times New Roman" w:hAnsi="Times New Roman"/>
          <w:i/>
          <w:color w:val="000000"/>
          <w:sz w:val="20"/>
        </w:rPr>
        <w:t>UT License Agreement</w:t>
      </w:r>
      <w:r>
        <w:rPr>
          <w:rFonts w:ascii="Times New Roman" w:hAnsi="Times New Roman"/>
          <w:color w:val="000000"/>
          <w:sz w:val="20"/>
        </w:rPr>
        <w:t xml:space="preserve"> — In September 2018, the Company and UT entered into an exclusive global license and collaboration agreement (the “UT License Agreement”), pursuant to which UT is responsible for global development, regulatory and commercial activities with respect to Tyvaso DPI.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in accordance with the contractual terms. In addition, UT is responsible for supplying treprostinil at its expense in quantities necessary to enable the Company to manufacture Tyvaso DPI as required by the CSA.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Under the terms of the UT License Agreement, UT has an option to develop additional dry powder inhalation therapies. In August 2025, UT exercised its option, which was memorialized in an amendment to the UT License Agreement (the "First Amendment"), and is treated as a separate contract for revenue recognition purposes under ASC 606. Under the First Amendment, the Company will formulate a dry powder formulation of ralinepag DPI, an investigational molecule, using its proprietary Technosphere platform, and United Therapeutics will conduct preclinical and clinical development. This development program has been designated MNKD-1501. Per the First Amendment, the Company received an upfront payment of $5.0 million in August 2025 and is eligible to receive up to $35.0 million in development milestones. The $35.0 million in development milestones is considered constrained due to the inherent uncertainty in the timing and likelihood of achieving the associated milestones. The Company is also eligible to receive 10% royalties on net sales of any resulting product. In April 2026, the Company received a supplemental payment of $5.0 million to support the development of ralinepag DPI. The Company combined the supplemental payment with the original transaction price and recognizes the consideration as revenue over the same performance obligation.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$6.9 million of the aggregate $10.0 million from the initial upfront payment and supplemental payment has been recognized as revenue, based on the input measure of progress, and the remaining $3.1 million is included within deferred revenue - short term on the Company's consolidated balance sheets.</w:t>
      </w:r>
    </w:p>
    <w:p>
      <w:pPr>
        <w:pStyle w:val="TextBody"/>
        <w:bidi w:val="0"/>
        <w:spacing w:before="80" w:after="240"/>
        <w:jc w:val="left"/>
        <w:rPr>
          <w:rFonts w:ascii="Times New Roman" w:hAnsi="Times New Roman"/>
          <w:sz w:val="20"/>
        </w:rPr>
      </w:pPr>
      <w:r>
        <w:rPr>
          <w:rFonts w:ascii="Times New Roman" w:hAnsi="Times New Roman"/>
          <w:i/>
          <w:color w:val="000000"/>
          <w:sz w:val="20"/>
        </w:rPr>
        <w:t xml:space="preserve">UT CSA </w:t>
      </w:r>
      <w:r>
        <w:rPr>
          <w:rFonts w:ascii="Times New Roman" w:hAnsi="Times New Roman"/>
          <w:color w:val="000000"/>
          <w:sz w:val="20"/>
        </w:rPr>
        <w:t>— The remaining performance obligation under the CSA, including the material right related to the tiered pricing within the contract, as amended and discussed below, is for manufacturing services to deliver product throughout the contract term. The revenue recognized under the CSA for manufacturing services is comprised of the sale of product to UT, recognition of previously deferred revenue, and reimbursements from other agreements for individual performance obligations. The portion of revenue related to each deliverable included in UT CSA revenue (in thousands) is as follows:</w:t>
      </w:r>
    </w:p>
    <w:tbl>
      <w:tblPr>
        <w:tblW w:w="8476" w:type="dxa"/>
        <w:jc w:val="left"/>
        <w:tblInd w:w="0" w:type="dxa"/>
        <w:tblLayout w:type="fixed"/>
        <w:tblCellMar>
          <w:top w:w="28" w:type="dxa"/>
          <w:left w:w="28" w:type="dxa"/>
          <w:bottom w:w="28" w:type="dxa"/>
          <w:right w:w="28" w:type="dxa"/>
        </w:tblCellMar>
      </w:tblPr>
      <w:tblGrid>
        <w:gridCol w:w="3661"/>
        <w:gridCol w:w="211"/>
        <w:gridCol w:w="676"/>
        <w:gridCol w:w="146"/>
        <w:gridCol w:w="146"/>
        <w:gridCol w:w="211"/>
        <w:gridCol w:w="676"/>
        <w:gridCol w:w="146"/>
        <w:gridCol w:w="146"/>
        <w:gridCol w:w="211"/>
        <w:gridCol w:w="676"/>
        <w:gridCol w:w="146"/>
        <w:gridCol w:w="146"/>
        <w:gridCol w:w="211"/>
        <w:gridCol w:w="676"/>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 CSA Revenue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product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previously deferred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agreements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UT CSA revenue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There have been various amendments to the CSA since inception. Under the Seventh Amendment,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the Seventh Amendment, UT will provide notice of their purchase quantity on or prior to October 15th of each year. Additionally, the Seventh Amendment defines a tiered pricing structure based on annual purchase volume. Under the practical alternative for measuring material rights, revenue is recognized on a per unit basis based on the allocation of expected consideration to the manufacturing services performance obligation over the remaining contract term. The Company recognizes changes in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consideration resulting from changes in future estimated purchase quantities prospectively, such that the amount of revenue to be recognized per unit for future deliveries is adjusted, without recording a cumulative catch-up to amounts recognized in prior periods. Revenue is then recognized at the point in time in which control of the product is transferred to UT.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During 2024, the Company entered into additional agreements with UT for individual performance obligations which are accounted for separately as they are distinct from Manufacturing Services and offered at a standalone selling price, for which we recognized a </w:t>
      </w:r>
      <w:r>
        <w:rPr>
          <w:rFonts w:ascii="Times New Roman" w:hAnsi="Times New Roman"/>
          <w:i/>
          <w:color w:val="000000"/>
          <w:sz w:val="20"/>
        </w:rPr>
        <w:t xml:space="preserve">de minimis </w:t>
      </w:r>
      <w:r>
        <w:rPr>
          <w:rFonts w:ascii="Times New Roman" w:hAnsi="Times New Roman"/>
          <w:color w:val="000000"/>
          <w:sz w:val="20"/>
        </w:rPr>
        <w:t>amount of revenue and $2.4 million for the three and six months ended June 30, 2026, respectively, and $0.9 million and $1.2 million for the three and six months ended June 30, 2025, respectively. Revenue for these arrangements is recognized at the point in time that the related service is delivered.</w:t>
      </w:r>
    </w:p>
    <w:p>
      <w:pPr>
        <w:pStyle w:val="TextBody"/>
        <w:bidi w:val="0"/>
        <w:jc w:val="left"/>
        <w:rPr>
          <w:rFonts w:ascii="Times New Roman" w:hAnsi="Times New Roman"/>
          <w:color w:val="000000"/>
          <w:sz w:val="20"/>
        </w:rPr>
      </w:pPr>
      <w:r>
        <w:rPr>
          <w:rFonts w:ascii="Times New Roman" w:hAnsi="Times New Roman"/>
          <w:color w:val="000000"/>
          <w:sz w:val="20"/>
        </w:rPr>
        <w:t>As of June 30, 2026, deferred revenue from the CSA with UT consisted of $44.9 million, of which $8.0 million was classified as current and $36.9 million was classified as long-term on the condensed consolidated balance sheet. As of December 31, 2025, deferred revenue from the CSA with UT consisted of $51.3 million, of which $11.3 million was classified as current and $40.0 million was classified as long-term on the condensed consolidated balance sheet.</w:t>
      </w:r>
    </w:p>
    <w:p>
      <w:pPr>
        <w:pStyle w:val="TextBody"/>
        <w:bidi w:val="0"/>
        <w:spacing w:before="240" w:after="283"/>
        <w:jc w:val="left"/>
        <w:rPr>
          <w:rFonts w:ascii="Times New Roman" w:hAnsi="Times New Roman"/>
          <w:sz w:val="20"/>
        </w:rPr>
      </w:pPr>
      <w:r>
        <w:rPr>
          <w:rFonts w:ascii="Times New Roman" w:hAnsi="Times New Roman"/>
          <w:i/>
          <w:color w:val="000000"/>
          <w:sz w:val="20"/>
        </w:rPr>
        <w:t>Amphastar co-promotion agreement</w:t>
      </w:r>
      <w:r>
        <w:rPr>
          <w:rFonts w:ascii="Times New Roman" w:hAnsi="Times New Roman"/>
          <w:color w:val="000000"/>
          <w:sz w:val="20"/>
        </w:rPr>
        <w:t xml:space="preserve"> — In November 2024, the Company entered into a co-promotion agreement which provides the terms and conditions upon which the Company's sales force shall promote Baqsimi (glucagon) nasal powder to designated health care professionals in territories where the Company currently promotes Afrezza. Per the terms of the co-promotion agreement, as amended in December 2025, Amphastar is obligated to pay fixed quarterly payments to the Company through December 31, 2026. The Company identified a single performance obligation satisfied over time. Revenue is recognized based on the measurement of progress. The Company recognized $0.5 and $1.0 million in collaborations and services revenue from this agreement on its condensed consolidated statements of operations for the three and six months ended June 30, 2026, respectively. The Company recognized $0.5 and $1.0 million in collaborations and services revenue from this agreement on its condensed consolidated statements of operations for the three and six months ended June 30, 2025,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Cipla License and Distribution Agreement </w:t>
      </w:r>
      <w:r>
        <w:rPr>
          <w:rFonts w:ascii="Times New Roman" w:hAnsi="Times New Roman"/>
          <w:color w:val="000000"/>
          <w:sz w:val="20"/>
        </w:rPr>
        <w:t xml:space="preserve">— In May 2018, the Company and Cipla Ltd. (“Cipla”) entered into an exclusive agreement for the marketing and distribution of Afrezza in India and the Company received a $2.2 million nonrefundable license fee which was fully recognized as revenue from collaborations and services as of December 31, 2025. Under the terms of the agreement, Cipla is responsible for obtaining regulatory approvals to distribute Afrezza in India and for all marketing and sales activities of Afrezza in India. The Company is responsible for supplying Afrezza to Cipla, and began recording commercial product sales from this agreement in the fourth quarter of 2025. The Company is entitled to minimum purchase commitment revenue and royalties on Afrezza sales in India once cumulative gross sales have reached a specified threshold.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no revenue and $0.1 million in revenue from commercial product sales to Cipla in India for the three and six months ended June 30, 2026. There were no commercial product sales to Cipla in India for the three and six months ended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of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are described in Note 1 – </w:t>
      </w:r>
      <w:r>
        <w:rPr>
          <w:rFonts w:ascii="Times New Roman" w:hAnsi="Times New Roman"/>
          <w:i/>
          <w:color w:val="000000"/>
          <w:sz w:val="20"/>
        </w:rPr>
        <w:t>Description of Business and Significant Accounting Policies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carrying value of the Company's Blackstone term loans approximates fair value because the loans bear interest at variable rates that are reflective of current market conditions. The fair value of the senior convertible notes, Milestone Rights liability, Financing liability, Liability for sale of future royalties and Contingent consideration liability are disclosed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i/>
          <w:color w:val="000000"/>
          <w:sz w:val="20"/>
        </w:rPr>
        <w:t>Financial Liabilities</w:t>
      </w:r>
      <w:r>
        <w:rPr>
          <w:rFonts w:ascii="Times New Roman" w:hAnsi="Times New Roman"/>
          <w:color w:val="000000"/>
          <w:sz w:val="20"/>
        </w:rPr>
        <w:t xml:space="preserve"> — The following tables set forth the fair value of the Company’s financial instruments (Level 3 in the fair value hierarchy) (in millions):</w:t>
      </w:r>
    </w:p>
    <w:tbl>
      <w:tblPr>
        <w:tblW w:w="6640" w:type="dxa"/>
        <w:jc w:val="left"/>
        <w:tblInd w:w="0" w:type="dxa"/>
        <w:tblLayout w:type="fixed"/>
        <w:tblCellMar>
          <w:top w:w="28" w:type="dxa"/>
          <w:left w:w="28" w:type="dxa"/>
          <w:bottom w:w="28" w:type="dxa"/>
          <w:right w:w="28" w:type="dxa"/>
        </w:tblCellMar>
      </w:tblPr>
      <w:tblGrid>
        <w:gridCol w:w="3321"/>
        <w:gridCol w:w="146"/>
        <w:gridCol w:w="336"/>
        <w:gridCol w:w="909"/>
        <w:gridCol w:w="146"/>
        <w:gridCol w:w="146"/>
        <w:gridCol w:w="335"/>
        <w:gridCol w:w="910"/>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Liability for sale of future royalties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Contingent consideration liability</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4.27%, dividend yield of 0%, volatility of 43.0%, period of 7</w:t>
      </w:r>
      <w:r>
        <w:rPr>
          <w:rFonts w:ascii="Times New Roman" w:hAnsi="Times New Roman"/>
          <w:color w:val="000000"/>
          <w:sz w:val="20"/>
        </w:rPr>
        <w:t xml:space="preserve"> </w:t>
      </w:r>
      <w:r>
        <w:rPr>
          <w:rFonts w:ascii="Times New Roman" w:hAnsi="Times New Roman"/>
          <w:color w:val="000000"/>
          <w:sz w:val="18"/>
        </w:rPr>
        <w:t>years and credit risk of 12.5%.</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9.5%. A change in yield of + or – 2% would result in a fair value of $93.0</w:t>
      </w:r>
      <w:r>
        <w:rPr>
          <w:rFonts w:ascii="Times New Roman" w:hAnsi="Times New Roman"/>
          <w:color w:val="000000"/>
          <w:sz w:val="20"/>
        </w:rPr>
        <w:t xml:space="preserve"> </w:t>
      </w:r>
      <w:r>
        <w:rPr>
          <w:rFonts w:ascii="Times New Roman" w:hAnsi="Times New Roman"/>
          <w:color w:val="000000"/>
          <w:sz w:val="18"/>
        </w:rPr>
        <w:t>million and $118.1</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10.5%. A change in yield of + or – 2% would result in a fair value of $85.1</w:t>
      </w:r>
      <w:r>
        <w:rPr>
          <w:rFonts w:ascii="Times New Roman" w:hAnsi="Times New Roman"/>
          <w:color w:val="000000"/>
          <w:sz w:val="20"/>
        </w:rPr>
        <w:t xml:space="preserve"> </w:t>
      </w:r>
      <w:r>
        <w:rPr>
          <w:rFonts w:ascii="Times New Roman" w:hAnsi="Times New Roman"/>
          <w:color w:val="000000"/>
          <w:sz w:val="18"/>
        </w:rPr>
        <w:t>million and $101.5</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12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120"/>
        <w:jc w:val="left"/>
        <w:rPr>
          <w:rFonts w:ascii="Times New Roman" w:hAnsi="Times New Roman"/>
          <w:sz w:val="20"/>
        </w:rPr>
      </w:pPr>
      <w:r>
        <w:rPr>
          <w:rFonts w:ascii="Times New Roman" w:hAnsi="Times New Roman"/>
          <w:color w:val="000000"/>
          <w:sz w:val="18"/>
        </w:rPr>
        <w:t>Fair value was determined to be $28.9</w:t>
      </w:r>
      <w:r>
        <w:rPr>
          <w:rFonts w:ascii="Times New Roman" w:hAnsi="Times New Roman"/>
          <w:color w:val="000000"/>
          <w:sz w:val="20"/>
        </w:rPr>
        <w:t xml:space="preserve"> </w:t>
      </w:r>
      <w:r>
        <w:rPr>
          <w:rFonts w:ascii="Times New Roman" w:hAnsi="Times New Roman"/>
          <w:color w:val="000000"/>
          <w:sz w:val="18"/>
        </w:rPr>
        <w:t>million for Milestone 1 using a probability weighted expected return methodology based on the Company's estimate of probability of achievement of regulatory approval which was 95%</w:t>
      </w:r>
      <w:r>
        <w:rPr>
          <w:rFonts w:ascii="Times New Roman" w:hAnsi="Times New Roman"/>
          <w:color w:val="000000"/>
          <w:sz w:val="20"/>
        </w:rPr>
        <w:t xml:space="preserve"> </w:t>
      </w:r>
      <w:r>
        <w:rPr>
          <w:rFonts w:ascii="Times New Roman" w:hAnsi="Times New Roman"/>
          <w:color w:val="000000"/>
          <w:sz w:val="18"/>
        </w:rPr>
        <w:t>across various timepoints and a discount rate of 11.7%. A change in estimate of probability and discount rate for Milestone 1 of + or – 2% would result in a fair value of $28.0</w:t>
      </w:r>
      <w:r>
        <w:rPr>
          <w:rFonts w:ascii="Times New Roman" w:hAnsi="Times New Roman"/>
          <w:color w:val="000000"/>
          <w:sz w:val="20"/>
        </w:rPr>
        <w:t xml:space="preserve"> </w:t>
      </w:r>
      <w:r>
        <w:rPr>
          <w:rFonts w:ascii="Times New Roman" w:hAnsi="Times New Roman"/>
          <w:color w:val="000000"/>
          <w:sz w:val="18"/>
        </w:rPr>
        <w:t>million and $29.8</w:t>
      </w:r>
      <w:r>
        <w:rPr>
          <w:rFonts w:ascii="Times New Roman" w:hAnsi="Times New Roman"/>
          <w:color w:val="000000"/>
          <w:sz w:val="20"/>
        </w:rPr>
        <w:t xml:space="preserve"> </w:t>
      </w:r>
      <w:r>
        <w:rPr>
          <w:rFonts w:ascii="Times New Roman" w:hAnsi="Times New Roman"/>
          <w:color w:val="000000"/>
          <w:sz w:val="18"/>
        </w:rPr>
        <w:t>million, respectively. Fair value was determined to be $5.1</w:t>
      </w:r>
      <w:r>
        <w:rPr>
          <w:rFonts w:ascii="Times New Roman" w:hAnsi="Times New Roman"/>
          <w:color w:val="000000"/>
          <w:sz w:val="20"/>
        </w:rPr>
        <w:t xml:space="preserve"> </w:t>
      </w:r>
      <w:r>
        <w:rPr>
          <w:rFonts w:ascii="Times New Roman" w:hAnsi="Times New Roman"/>
          <w:color w:val="000000"/>
          <w:sz w:val="18"/>
        </w:rPr>
        <w:t>million for Milestone 2 using a Monte Carlo simulation method based on a 56.7%</w:t>
      </w:r>
      <w:r>
        <w:rPr>
          <w:rFonts w:ascii="Times New Roman" w:hAnsi="Times New Roman"/>
          <w:color w:val="000000"/>
          <w:sz w:val="20"/>
        </w:rPr>
        <w:t xml:space="preserve"> </w:t>
      </w:r>
      <w:r>
        <w:rPr>
          <w:rFonts w:ascii="Times New Roman" w:hAnsi="Times New Roman"/>
          <w:color w:val="000000"/>
          <w:sz w:val="18"/>
        </w:rPr>
        <w:t>volatility and 11.7%</w:t>
      </w:r>
      <w:r>
        <w:rPr>
          <w:rFonts w:ascii="Times New Roman" w:hAnsi="Times New Roman"/>
          <w:color w:val="000000"/>
          <w:sz w:val="20"/>
        </w:rPr>
        <w:t xml:space="preserve"> </w:t>
      </w:r>
      <w:r>
        <w:rPr>
          <w:rFonts w:ascii="Times New Roman" w:hAnsi="Times New Roman"/>
          <w:color w:val="000000"/>
          <w:sz w:val="18"/>
        </w:rPr>
        <w:t>discount rate. Market based inputs and other Level 3 inputs were used to forecast future revenue. A change in discount rate on Milestone 2 of + or – 2% would result in a fair value of $5.1</w:t>
      </w:r>
      <w:r>
        <w:rPr>
          <w:rFonts w:ascii="Times New Roman" w:hAnsi="Times New Roman"/>
          <w:color w:val="000000"/>
          <w:sz w:val="20"/>
        </w:rPr>
        <w:t xml:space="preserve"> </w:t>
      </w:r>
      <w:r>
        <w:rPr>
          <w:rFonts w:ascii="Times New Roman" w:hAnsi="Times New Roman"/>
          <w:color w:val="000000"/>
          <w:sz w:val="18"/>
        </w:rPr>
        <w:t>million and $5.2</w:t>
      </w:r>
      <w:r>
        <w:rPr>
          <w:rFonts w:ascii="Times New Roman" w:hAnsi="Times New Roman"/>
          <w:color w:val="000000"/>
          <w:sz w:val="20"/>
        </w:rPr>
        <w:t xml:space="preserve"> </w:t>
      </w:r>
      <w:r>
        <w:rPr>
          <w:rFonts w:ascii="Times New Roman" w:hAnsi="Times New Roman"/>
          <w:color w:val="000000"/>
          <w:sz w:val="18"/>
        </w:rPr>
        <w:t>million, respectively.</w:t>
      </w:r>
    </w:p>
    <w:tbl>
      <w:tblPr>
        <w:tblW w:w="6640" w:type="dxa"/>
        <w:jc w:val="left"/>
        <w:tblInd w:w="0" w:type="dxa"/>
        <w:tblLayout w:type="fixed"/>
        <w:tblCellMar>
          <w:top w:w="28" w:type="dxa"/>
          <w:left w:w="28" w:type="dxa"/>
          <w:bottom w:w="28" w:type="dxa"/>
          <w:right w:w="28" w:type="dxa"/>
        </w:tblCellMar>
      </w:tblPr>
      <w:tblGrid>
        <w:gridCol w:w="3321"/>
        <w:gridCol w:w="146"/>
        <w:gridCol w:w="336"/>
        <w:gridCol w:w="909"/>
        <w:gridCol w:w="146"/>
        <w:gridCol w:w="146"/>
        <w:gridCol w:w="335"/>
        <w:gridCol w:w="910"/>
        <w:gridCol w:w="3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Senior convertible notes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Milestone rights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Financing liability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Liability for sale of future royalties</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Contingent consideration liability</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to the straight note with a hypothetical yield of 5.0%, volatility of 40.3% and a Monte Carlo simulation for the value of the conversion feature. A change in yield of + or – 2% would result in a fair value of $39.0</w:t>
      </w:r>
      <w:r>
        <w:rPr>
          <w:rFonts w:ascii="Times New Roman" w:hAnsi="Times New Roman"/>
          <w:color w:val="000000"/>
          <w:sz w:val="20"/>
        </w:rPr>
        <w:t xml:space="preserve"> </w:t>
      </w:r>
      <w:r>
        <w:rPr>
          <w:rFonts w:ascii="Times New Roman" w:hAnsi="Times New Roman"/>
          <w:color w:val="000000"/>
          <w:sz w:val="18"/>
        </w:rPr>
        <w:t>million and $39.5</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3.94%, dividend yield of 0%, volatility of 43.0%, period of 7</w:t>
      </w:r>
      <w:r>
        <w:rPr>
          <w:rFonts w:ascii="Times New Roman" w:hAnsi="Times New Roman"/>
          <w:color w:val="000000"/>
          <w:sz w:val="20"/>
        </w:rPr>
        <w:t xml:space="preserve"> </w:t>
      </w:r>
      <w:r>
        <w:rPr>
          <w:rFonts w:ascii="Times New Roman" w:hAnsi="Times New Roman"/>
          <w:color w:val="000000"/>
          <w:sz w:val="18"/>
        </w:rPr>
        <w:t>years and credit risk of 10%.</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7.0%. A change in yield of + or – 2% would result in a fair value of $106.7</w:t>
      </w:r>
      <w:r>
        <w:rPr>
          <w:rFonts w:ascii="Times New Roman" w:hAnsi="Times New Roman"/>
          <w:color w:val="000000"/>
          <w:sz w:val="20"/>
        </w:rPr>
        <w:t xml:space="preserve"> </w:t>
      </w:r>
      <w:r>
        <w:rPr>
          <w:rFonts w:ascii="Times New Roman" w:hAnsi="Times New Roman"/>
          <w:color w:val="000000"/>
          <w:sz w:val="18"/>
        </w:rPr>
        <w:t>million and $140.6</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spacing w:before="0" w:after="0"/>
        <w:jc w:val="left"/>
        <w:rPr>
          <w:rFonts w:ascii="Times New Roman" w:hAnsi="Times New Roman"/>
          <w:sz w:val="20"/>
        </w:rPr>
      </w:pPr>
      <w:r>
        <w:rPr>
          <w:rFonts w:ascii="Times New Roman" w:hAnsi="Times New Roman"/>
          <w:color w:val="000000"/>
          <w:sz w:val="18"/>
        </w:rPr>
        <w:t>Fair value was determined by applying a discounted cash flow analysis with a hypothetical yield of 8.0%. A change in yield of + or – 2% would result in a fair value of $148.3</w:t>
      </w:r>
      <w:r>
        <w:rPr>
          <w:rFonts w:ascii="Times New Roman" w:hAnsi="Times New Roman"/>
          <w:color w:val="000000"/>
          <w:sz w:val="20"/>
        </w:rPr>
        <w:t xml:space="preserve"> </w:t>
      </w:r>
      <w:r>
        <w:rPr>
          <w:rFonts w:ascii="Times New Roman" w:hAnsi="Times New Roman"/>
          <w:color w:val="000000"/>
          <w:sz w:val="18"/>
        </w:rPr>
        <w:t>million and $192.3</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(5)</w:t>
      </w:r>
    </w:p>
    <w:p>
      <w:pPr>
        <w:pStyle w:val="TextBody"/>
        <w:bidi w:val="0"/>
        <w:jc w:val="left"/>
        <w:rPr>
          <w:rFonts w:ascii="Times New Roman" w:hAnsi="Times New Roman"/>
          <w:sz w:val="20"/>
        </w:rPr>
      </w:pPr>
      <w:r>
        <w:rPr>
          <w:rFonts w:ascii="Times New Roman" w:hAnsi="Times New Roman"/>
          <w:color w:val="000000"/>
          <w:sz w:val="18"/>
        </w:rPr>
        <w:t>Fair value was determined to be $23.7</w:t>
      </w:r>
      <w:r>
        <w:rPr>
          <w:rFonts w:ascii="Times New Roman" w:hAnsi="Times New Roman"/>
          <w:color w:val="000000"/>
          <w:sz w:val="20"/>
        </w:rPr>
        <w:t xml:space="preserve"> </w:t>
      </w:r>
      <w:r>
        <w:rPr>
          <w:rFonts w:ascii="Times New Roman" w:hAnsi="Times New Roman"/>
          <w:color w:val="000000"/>
          <w:sz w:val="18"/>
        </w:rPr>
        <w:t>million for Milestone 1 using a probability weighted expected return methodology based on the Company's estimate of probability of achievement of regulatory approval which was 85% across various timepoints and a discount rate of 10%. A change in estimate of probability and discount rate for Milestone 1 of + or – 2% would result in a fair value of $24.7</w:t>
      </w:r>
      <w:r>
        <w:rPr>
          <w:rFonts w:ascii="Times New Roman" w:hAnsi="Times New Roman"/>
          <w:color w:val="000000"/>
          <w:sz w:val="20"/>
        </w:rPr>
        <w:t xml:space="preserve"> </w:t>
      </w:r>
      <w:r>
        <w:rPr>
          <w:rFonts w:ascii="Times New Roman" w:hAnsi="Times New Roman"/>
          <w:color w:val="000000"/>
          <w:sz w:val="18"/>
        </w:rPr>
        <w:t>million and $22.7</w:t>
      </w:r>
      <w:r>
        <w:rPr>
          <w:rFonts w:ascii="Times New Roman" w:hAnsi="Times New Roman"/>
          <w:color w:val="000000"/>
          <w:sz w:val="20"/>
        </w:rPr>
        <w:t xml:space="preserve"> </w:t>
      </w:r>
      <w:r>
        <w:rPr>
          <w:rFonts w:ascii="Times New Roman" w:hAnsi="Times New Roman"/>
          <w:color w:val="000000"/>
          <w:sz w:val="18"/>
        </w:rPr>
        <w:t>million, respectively. Fair value was determined to be $2.6</w:t>
      </w:r>
      <w:r>
        <w:rPr>
          <w:rFonts w:ascii="Times New Roman" w:hAnsi="Times New Roman"/>
          <w:color w:val="000000"/>
          <w:sz w:val="20"/>
        </w:rPr>
        <w:t xml:space="preserve"> </w:t>
      </w:r>
      <w:r>
        <w:rPr>
          <w:rFonts w:ascii="Times New Roman" w:hAnsi="Times New Roman"/>
          <w:color w:val="000000"/>
          <w:sz w:val="18"/>
        </w:rPr>
        <w:t>million for Milestone 2 using a Monte Carlo simulation method based on a 25.2% volatility and 10% discount rate. Market based inputs and other Level 3 inputs were used to forecast future revenue. A change in discount rate on Milestone 2 of + or – 2% would result in a fair value of $2.6</w:t>
      </w:r>
      <w:r>
        <w:rPr>
          <w:rFonts w:ascii="Times New Roman" w:hAnsi="Times New Roman"/>
          <w:color w:val="000000"/>
          <w:sz w:val="20"/>
        </w:rPr>
        <w:t xml:space="preserve"> </w:t>
      </w:r>
      <w:r>
        <w:rPr>
          <w:rFonts w:ascii="Times New Roman" w:hAnsi="Times New Roman"/>
          <w:color w:val="000000"/>
          <w:sz w:val="18"/>
        </w:rPr>
        <w:t>million and $2.7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Milestone Rights Liability </w:t>
      </w:r>
      <w:r>
        <w:rPr>
          <w:rFonts w:ascii="Times New Roman" w:hAnsi="Times New Roman"/>
          <w:color w:val="000000"/>
          <w:sz w:val="20"/>
        </w:rPr>
        <w:t xml:space="preserve">— The fair value measurement of the Milestone Rights liability is sensitive to the discount rate and the timing of achievement of 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Financing Liability</w:t>
      </w:r>
      <w:r>
        <w:rPr>
          <w:rFonts w:ascii="Times New Roman" w:hAnsi="Times New Roman"/>
          <w:color w:val="000000"/>
          <w:sz w:val="20"/>
        </w:rPr>
        <w:t xml:space="preserve"> — The Sale-Leaseback Transaction in November 2021 resulted in a financing liability.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The sale of a portion of our royalty rights in December 2023 resulted in a liability for sale of future royalties. See Note 15 –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Times New Roman" w:hAnsi="Times New Roman"/>
          <w:i/>
          <w:color w:val="000000"/>
          <w:sz w:val="20"/>
        </w:rPr>
        <w:t>Contingent Consideration Liability</w:t>
      </w:r>
      <w:r>
        <w:rPr>
          <w:rFonts w:ascii="Times New Roman" w:hAnsi="Times New Roman"/>
          <w:color w:val="000000"/>
          <w:sz w:val="20"/>
        </w:rPr>
        <w:t xml:space="preserve"> — The acquisition of scPharma in October 2025 resulted in a contingent consideration liability. See Note 2 –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Common and Preferred Stock</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June 30, 2026 and December 31, 2025, 309,911,682 and 307,832,587 shares of common stock, respectively, were issued and outstanding and no shares of preferred stock were outstanding. </w:t>
      </w:r>
    </w:p>
    <w:p>
      <w:pPr>
        <w:pStyle w:val="TextBody"/>
        <w:bidi w:val="0"/>
        <w:jc w:val="left"/>
        <w:rPr>
          <w:rFonts w:ascii="Times New Roman" w:hAnsi="Times New Roman"/>
          <w:color w:val="000000"/>
          <w:sz w:val="20"/>
        </w:rPr>
      </w:pPr>
      <w:r>
        <w:rPr>
          <w:rFonts w:ascii="Times New Roman" w:hAnsi="Times New Roman"/>
          <w:color w:val="000000"/>
          <w:sz w:val="20"/>
        </w:rPr>
        <w:t>In February 2018, the Company entered into a controlled equity offering sales agreement with Cantor Fitzgerald &amp; Co. (“Cantor Fitzgerald”), as sales agent, which was amended and restated in February 2025 (as amended, the “CF Sales Agreement”). Pursuant to the CF Sales Agreement, the Company may offer and sell, from time to time, through Cantor Fitzgerald, shares of the Company’s common stock. Cantor Fitzgerald may sell shares by any method deemed to be an “at-the-market offering” as defined in Rule 415 under the Securities Act of 1933, as amended. On February 26, 2025, the Company filed a sales agreement prospectus under a registration statement on Form S-3, which became effective upon filing, covering the sale of up to $200.0 million of our common stock through Cantor Fitzgerald under the CF Sales Agreement. There have been no sales under the CF Sales Agreement since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received $0.5 million from the market price stock purchase plan ("MPSPP") for 164,952 shares of common stock. During the six months ended June 30, 2025, the Company received $0.3 million from the MPSPP for 73,929 shares of common stock.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shares of common stock issued pursuant to the Company's 2004 employee stock purchase plan ("ESPP"), see Note 14 – </w:t>
      </w:r>
      <w:r>
        <w:rPr>
          <w:rFonts w:ascii="Times New Roman" w:hAnsi="Times New Roman"/>
          <w:i/>
          <w:color w:val="000000"/>
          <w:sz w:val="20"/>
        </w:rPr>
        <w:t>Stock-Based Compensation Expense.</w:t>
      </w:r>
    </w:p>
    <w:p>
      <w:pPr>
        <w:pStyle w:val="TextBody"/>
        <w:bidi w:val="0"/>
        <w:spacing w:before="240" w:after="120"/>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Earnings per Common Share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tables summarize the components of the basic and diluted EPS computations (in thousands, except per share amounts):</w:t>
      </w:r>
    </w:p>
    <w:tbl>
      <w:tblPr>
        <w:tblW w:w="10205" w:type="dxa"/>
        <w:jc w:val="left"/>
        <w:tblInd w:w="0" w:type="dxa"/>
        <w:tblLayout w:type="fixed"/>
        <w:tblCellMar>
          <w:top w:w="28" w:type="dxa"/>
          <w:left w:w="28" w:type="dxa"/>
          <w:bottom w:w="28" w:type="dxa"/>
          <w:right w:w="28" w:type="dxa"/>
        </w:tblCellMar>
      </w:tblPr>
      <w:tblGrid>
        <w:gridCol w:w="4784"/>
        <w:gridCol w:w="146"/>
        <w:gridCol w:w="211"/>
        <w:gridCol w:w="781"/>
        <w:gridCol w:w="166"/>
        <w:gridCol w:w="146"/>
        <w:gridCol w:w="211"/>
        <w:gridCol w:w="781"/>
        <w:gridCol w:w="146"/>
        <w:gridCol w:w="146"/>
        <w:gridCol w:w="211"/>
        <w:gridCol w:w="781"/>
        <w:gridCol w:w="166"/>
        <w:gridCol w:w="146"/>
        <w:gridCol w:w="211"/>
        <w:gridCol w:w="781"/>
        <w:gridCol w:w="391"/>
      </w:tblGrid>
      <w:tr>
        <w:trPr/>
        <w:tc>
          <w:tcPr>
            <w:tcW w:w="4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EPS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dilutive securities – common shares issuable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weighted average common shares (denominator)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diluted net loss per share was the same as basic net loss per share because the inclusion of potential common shares would have been antidilutive. Potentially dilutive securities outstanding for the three months ended June 30, 2026 were 20.3 million shares of common stock underlying RSUs and Market RSUs and 11.6 million shares underlying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diluted net loss per share was the same as basic net loss per share because the inclusion of potential common shares would have been antidilutive. Potentially dilutive securities outstanding for the six months ended June 30, 2026 were 10.3 million shares of common stock underlying RSUs and Market RSUs and 3.1 million shares underlying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diluted net income per share excluded the weighted average effect of 6.3 million shares of common stock underlying RSUs and Market RSUs, 1.0 million shares underlying options, and 7.0 million common shares issuable upon conversion of our senior convertible notes as they were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diluted net income per share excluded the weighted average effect of 3.3 million shares of common stock underlying RSUs and Market RSUs, 0.3 million shares underlying options, and 7.0 million common shares issuable upon conversion of our senior convertible notes as they were antidilutive.</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14. Stock-Based Compensation Expense</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is included in the following categories (in thousands):</w:t>
      </w:r>
    </w:p>
    <w:tbl>
      <w:tblPr>
        <w:tblW w:w="8906" w:type="dxa"/>
        <w:jc w:val="left"/>
        <w:tblInd w:w="0" w:type="dxa"/>
        <w:tblLayout w:type="fixed"/>
        <w:tblCellMar>
          <w:top w:w="28" w:type="dxa"/>
          <w:left w:w="28" w:type="dxa"/>
          <w:bottom w:w="28" w:type="dxa"/>
          <w:right w:w="28" w:type="dxa"/>
        </w:tblCellMar>
      </w:tblPr>
      <w:tblGrid>
        <w:gridCol w:w="3796"/>
        <w:gridCol w:w="211"/>
        <w:gridCol w:w="676"/>
        <w:gridCol w:w="146"/>
        <w:gridCol w:w="146"/>
        <w:gridCol w:w="211"/>
        <w:gridCol w:w="571"/>
        <w:gridCol w:w="346"/>
        <w:gridCol w:w="346"/>
        <w:gridCol w:w="211"/>
        <w:gridCol w:w="676"/>
        <w:gridCol w:w="146"/>
        <w:gridCol w:w="146"/>
        <w:gridCol w:w="211"/>
        <w:gridCol w:w="676"/>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Total stock-based compensation expense recognized in the condensed consolidated statements of operations was as follows (in thousands): </w:t>
      </w:r>
    </w:p>
    <w:tbl>
      <w:tblPr>
        <w:tblW w:w="7706" w:type="dxa"/>
        <w:jc w:val="left"/>
        <w:tblInd w:w="0" w:type="dxa"/>
        <w:tblLayout w:type="fixed"/>
        <w:tblCellMar>
          <w:top w:w="28" w:type="dxa"/>
          <w:left w:w="28" w:type="dxa"/>
          <w:bottom w:w="28" w:type="dxa"/>
          <w:right w:w="28" w:type="dxa"/>
        </w:tblCellMar>
      </w:tblPr>
      <w:tblGrid>
        <w:gridCol w:w="2596"/>
        <w:gridCol w:w="211"/>
        <w:gridCol w:w="676"/>
        <w:gridCol w:w="146"/>
        <w:gridCol w:w="146"/>
        <w:gridCol w:w="211"/>
        <w:gridCol w:w="571"/>
        <w:gridCol w:w="346"/>
        <w:gridCol w:w="346"/>
        <w:gridCol w:w="211"/>
        <w:gridCol w:w="676"/>
        <w:gridCol w:w="146"/>
        <w:gridCol w:w="146"/>
        <w:gridCol w:w="211"/>
        <w:gridCol w:w="67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options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summarizes information pertaining to RSUs:</w:t>
      </w:r>
    </w:p>
    <w:tbl>
      <w:tblPr>
        <w:tblW w:w="5857" w:type="dxa"/>
        <w:jc w:val="left"/>
        <w:tblInd w:w="0" w:type="dxa"/>
        <w:tblLayout w:type="fixed"/>
        <w:tblCellMar>
          <w:top w:w="28" w:type="dxa"/>
          <w:left w:w="28" w:type="dxa"/>
          <w:bottom w:w="28" w:type="dxa"/>
          <w:right w:w="28" w:type="dxa"/>
        </w:tblCellMar>
      </w:tblPr>
      <w:tblGrid>
        <w:gridCol w:w="2881"/>
        <w:gridCol w:w="146"/>
        <w:gridCol w:w="146"/>
        <w:gridCol w:w="1036"/>
        <w:gridCol w:w="166"/>
        <w:gridCol w:w="146"/>
        <w:gridCol w:w="294"/>
        <w:gridCol w:w="651"/>
        <w:gridCol w:w="3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16,485,829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18,075,458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June 30, 2026, there was $51.0 million of unrecognized stock-based compensation expense related to RSUs, Market RSUs and Performance RSUs, which is expected to be recognized over a weighted average period of approximately 1.9 years.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information pertaining to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02" w:type="dxa"/>
        <w:jc w:val="left"/>
        <w:tblInd w:w="0" w:type="dxa"/>
        <w:tblLayout w:type="fixed"/>
        <w:tblCellMar>
          <w:top w:w="28" w:type="dxa"/>
          <w:left w:w="28" w:type="dxa"/>
          <w:bottom w:w="28" w:type="dxa"/>
          <w:right w:w="28" w:type="dxa"/>
        </w:tblCellMar>
      </w:tblPr>
      <w:tblGrid>
        <w:gridCol w:w="2881"/>
        <w:gridCol w:w="146"/>
        <w:gridCol w:w="146"/>
        <w:gridCol w:w="1036"/>
        <w:gridCol w:w="166"/>
        <w:gridCol w:w="146"/>
        <w:gridCol w:w="425"/>
        <w:gridCol w:w="940"/>
        <w:gridCol w:w="146"/>
        <w:gridCol w:w="146"/>
        <w:gridCol w:w="236"/>
        <w:gridCol w:w="755"/>
        <w:gridCol w:w="146"/>
        <w:gridCol w:w="146"/>
        <w:gridCol w:w="250"/>
        <w:gridCol w:w="800"/>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Remaining </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 ($000)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7,778,380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12,323,475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key assumptions used by the Company to value the stock option awards granted during the six months ended June 30, 2026. The Company did not grant options during the six months ended June 30, 2025.</w:t>
      </w:r>
    </w:p>
    <w:tbl>
      <w:tblPr>
        <w:tblW w:w="4048" w:type="dxa"/>
        <w:jc w:val="left"/>
        <w:tblInd w:w="0" w:type="dxa"/>
        <w:tblLayout w:type="fixed"/>
        <w:tblCellMar>
          <w:top w:w="28" w:type="dxa"/>
          <w:left w:w="28" w:type="dxa"/>
          <w:bottom w:w="28" w:type="dxa"/>
          <w:right w:w="28" w:type="dxa"/>
        </w:tblCellMar>
      </w:tblPr>
      <w:tblGrid>
        <w:gridCol w:w="2371"/>
        <w:gridCol w:w="146"/>
        <w:gridCol w:w="328"/>
        <w:gridCol w:w="887"/>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June 30, 2026, there was $10.1 million of unrecognized stock-based compensation expense related to stock options, which is expected to be recognized over a weighted average period of approximately 3.7 years.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approximately 1.5 million shares of common stock available for issuance under the ESPP as of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15.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Guarantees and Indemnifications </w:t>
      </w:r>
      <w:r>
        <w:rPr>
          <w:rFonts w:ascii="Times New Roman" w:hAnsi="Times New Roman"/>
          <w:color w:val="000000"/>
          <w:sz w:val="20"/>
        </w:rPr>
        <w:t xml:space="preserve">— 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Litigation </w:t>
      </w:r>
      <w:r>
        <w:rPr>
          <w:rFonts w:ascii="Times New Roman" w:hAnsi="Times New Roman"/>
          <w:color w:val="000000"/>
          <w:sz w:val="20"/>
        </w:rPr>
        <w:t xml:space="preserve">— The Company is subject to legal proceedings and claims which arise in the ordinary course of its business. The Company does not anticipate 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Contingencies — Milestone Rights </w:t>
      </w:r>
      <w:r>
        <w:rPr>
          <w:rFonts w:ascii="Times New Roman" w:hAnsi="Times New Roman"/>
          <w:color w:val="000000"/>
          <w:sz w:val="20"/>
        </w:rPr>
        <w:t>— In July 2013, the Company entered into the Milestone Rights Agreement with the Original Milestone Purchasers, pursuant to which the Company granted the Milestone Rights to receive payments up to $90.0 million upon the occurrence of specified strategic and sales milestones, of which $45.0 million remains payable to the Milestone Purchasers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achieved an Afrezza net sales milestone which will result in a $5.0 million payment to the Milestone Purchasers in the third quarter of 2026. Upon achievement of the milestone, the Company recognized $4.5 million of interest expense on the condensed consolidated statement of operations during the three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remaining Milestone Rights liability balance was $2.5 million and consisted of $0.5 million of current liability, which was presented as accrued expenses and other current liabilities, and $2.0 million of long-term liability, which was presented as milestone liabilities in the condensed consolidated balance sheets. The value of the Milestone Rights liability was based on initial fair value estimates calculated using the income approach and is reduced by milestone achievement payments made. </w:t>
      </w:r>
    </w:p>
    <w:p>
      <w:pPr>
        <w:pStyle w:val="TextBody"/>
        <w:bidi w:val="0"/>
        <w:spacing w:before="240" w:after="283"/>
        <w:jc w:val="left"/>
        <w:rPr>
          <w:rFonts w:ascii="Times New Roman" w:hAnsi="Times New Roman"/>
          <w:sz w:val="20"/>
        </w:rPr>
      </w:pPr>
      <w:r>
        <w:rPr>
          <w:rFonts w:ascii="Times New Roman" w:hAnsi="Times New Roman"/>
          <w:i/>
          <w:color w:val="000000"/>
          <w:sz w:val="20"/>
        </w:rPr>
        <w:t>Liability for Sale of Future Royalties</w:t>
      </w:r>
      <w:r>
        <w:rPr>
          <w:rFonts w:ascii="Times New Roman" w:hAnsi="Times New Roman"/>
          <w:color w:val="000000"/>
          <w:sz w:val="20"/>
        </w:rPr>
        <w:t xml:space="preserve"> — In December 2023, the Company executed a Purchase and Sale Agreement (the “PSA”) with Sagard Healthcare 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were approximately $3.8 million and $3.9 million as of June 30, 2026 and December 31,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shows the activity within the Royalty Liability account as well as the effective interest rate (dollars in thousands):</w:t>
      </w:r>
    </w:p>
    <w:tbl>
      <w:tblPr>
        <w:tblW w:w="6894" w:type="dxa"/>
        <w:jc w:val="left"/>
        <w:tblInd w:w="0" w:type="dxa"/>
        <w:tblLayout w:type="fixed"/>
        <w:tblCellMar>
          <w:top w:w="28" w:type="dxa"/>
          <w:left w:w="28" w:type="dxa"/>
          <w:bottom w:w="28" w:type="dxa"/>
          <w:right w:w="28" w:type="dxa"/>
        </w:tblCellMar>
      </w:tblPr>
      <w:tblGrid>
        <w:gridCol w:w="5511"/>
        <w:gridCol w:w="211"/>
        <w:gridCol w:w="781"/>
        <w:gridCol w:w="391"/>
      </w:tblGrid>
      <w:tr>
        <w:trPr/>
        <w:tc>
          <w:tcPr>
            <w:tcW w:w="5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transaction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for sale of future royalties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 earned by or payable to Sagard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Sale-Leaseback Transaction</w:t>
      </w:r>
      <w:r>
        <w:rPr>
          <w:rFonts w:ascii="Times New Roman" w:hAnsi="Times New Roman"/>
          <w:color w:val="000000"/>
          <w:sz w:val="20"/>
        </w:rPr>
        <w:t xml:space="preserve">— In November 2021, the Company sold certain land, building and improvements located in Danbury, CT (the "Property") to an affiliate of Creative Manufacturing Properties (the "Purchaser") for a sales price of $102.3 million, subject to the terms and conditions contained in a purchase and sale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started at approximately $9.4 million per year, subject to a 50% rent abatement during the first year of the Lease, and will increase annually by (i) 2.5% in the second through fifth year of the Lease and (ii) 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or (ii) the fair market value of the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related financing liability was $103.0 million, which was recognized in the condensed consolidated balance sheet and of which $92.5 million was long-term and $10.5 million was current. As of December 31, 2025, the related financing liability was $103.4 million, of which $93.1 million was long-term and $10.3 million was current.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Financing liability information was as follows (dollars in thousands): </w:t>
      </w:r>
    </w:p>
    <w:tbl>
      <w:tblPr>
        <w:tblW w:w="7615" w:type="dxa"/>
        <w:jc w:val="left"/>
        <w:tblInd w:w="0" w:type="dxa"/>
        <w:tblLayout w:type="fixed"/>
        <w:tblCellMar>
          <w:top w:w="28" w:type="dxa"/>
          <w:left w:w="28" w:type="dxa"/>
          <w:bottom w:w="28" w:type="dxa"/>
          <w:right w:w="28" w:type="dxa"/>
        </w:tblCellMar>
      </w:tblPr>
      <w:tblGrid>
        <w:gridCol w:w="4111"/>
        <w:gridCol w:w="146"/>
        <w:gridCol w:w="268"/>
        <w:gridCol w:w="857"/>
        <w:gridCol w:w="271"/>
        <w:gridCol w:w="1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7552"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571"/>
        <w:gridCol w:w="146"/>
        <w:gridCol w:w="146"/>
        <w:gridCol w:w="211"/>
        <w:gridCol w:w="571"/>
        <w:gridCol w:w="146"/>
        <w:gridCol w:w="146"/>
        <w:gridCol w:w="211"/>
        <w:gridCol w:w="57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remaining financing liability payments were as follows (in thousands):</w:t>
      </w:r>
    </w:p>
    <w:tbl>
      <w:tblPr>
        <w:tblW w:w="3748" w:type="dxa"/>
        <w:jc w:val="left"/>
        <w:tblInd w:w="0" w:type="dxa"/>
        <w:tblLayout w:type="fixed"/>
        <w:tblCellMar>
          <w:top w:w="28" w:type="dxa"/>
          <w:left w:w="28" w:type="dxa"/>
          <w:bottom w:w="28" w:type="dxa"/>
          <w:right w:w="28" w:type="dxa"/>
        </w:tblCellMar>
      </w:tblPr>
      <w:tblGrid>
        <w:gridCol w:w="2086"/>
        <w:gridCol w:w="146"/>
        <w:gridCol w:w="239"/>
        <w:gridCol w:w="886"/>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Commitments </w:t>
      </w:r>
      <w:r>
        <w:rPr>
          <w:rFonts w:ascii="Times New Roman" w:hAnsi="Times New Roman"/>
          <w:color w:val="000000"/>
          <w:sz w:val="20"/>
        </w:rPr>
        <w:t xml:space="preserve">— In July 2014, the Company entered into the Insulin Supply Agreement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June 30, 2026 were as follows (€ in millions):</w:t>
      </w:r>
    </w:p>
    <w:tbl>
      <w:tblPr>
        <w:tblW w:w="6949" w:type="dxa"/>
        <w:jc w:val="left"/>
        <w:tblInd w:w="0" w:type="dxa"/>
        <w:tblLayout w:type="fixed"/>
        <w:tblCellMar>
          <w:top w:w="28" w:type="dxa"/>
          <w:left w:w="28" w:type="dxa"/>
          <w:bottom w:w="28" w:type="dxa"/>
          <w:right w:w="28" w:type="dxa"/>
        </w:tblCellMar>
      </w:tblPr>
      <w:tblGrid>
        <w:gridCol w:w="1771"/>
        <w:gridCol w:w="640"/>
        <w:gridCol w:w="2045"/>
        <w:gridCol w:w="146"/>
        <w:gridCol w:w="146"/>
        <w:gridCol w:w="479"/>
        <w:gridCol w:w="153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Remaining Purchase Commitments </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Estimated Capacity Fees</w:t>
            </w:r>
            <w:r>
              <w:rPr>
                <w:rFonts w:ascii="Times New Roman" w:hAnsi="Times New Roman"/>
                <w:b/>
                <w:color w:val="000000"/>
                <w:sz w:val="11"/>
              </w:rPr>
              <w:t>(1)</w:t>
            </w:r>
            <w:r>
              <w:rPr>
                <w:rFonts w:ascii="Times New Roman" w:hAnsi="Times New Roman"/>
                <w:b/>
                <w:color w:val="000000"/>
                <w:sz w:val="16"/>
              </w:rPr>
              <w:br/>
              <w:t>(€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(Remaining)</w:t>
            </w:r>
            <w:r>
              <w:rPr>
                <w:rFonts w:ascii="Times New Roman" w:hAnsi="Times New Roman"/>
                <w:color w:val="000000"/>
                <w:sz w:val="13"/>
              </w:rPr>
              <w:t>(1)</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2032</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2033</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2034</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2035</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2036</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sz w:val="20"/>
        </w:rPr>
      </w:pPr>
      <w:r>
        <w:rPr>
          <w:rFonts w:ascii="Times New Roman" w:hAnsi="Times New Roman"/>
          <w:color w:val="000000"/>
          <w:sz w:val="18"/>
        </w:rPr>
        <w:t>During the three and six months ended June 30, 2026, the Company incurred a capacity fee of €0.8</w:t>
      </w:r>
      <w:r>
        <w:rPr>
          <w:rFonts w:ascii="Times New Roman" w:hAnsi="Times New Roman"/>
          <w:color w:val="000000"/>
          <w:sz w:val="20"/>
        </w:rPr>
        <w:t xml:space="preserve"> </w:t>
      </w:r>
      <w:r>
        <w:rPr>
          <w:rFonts w:ascii="Times New Roman" w:hAnsi="Times New Roman"/>
          <w:color w:val="000000"/>
          <w:sz w:val="18"/>
        </w:rPr>
        <w:t>million, or $0.9</w:t>
      </w:r>
      <w:r>
        <w:rPr>
          <w:rFonts w:ascii="Times New Roman" w:hAnsi="Times New Roman"/>
          <w:color w:val="000000"/>
          <w:sz w:val="20"/>
        </w:rPr>
        <w:t xml:space="preserve"> </w:t>
      </w:r>
      <w:r>
        <w:rPr>
          <w:rFonts w:ascii="Times New Roman" w:hAnsi="Times New Roman"/>
          <w:color w:val="000000"/>
          <w:sz w:val="18"/>
        </w:rPr>
        <w:t>million, and €1.5</w:t>
      </w:r>
      <w:r>
        <w:rPr>
          <w:rFonts w:ascii="Times New Roman" w:hAnsi="Times New Roman"/>
          <w:color w:val="000000"/>
          <w:sz w:val="20"/>
        </w:rPr>
        <w:t xml:space="preserve"> </w:t>
      </w:r>
      <w:r>
        <w:rPr>
          <w:rFonts w:ascii="Times New Roman" w:hAnsi="Times New Roman"/>
          <w:color w:val="000000"/>
          <w:sz w:val="18"/>
        </w:rPr>
        <w:t>million, or $1.7</w:t>
      </w:r>
      <w:r>
        <w:rPr>
          <w:rFonts w:ascii="Times New Roman" w:hAnsi="Times New Roman"/>
          <w:color w:val="000000"/>
          <w:sz w:val="20"/>
        </w:rPr>
        <w:t xml:space="preserve"> </w:t>
      </w:r>
      <w:r>
        <w:rPr>
          <w:rFonts w:ascii="Times New Roman" w:hAnsi="Times New Roman"/>
          <w:color w:val="000000"/>
          <w:sz w:val="18"/>
        </w:rPr>
        <w:t>million, respectively, which was recognized as cost of goods sold for commercial sales in our condensed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amendment, the term of the Insulin Supply Agreement expires on the later of December 31, 2034 or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$64.1 million and $66.0 million is included in our condensed consolidated balance sheets as of June 30, 2026 and December 31, 2025, respectively, and is reduced as inventory items are received or such liability is extinguished.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pStyle w:val="TextBody"/>
        <w:bidi w:val="0"/>
        <w:spacing w:before="240" w:after="283"/>
        <w:jc w:val="left"/>
        <w:rPr>
          <w:rFonts w:ascii="Times New Roman" w:hAnsi="Times New Roman"/>
          <w:sz w:val="20"/>
        </w:rPr>
      </w:pPr>
      <w:r>
        <w:rPr>
          <w:rFonts w:ascii="Times New Roman" w:hAnsi="Times New Roman"/>
          <w:i/>
          <w:color w:val="000000"/>
          <w:sz w:val="20"/>
        </w:rPr>
        <w:t>Office Leases</w:t>
      </w:r>
      <w:r>
        <w:rPr>
          <w:rFonts w:ascii="Times New Roman" w:hAnsi="Times New Roman"/>
          <w:color w:val="000000"/>
          <w:sz w:val="20"/>
        </w:rPr>
        <w:t xml:space="preserve"> — In May 2017, the Company executed an office lease with Russell Ranch Road II LLC for the Company’s corporate offices in Westlake 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was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the Company assumed a 9,342 square foot facility in Burlington, Massachusetts in connection with the acquisition of scPharma which was previously entered into as a sublease in August 2023 and extends through August 2029. The monthly lease payments are $28,805 and are subject to fixed annual increases of $779.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Lease information was as follows (dollars in thousands):</w:t>
      </w:r>
    </w:p>
    <w:tbl>
      <w:tblPr>
        <w:tblW w:w="7815" w:type="dxa"/>
        <w:jc w:val="left"/>
        <w:tblInd w:w="0" w:type="dxa"/>
        <w:tblLayout w:type="fixed"/>
        <w:tblCellMar>
          <w:top w:w="28" w:type="dxa"/>
          <w:left w:w="28" w:type="dxa"/>
          <w:bottom w:w="28" w:type="dxa"/>
          <w:right w:w="28" w:type="dxa"/>
        </w:tblCellMar>
      </w:tblPr>
      <w:tblGrid>
        <w:gridCol w:w="4111"/>
        <w:gridCol w:w="246"/>
        <w:gridCol w:w="267"/>
        <w:gridCol w:w="858"/>
        <w:gridCol w:w="271"/>
        <w:gridCol w:w="246"/>
        <w:gridCol w:w="357"/>
        <w:gridCol w:w="114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right-of-use assets</w:t>
            </w:r>
            <w:r>
              <w:rPr>
                <w:rFonts w:ascii="Times New Roman" w:hAnsi="Times New Roman"/>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liability-current</w:t>
            </w:r>
            <w:r>
              <w:rPr>
                <w:rFonts w:ascii="Times New Roman" w:hAnsi="Times New Roman"/>
                <w:color w:val="000000"/>
                <w:sz w:val="13"/>
              </w:rPr>
              <w:t>(2)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liability-long-term</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Operating right-of-use assets related to offices and the manufacturing facility for V-Go are included in other assets in the condensed consolidated balance sheets.</w:t>
      </w:r>
    </w:p>
    <w:p>
      <w:pPr>
        <w:pStyle w:val="TextBody"/>
        <w:bidi w:val="0"/>
        <w:spacing w:before="0" w:after="24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Operating lease liability – current is included in accrued expenses and other current liabilities in the condensed consolidated balance sheets.</w:t>
      </w:r>
    </w:p>
    <w:tbl>
      <w:tblPr>
        <w:tblW w:w="5872" w:type="dxa"/>
        <w:jc w:val="left"/>
        <w:tblInd w:w="0" w:type="dxa"/>
        <w:tblLayout w:type="fixed"/>
        <w:tblCellMar>
          <w:top w:w="28" w:type="dxa"/>
          <w:left w:w="28" w:type="dxa"/>
          <w:bottom w:w="28" w:type="dxa"/>
          <w:right w:w="28" w:type="dxa"/>
        </w:tblCellMar>
      </w:tblPr>
      <w:tblGrid>
        <w:gridCol w:w="1831"/>
        <w:gridCol w:w="146"/>
        <w:gridCol w:w="211"/>
        <w:gridCol w:w="421"/>
        <w:gridCol w:w="146"/>
        <w:gridCol w:w="146"/>
        <w:gridCol w:w="211"/>
        <w:gridCol w:w="421"/>
        <w:gridCol w:w="146"/>
        <w:gridCol w:w="146"/>
        <w:gridCol w:w="211"/>
        <w:gridCol w:w="571"/>
        <w:gridCol w:w="146"/>
        <w:gridCol w:w="146"/>
        <w:gridCol w:w="211"/>
        <w:gridCol w:w="57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future minimum office lease payments were as follows (in thousands):</w:t>
      </w:r>
    </w:p>
    <w:tbl>
      <w:tblPr>
        <w:tblW w:w="4018" w:type="dxa"/>
        <w:jc w:val="left"/>
        <w:tblInd w:w="0" w:type="dxa"/>
        <w:tblLayout w:type="fixed"/>
        <w:tblCellMar>
          <w:top w:w="28" w:type="dxa"/>
          <w:left w:w="28" w:type="dxa"/>
          <w:bottom w:w="28" w:type="dxa"/>
          <w:right w:w="28" w:type="dxa"/>
        </w:tblCellMar>
      </w:tblPr>
      <w:tblGrid>
        <w:gridCol w:w="2536"/>
        <w:gridCol w:w="146"/>
        <w:gridCol w:w="267"/>
        <w:gridCol w:w="858"/>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16. Income Taxes</w:t>
      </w:r>
    </w:p>
    <w:p>
      <w:pPr>
        <w:pStyle w:val="TextBody"/>
        <w:bidi w:val="0"/>
        <w:jc w:val="left"/>
        <w:rPr>
          <w:rFonts w:ascii="Times New Roman" w:hAnsi="Times New Roman"/>
          <w:color w:val="000000"/>
          <w:sz w:val="20"/>
        </w:rPr>
      </w:pPr>
      <w:r>
        <w:rPr>
          <w:rFonts w:ascii="Times New Roman" w:hAnsi="Times New Roman"/>
          <w:color w:val="000000"/>
          <w:sz w:val="20"/>
        </w:rPr>
        <w:t>During the three and six months ended June 30, 2026, the Company recorded income tax benefit of $0.1 million and income tax expense of $0.1 million, respectively, related to state taxes, which was calculated using the discrete year-to-date method. The income tax expense for the three and six months ended June 30, 2025 was $0.3 million and $0.7 million, respectively. The effective tax rate differs from the federal statutory tax rate of 21% primarily due to the existence of valuation allowances against net deferred tax assets and current liabilities resulting from the estimated state income tax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six months ended June 30, 2026, the Company recognized a </w:t>
      </w:r>
      <w:r>
        <w:rPr>
          <w:rFonts w:ascii="Times New Roman" w:hAnsi="Times New Roman"/>
          <w:i/>
          <w:color w:val="000000"/>
          <w:sz w:val="20"/>
        </w:rPr>
        <w:t xml:space="preserve">de minimis </w:t>
      </w:r>
      <w:r>
        <w:rPr>
          <w:rFonts w:ascii="Times New Roman" w:hAnsi="Times New Roman"/>
          <w:color w:val="000000"/>
          <w:sz w:val="20"/>
        </w:rPr>
        <w:t>amount of interest and penalties. The Company’s tax years since 2022 remain subject to examination by tax authorities.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17. Subsequent Event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July 23, 2026, the Company entered into a Securities Purchase Agreement with certain institutional accredited investors (the “Investors”), pursuant to which the Company agreed to sell and issue to the Investors an aggregate of 10,440,838 shares (“Shares”) of the Company’s common stock, par value $0.01 (“Common Stock”), at a purchase price of $3.89 per Share, and in lieu of shares of Common Stock, pre-funded warrants to purchase an aggregate of 2,412,632 shares of Common Stock (“Warrant Shares”), at a purchase price of $3.88 per Warrant Share underlying the pre-funded warrants, in a private placement transaction (the “Private Placement”).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closing of the Private Placement occurred on July 24, 2026 (the “Closing”). The total gross proceeds received by the Company from the Private Placement, before expenses, were approximately $50.0 million.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pre-funded warrants have an exercise price of $0.01 per Warrant Share, subject to customary adjustments, and will not expire until exercised in full. The pre-funded warrants are also exercisable on a net exercise “cashless” basis. The pre-funded warrants may not be exercised if the aggregate number of shares of Common Stock beneficially owned by the holder thereof immediately following such exercise would exceed a specified beneficial ownership limitation, not to exceed 19.99%.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2025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 With deep expertise in drug-device combinations, we aim to deliver therapies designed to fit seamlessly into daily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cardiometabolic business is currently comprised of three commercial products: Afrezza (insulin human) Inhalation Powder; Furoscix (furosemide injection); and the V-Go wearable insulin delivery device: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Afrezza is an ultra rapid-acting inhaled insulin indicated to improve glycemic control in patients with diabetes aged six and older. Afrezza was developed by us and consists of a dry powder formulation of human insulin delivered from a small portable inhaler. Administered at the beginning of a meal, Afrezza dissolves rapidly upon inhalation to the lung and delivers insulin quickly to the bloodstream. The expansion of the label to include children and adolescents aged 6 and older living with diabetes was approved by the U.S. Food and Drug Administration (FDA) on May 29,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Furoscix is a novel formulation of furosemide that delivers an 80 mg dose via an on-body infusor over a five-hour period. Furoscix is approved by the FDA for the treatment of edema in pediatric patients who weigh at least 43 kg and adult patients with chronic heart failure or chronic kidney disease. Furoscix is the first FDA-approved subcutaneous loop diuretic that delivers intravenous-equivalent diuresis at home as opposed to a hospital setting. Furoscix ReadyFlow, a high concentration formulation of furosemide that is delivered via an autoinjector, was approved by the FDA on July 23, 2026 for the treatment of edema (fluid overload) in adults with heart failure or chronic kidney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V-Go is a mechanical basal-bolus insulin delivery system that is worn like a patch and can eliminate the need for taking multiple daily injections. V-Go administers a continuous preset basal rate of insulin over 24 hours and provides discreet on-demand bolus dosing at mealtimes. V-Go received 510(k) clearance by the FDA in 2010 and has been available commercially since 2012. In May 2022, we acquired V-Go from Zealand Pharma US, Inc. and Zealand Pharma A/S.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the United States, we are solely responsible for the commercialization of Afrezza, Furoscix and V-Go. Outside of the U.S., our strategy has been to establish regional partnerships in foreign jurisdictions where there are commercial opportunities, subject to the receipt of necessary foreign regulatory approvals. In December 2025, we supplied our partner in India, Cipla, with an initial shipment of Afrezza to support their launch of Afrezza in India. We expect to supply Cipla with additional product in accordance with the annual purchase commitments in our supply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proprietary formulation and inhaler technologies used in Afrezza have also been deployed in our efforts to develop products to treat orphan lung diseases. Our first product to address an orphan lung disease, Tyvaso DPI (treprostinil) inhalation powder, received FDA approval in May 2022 for the treatment of pulmonary arterial hypertension (or PAH) and pulmonary hypertension associated with interstitial lung disease (or PH-ILD). Our development and marketing partner, United Therapeutics, began commercializing Tyvaso DPI in June 2022 and is obligated to pay us a royalty on net sales of the product. We also receive revenue for the supply of Tyvaso DPI that we manufacture for UT. In August 2025, we announced the expansion of our collaboration, pursuant to which we are formulating ralinepag DPI (MNKD-1501) as a dry powder using our proprietary technologies. United Therapeutics will conduct preclinical and clinical development activities of MNKD-1501. Per the agreement, we received an upfront payment and subsequent development payment and are eligible to receive milestone payments upon achievement of specified development milestones as well as royalties on net sales of MNKD-1501,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other major program in our pipeline that will potentially address an orphan lung disease is MNKD-201, a dry-powder formulation of nintedanib for the treatment of idiopathic pulmonary fibrosis (or IPF). An oral dosage form of nintedanib has been available for more than a decade. However, a fairly large oral dose is required in order to achieve sufficient drug levels in lung tissue. High systemic levels of nintedanib are often associated with undesirable side effects. Our goal with an inhaled formulation is to deliver a therapeutic amount of nintedanib to the lungs while avoiding high levels of the drug in other tissues. In 2024, we conducted a Phase 1 clinical study of MNKD-201, which met its primary objective of demonstrating positive safety results and good tolerability in healthy volunteers. We recently reported top-line data from a Phase 1b study of MNKD-201 conducted in the United States, with additional results to be presented at a future scientific conference. We are currently conducting a global Phase 2 study to assess the potential safety and efficacy of this investigational product in patients with IPF.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MNKD-701 is another pipeline opportunity that we are exploring. This program is focused on bumetanide, a more potent loop diuretic than furosemide. We are currently evaluating the feasibility of formulating bumetanide as a dry-powder that can be administered via oral inhalation.</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 Ongoing changes in tariff policy by the U.S. government may potentially raise the future cost to source the raw materials and components needed to manufacture our products. We are actively monitoring this situation and exploring strategies to mitigate the risks.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critical accounting policies and estimates can be found in Item 7. Management’s Discussion and Analysis of Financial Condition and Results of Operations in our Annual Report on Form 10-K for the year ended December 31, 2025. See Note 1 – </w:t>
      </w:r>
      <w:r>
        <w:rPr>
          <w:rFonts w:ascii="Times New Roman" w:hAnsi="Times New Roman"/>
          <w:i/>
          <w:color w:val="000000"/>
          <w:sz w:val="20"/>
        </w:rPr>
        <w:t>Description of Business and Significant Accounting Policies</w:t>
      </w:r>
      <w:r>
        <w:rPr>
          <w:rFonts w:ascii="Times New Roman" w:hAnsi="Times New Roman"/>
          <w:color w:val="000000"/>
          <w:sz w:val="20"/>
        </w:rPr>
        <w:t xml:space="preserve"> in the condensed consolidated financial statements included in Part I – Financial Statements (Unaudited) for descriptions of the new accounting policies and impact of adoption.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Trends and Uncertainties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collaboration agreement with UT entitles us to receive a 10% royalty on net sales of Tyvaso DPI, subject to our sale of a 1% royalty on future net sales to a royalty purchaser (leaving us with a 9% royalty). Our royalty revenue reflects trends in demand for Tyvaso DPI in the marketplace. See Note 15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success is dependent on our, and our current and future collaboration partners’ ability to effectively commercialize approved products. Our future success is also dependent on our pipeline of new products and expansion opportunities for existing products, such as new formulations or expanded indications.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Three and six months ended June 30, 2026 and 2025</w:t>
      </w:r>
    </w:p>
    <w:p>
      <w:pPr>
        <w:pStyle w:val="TextBody"/>
        <w:bidi w:val="0"/>
        <w:spacing w:before="240" w:after="283"/>
        <w:jc w:val="left"/>
        <w:rPr>
          <w:rFonts w:ascii="Times New Roman" w:hAnsi="Times New Roman"/>
          <w:sz w:val="20"/>
        </w:rPr>
      </w:pPr>
      <w:r>
        <w:rPr>
          <w:rFonts w:ascii="Times New Roman" w:hAnsi="Times New Roman"/>
          <w:b/>
          <w:color w:val="000000"/>
          <w:sz w:val="20"/>
        </w:rPr>
        <w:t>Revenues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revenue categories for the three and six months ended June 30, 2026 and 2025 (dollars in thousands): </w:t>
      </w:r>
    </w:p>
    <w:tbl>
      <w:tblPr>
        <w:tblW w:w="10096" w:type="dxa"/>
        <w:jc w:val="left"/>
        <w:tblInd w:w="0" w:type="dxa"/>
        <w:tblLayout w:type="fixed"/>
        <w:tblCellMar>
          <w:top w:w="28" w:type="dxa"/>
          <w:left w:w="28" w:type="dxa"/>
          <w:bottom w:w="28" w:type="dxa"/>
          <w:right w:w="28" w:type="dxa"/>
        </w:tblCellMar>
      </w:tblPr>
      <w:tblGrid>
        <w:gridCol w:w="4371"/>
        <w:gridCol w:w="146"/>
        <w:gridCol w:w="211"/>
        <w:gridCol w:w="781"/>
        <w:gridCol w:w="271"/>
        <w:gridCol w:w="146"/>
        <w:gridCol w:w="211"/>
        <w:gridCol w:w="676"/>
        <w:gridCol w:w="271"/>
        <w:gridCol w:w="146"/>
        <w:gridCol w:w="211"/>
        <w:gridCol w:w="676"/>
        <w:gridCol w:w="146"/>
        <w:gridCol w:w="146"/>
        <w:gridCol w:w="275"/>
        <w:gridCol w:w="596"/>
        <w:gridCol w:w="816"/>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revenue from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 from commercial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10201" w:type="dxa"/>
        <w:jc w:val="left"/>
        <w:tblInd w:w="0" w:type="dxa"/>
        <w:tblLayout w:type="fixed"/>
        <w:tblCellMar>
          <w:top w:w="28" w:type="dxa"/>
          <w:left w:w="28" w:type="dxa"/>
          <w:bottom w:w="28" w:type="dxa"/>
          <w:right w:w="28" w:type="dxa"/>
        </w:tblCellMar>
      </w:tblPr>
      <w:tblGrid>
        <w:gridCol w:w="4371"/>
        <w:gridCol w:w="146"/>
        <w:gridCol w:w="211"/>
        <w:gridCol w:w="781"/>
        <w:gridCol w:w="271"/>
        <w:gridCol w:w="146"/>
        <w:gridCol w:w="211"/>
        <w:gridCol w:w="781"/>
        <w:gridCol w:w="271"/>
        <w:gridCol w:w="146"/>
        <w:gridCol w:w="211"/>
        <w:gridCol w:w="676"/>
        <w:gridCol w:w="146"/>
        <w:gridCol w:w="146"/>
        <w:gridCol w:w="275"/>
        <w:gridCol w:w="596"/>
        <w:gridCol w:w="816"/>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revenue from commercial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Wholesaler distribution fees, rebates and</w:t>
              <w:br/>
              <w:t>   chargebacks, product returns and other</w:t>
              <w:br/>
              <w: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Gross-to-net revenue adjustment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Afrezza </w:t>
      </w:r>
      <w:r>
        <w:rPr>
          <w:rFonts w:ascii="Times New Roman" w:hAnsi="Times New Roman"/>
          <w:color w:val="000000"/>
          <w:sz w:val="20"/>
        </w:rPr>
        <w:t>— Gross revenue from sales of Afrezza decreased by $1.7 million, or 6%, for the three months ended June 30, 2026 compared to the same period in the prior year. The decrease was driven primarily by lower demand. The gross-to-net adjustment was 33% of gross revenue, or $8.4 million, for the three months ended June 30, 2026 compared to 32% of gross revenue, or $8.8 million, for the same period in the prior year. As a result, net revenue from sales of Afrezza decreased by $1.3 million, or 7%, for the three months ended June 30, 2026 compared to the same period in the prior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revenue from sales of Afrezza decreased by $2.8 million, or 6%, for the six months ended June 30, 2026 compared to the same period in the prior year. The decrease was driven primarily by lower demand. The gross-to-net adjustment was 32% of gross revenue, or $15.2 million, for the six months ended June 30, 2026 compared to 34% of gross revenue, or $17.1 million, for the same period in the prior year. The decreased gross-to-net percentage was primarily attributable to a decrease in rebates in accordance with contractual arrangements. As a result, net revenue from sales of Afrezza decreased by $0.9 million, or 3%, for the six months ended June 30, 2026 compared to the same period in the prior year.</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Furoscix </w:t>
      </w:r>
      <w:r>
        <w:rPr>
          <w:rFonts w:ascii="Times New Roman" w:hAnsi="Times New Roman"/>
          <w:color w:val="000000"/>
          <w:sz w:val="20"/>
        </w:rPr>
        <w:t>— Gross revenue from sales of Furoscix was $31.1 million for the three months ended June 30, 2026. The gross-to-net adjustment was 29% of gross revenue, or $8.9 million, resulting in net revenue of $22.2 million for the three months ended June 30, 2026. Gross revenue from sales of Furoscix was $52.0 million for the six months ended June 30, 2026. The gross-to-net adjustment was 28% of gross revenue, or $14.3 million, resulting in net revenue of $37.7 million for the six months ended June 30, 2026. There was no Furoscix revenue in the prior-year periods as we did not own or commercialize Furoscix until our acquisition of scPharma in October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V-Go</w:t>
      </w:r>
      <w:r>
        <w:rPr>
          <w:rFonts w:ascii="Times New Roman" w:hAnsi="Times New Roman"/>
          <w:color w:val="000000"/>
          <w:sz w:val="20"/>
        </w:rPr>
        <w:t xml:space="preserve"> — Gross revenue from sales of V-Go decreased by $2.7 million, or 40%, for the three months ended June 30, 2026 compared to the same period in the prior year and was primarily a result of lower demand. The gross-to-net adjustment was 32% of gross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 $1.3 million, for the three months ended June 30, 2026 compared to 39% of gross revenue, or $2.6 million, for the same period in the prior year. As a result, net revenue from sales of V-Go decreased by $1.4 million, or 33%, for the three months ended June 30, 2026 compared to the same period in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revenue from sales of V-Go decreased by $4.2 million, or 32%, for the six months ended June 30, 2026 compared to the same period in the prior year and was primarily a result of lower demand. The gross-to-net adjustment was 35% of gross revenue, or $3.1 million, for the six months ended June 30, 2026 compared to 38% of gross revenue, or $5.0 million, for the same period in the prior year. The improved gross-to-net percentage was primarily attributable to a decrease in rebates related to a reduction in active contracts. Net revenue from sales of V-Go decreased by $2.3 million, or 28%, for the six months ended June 30, 2026 compared to the same period in the prior year.</w:t>
        <w:br/>
        <w:t> </w:t>
      </w:r>
    </w:p>
    <w:p>
      <w:pPr>
        <w:pStyle w:val="TextBody"/>
        <w:bidi w:val="0"/>
        <w:jc w:val="left"/>
        <w:rPr>
          <w:rFonts w:ascii="Times New Roman" w:hAnsi="Times New Roman"/>
          <w:sz w:val="20"/>
        </w:rPr>
      </w:pPr>
      <w:r>
        <w:rPr>
          <w:rFonts w:ascii="Times New Roman" w:hAnsi="Times New Roman"/>
          <w:i/>
          <w:color w:val="000000"/>
          <w:sz w:val="20"/>
        </w:rPr>
        <w:t xml:space="preserve">Collaborations and Services and Royalties </w:t>
      </w:r>
      <w:r>
        <w:rPr>
          <w:rFonts w:ascii="Times New Roman" w:hAnsi="Times New Roman"/>
          <w:color w:val="000000"/>
          <w:sz w:val="20"/>
        </w:rPr>
        <w:t>— Net revenue from collaborations and services increased by $12.2 million, or 53%, for the three months ended June 30, 2026 compared to the same period in the prior year. The increase in revenue in the current quarter was primarily attributable to increased product sold to UT due to timing of manufacturing activities and recognition of the related deferred revenue as well as revenue earned related to the development of ralinepag DPI. Royalty revenue from UT increased by $1.1 million, or 4%, for the three months ended June 30, 2026 due to UT's increase in net revenue from sales of Tyvaso DPI.</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from collaborations and services increased by $6.3 million, or 12%, for the six months ended June 30, 2026 compared to the same period in the prior year. The increase in revenue was primarily attributable to an increase in revenue earned related to the development of ralinepag DPI. Royalty revenue from UT increased by $3.9 million, or 6%, for the six months ended June 30, 2026 due to UT's increase in net revenue from sales of Tyvaso DPI.</w:t>
      </w:r>
    </w:p>
    <w:p>
      <w:pPr>
        <w:pStyle w:val="TextBody"/>
        <w:bidi w:val="0"/>
        <w:spacing w:before="240" w:after="283"/>
        <w:jc w:val="left"/>
        <w:rPr>
          <w:rFonts w:ascii="Times New Roman" w:hAnsi="Times New Roman"/>
          <w:sz w:val="20"/>
        </w:rPr>
      </w:pPr>
      <w:r>
        <w:rPr>
          <w:rFonts w:ascii="Times New Roman" w:hAnsi="Times New Roman"/>
          <w:b/>
          <w:color w:val="000000"/>
          <w:sz w:val="20"/>
        </w:rPr>
        <w:t>Commercial product gross profit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commercial product gross profit categories for the three and six months ended June 30, 2026 and 2025 (dollars in thousands): </w:t>
      </w:r>
    </w:p>
    <w:tbl>
      <w:tblPr>
        <w:tblW w:w="10205" w:type="dxa"/>
        <w:jc w:val="left"/>
        <w:tblInd w:w="0" w:type="dxa"/>
        <w:tblLayout w:type="fixed"/>
        <w:tblCellMar>
          <w:top w:w="28" w:type="dxa"/>
          <w:left w:w="28" w:type="dxa"/>
          <w:bottom w:w="28" w:type="dxa"/>
          <w:right w:w="28" w:type="dxa"/>
        </w:tblCellMar>
      </w:tblPr>
      <w:tblGrid>
        <w:gridCol w:w="4785"/>
        <w:gridCol w:w="146"/>
        <w:gridCol w:w="211"/>
        <w:gridCol w:w="676"/>
        <w:gridCol w:w="271"/>
        <w:gridCol w:w="146"/>
        <w:gridCol w:w="211"/>
        <w:gridCol w:w="676"/>
        <w:gridCol w:w="271"/>
        <w:gridCol w:w="146"/>
        <w:gridCol w:w="211"/>
        <w:gridCol w:w="676"/>
        <w:gridCol w:w="146"/>
        <w:gridCol w:w="146"/>
        <w:gridCol w:w="224"/>
        <w:gridCol w:w="647"/>
        <w:gridCol w:w="616"/>
      </w:tblGrid>
      <w:tr>
        <w:trPr/>
        <w:tc>
          <w:tcPr>
            <w:tcW w:w="4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Cost of goods sold, commercial, excluding 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85"/>
        <w:gridCol w:w="146"/>
        <w:gridCol w:w="211"/>
        <w:gridCol w:w="676"/>
        <w:gridCol w:w="271"/>
        <w:gridCol w:w="146"/>
        <w:gridCol w:w="211"/>
        <w:gridCol w:w="676"/>
        <w:gridCol w:w="271"/>
        <w:gridCol w:w="146"/>
        <w:gridCol w:w="211"/>
        <w:gridCol w:w="676"/>
        <w:gridCol w:w="146"/>
        <w:gridCol w:w="146"/>
        <w:gridCol w:w="224"/>
        <w:gridCol w:w="647"/>
        <w:gridCol w:w="716"/>
      </w:tblGrid>
      <w:tr>
        <w:trPr/>
        <w:tc>
          <w:tcPr>
            <w:tcW w:w="4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Cost of goods sold, commercial, excluding 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product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 product gross profit increased by $9.7 million, or 54%, for the three months ended June 30, 2026 compared to the same period in the prior year. Commercial product gross profit increased by $20.9 million, or 63%, for the six months ended June 30, 2026 compared to the same period in the prior year. The increase in both periods was primarily attributable to the increase in total product revenues after adding Furoscix to our product portfolio following the acquisition of scPharma in October 2025. Gross margin as a percentage of revenue decreased by 13% for the three months ended June 30, 2026 compared to the same period in the prior year and 9% for the six months ended June 30, 2026 compared to the same period in the prior year. The decrease in both periods was primarily attributable to the inclusion of Furoscix in our product portfolio which has a lower gross margin percentage than Afrezza.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expense categories for the three and six months ended June 30, 2026 and 2025 (dollars in thousands): </w:t>
      </w:r>
    </w:p>
    <w:tbl>
      <w:tblPr>
        <w:tblW w:w="10205" w:type="dxa"/>
        <w:jc w:val="left"/>
        <w:tblInd w:w="0" w:type="dxa"/>
        <w:tblLayout w:type="fixed"/>
        <w:tblCellMar>
          <w:top w:w="28" w:type="dxa"/>
          <w:left w:w="28" w:type="dxa"/>
          <w:bottom w:w="28" w:type="dxa"/>
          <w:right w:w="28" w:type="dxa"/>
        </w:tblCellMar>
      </w:tblPr>
      <w:tblGrid>
        <w:gridCol w:w="4915"/>
        <w:gridCol w:w="146"/>
        <w:gridCol w:w="211"/>
        <w:gridCol w:w="781"/>
        <w:gridCol w:w="166"/>
        <w:gridCol w:w="146"/>
        <w:gridCol w:w="211"/>
        <w:gridCol w:w="676"/>
        <w:gridCol w:w="146"/>
        <w:gridCol w:w="146"/>
        <w:gridCol w:w="211"/>
        <w:gridCol w:w="676"/>
        <w:gridCol w:w="166"/>
        <w:gridCol w:w="146"/>
        <w:gridCol w:w="224"/>
        <w:gridCol w:w="647"/>
        <w:gridCol w:w="591"/>
      </w:tblGrid>
      <w:tr>
        <w:trPr/>
        <w:tc>
          <w:tcPr>
            <w:tcW w:w="4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 – commercial, excluding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loss on foreign currency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0"/>
        <w:gridCol w:w="146"/>
        <w:gridCol w:w="211"/>
        <w:gridCol w:w="781"/>
        <w:gridCol w:w="166"/>
        <w:gridCol w:w="146"/>
        <w:gridCol w:w="211"/>
        <w:gridCol w:w="781"/>
        <w:gridCol w:w="146"/>
        <w:gridCol w:w="146"/>
        <w:gridCol w:w="211"/>
        <w:gridCol w:w="676"/>
        <w:gridCol w:w="166"/>
        <w:gridCol w:w="146"/>
        <w:gridCol w:w="224"/>
        <w:gridCol w:w="647"/>
        <w:gridCol w:w="591"/>
      </w:tblGrid>
      <w:tr>
        <w:trPr/>
        <w:tc>
          <w:tcPr>
            <w:tcW w:w="4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goods sold – commercial, excluding 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revenue – 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loss on foreign currency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revenue – collaborations and services decreased by $0.8 million, or 5%, for the three months ended June 30, 2026 compared to the same period in the prior year. Cost of revenue – collaborations and services decreased by $4.6 million, or 16% for the six months ended June 30, 2026 compared to the same period in the prior year. The decrease in both periods was due to a decrease in cost per blister due to increased efficiencies in manufacturing activities in our Danbury, CT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$4.3 million, or 32%, for the three months ended June 30, 2026 compared to the same period in the prior year. Research and development expenses increased by $10.5 million, or 43%, for the six months ended June 30, 2026 compared to the same period in the prior year. The increases in both periods were primarily attributable to the development of the Furoscix ReadyFlow Formulation as well as higher personnel costs following the acquisition of scPharma and increased development costs for MNKD-201, which has begun enrolling subjects. These increases were partially offset by lower clinical development expenses resulting from the discontinuation of the ICoN-1 clinical study for MNKD-101 and the completion of the Afrezza pediatric study (INHALE-1).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increased by $26.7 million, or 84%, for the three months ended June 30, 2026 compared to the same period in the prior year. Selling, general and administrative expenses increased by $55.8 million, or 98%, for the six months ended June 30, 2026 compared to the same period in the prior year. The increases in both periods were primarily related to costs associated with the promotion and support of Furoscix, as well as expanding our field-based teams and activities to support the launches associated with the recent approvals of the pediatric indication for Afrezza and the Furoscix ReadyFlow Autoinjector.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acquired intangible assets was $4.4 million for the three months ended June 30, 2026 and $8.7 million for the six months ended June 30, 2026 and was related to the amortization of the developed technology related to the Furoscix on-body infusor acquired from scPharma.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 on foreign currency transaction was $0.5 million for the three months ended June 30, 2026 compared to a loss of $5.4 million for the same period in the prior year. Gain on foreign currency transaction was $1.8 million for the six months ended June 30, 2026 compared to a loss of $7.9 million for the same period in the prior year. These non-cash changes were due to fluctuations in U.S. dollar to Euro exchange rates. Under our Insulin Supply Agreement with Amphastar, payment obligations for future purchases are denominated in Euros. We record the foreign currency transaction impact of the U.S. dollar to Euro exchange rate associated with the future purchase commitments.</w:t>
      </w:r>
    </w:p>
    <w:p>
      <w:pPr>
        <w:pStyle w:val="TextBody"/>
        <w:bidi w:val="0"/>
        <w:spacing w:before="240" w:after="283"/>
        <w:jc w:val="left"/>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comparison of the other income (expense) categories for the three and six months ended June 30, 2026 and 2025 (dollars in thousands): </w:t>
      </w:r>
    </w:p>
    <w:tbl>
      <w:tblPr>
        <w:tblW w:w="9781" w:type="dxa"/>
        <w:jc w:val="left"/>
        <w:tblInd w:w="0" w:type="dxa"/>
        <w:tblLayout w:type="fixed"/>
        <w:tblCellMar>
          <w:top w:w="28" w:type="dxa"/>
          <w:left w:w="28" w:type="dxa"/>
          <w:bottom w:w="28" w:type="dxa"/>
          <w:right w:w="28" w:type="dxa"/>
        </w:tblCellMar>
      </w:tblPr>
      <w:tblGrid>
        <w:gridCol w:w="4501"/>
        <w:gridCol w:w="146"/>
        <w:gridCol w:w="211"/>
        <w:gridCol w:w="736"/>
        <w:gridCol w:w="166"/>
        <w:gridCol w:w="146"/>
        <w:gridCol w:w="211"/>
        <w:gridCol w:w="631"/>
        <w:gridCol w:w="166"/>
        <w:gridCol w:w="146"/>
        <w:gridCol w:w="211"/>
        <w:gridCol w:w="736"/>
        <w:gridCol w:w="166"/>
        <w:gridCol w:w="146"/>
        <w:gridCol w:w="163"/>
        <w:gridCol w:w="708"/>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tbl>
      <w:tblPr>
        <w:tblW w:w="9886" w:type="dxa"/>
        <w:jc w:val="left"/>
        <w:tblInd w:w="0" w:type="dxa"/>
        <w:tblLayout w:type="fixed"/>
        <w:tblCellMar>
          <w:top w:w="28" w:type="dxa"/>
          <w:left w:w="28" w:type="dxa"/>
          <w:bottom w:w="28" w:type="dxa"/>
          <w:right w:w="28" w:type="dxa"/>
        </w:tblCellMar>
      </w:tblPr>
      <w:tblGrid>
        <w:gridCol w:w="4501"/>
        <w:gridCol w:w="146"/>
        <w:gridCol w:w="211"/>
        <w:gridCol w:w="736"/>
        <w:gridCol w:w="166"/>
        <w:gridCol w:w="146"/>
        <w:gridCol w:w="211"/>
        <w:gridCol w:w="736"/>
        <w:gridCol w:w="166"/>
        <w:gridCol w:w="146"/>
        <w:gridCol w:w="211"/>
        <w:gridCol w:w="736"/>
        <w:gridCol w:w="166"/>
        <w:gridCol w:w="146"/>
        <w:gridCol w:w="202"/>
        <w:gridCol w:w="669"/>
        <w:gridCol w:w="5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on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settlement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consisting of interest and accretion on investments net of amortization, decreased by $0.8 million for the three months ended June 30, 2026 compared to the same period in the prior year and decreased by $1.3 million for the six months ended June 30, 2026 compared to the same period in the prior year. This was primarily due to a lower average balance on our securities portfolio and lower yields.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increased by $11.6 million for the three months ended June 30, 2026 compared to the same period in the prior year and increased by $14.4 million for the six months ended June 30, 2026 compared to the same period in the prior year. The increase was primarily due to new term loans with an aggregate principal amount of $325.0 million, which were drawn in August and October 2025 as well as the achievement of an Afrezza net sales milestone in the second quarter of 2026, which resulted in the recognition of $4.5 million of interest expense. See Note 15 – </w:t>
      </w:r>
      <w:r>
        <w:rPr>
          <w:rFonts w:ascii="Times New Roman" w:hAnsi="Times New Roman"/>
          <w:i/>
          <w:color w:val="000000"/>
          <w:sz w:val="20"/>
        </w:rPr>
        <w:t xml:space="preserve">Commitments and Contingencies - Milestone Rights </w:t>
      </w:r>
      <w:r>
        <w:rPr>
          <w:rFonts w:ascii="Times New Roman" w:hAnsi="Times New Roman"/>
          <w:color w:val="000000"/>
          <w:sz w:val="20"/>
        </w:rPr>
        <w:t>for additional information on the Afrezza net sales milestone.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expense on liability for sale of future royalties decreased by $3.0 million and $4.0 million for the three and six months ended June 30, 2026, respectively, compared to the same periods in the prior year. Interest consists of imputed interest and the amortization of debt issuance costs on the liability recorded in connection with the sale of 1% of our Tyvaso DPI royalties in December 2023. Imputed interest is based on third-party estimates of future royalties to be generated from Tyvaso DPI. See Note 15 – </w:t>
      </w:r>
      <w:r>
        <w:rPr>
          <w:rFonts w:ascii="Times New Roman" w:hAnsi="Times New Roman"/>
          <w:i/>
          <w:color w:val="000000"/>
          <w:sz w:val="20"/>
        </w:rPr>
        <w:t>Commitments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on financing liability was $2.4 million for both the three months ended June 30, 2026 and 2025, and $4.8 million for both the six months ended June 30, 2026 and 2025. Interest expense on financing liability represents interest incurred on the sale lease-back transaction for our manufacturing facility in Danbury, Connecticut.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on settlement of debt of $0.9 million for the six months ended June 30, 2026 was incurred in connection with the settlement of the senior convertible notes in March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of $5.0 million for the three months ended June 30, 2026 and $7.8 million for the six months ended June 30, 2026 was the result of the remeasurement of the fair value of the contingent consideration liability obtained from the acquisition of scPharma. The contingent consideration will be remeasured each subsequent reporting period until the related contingencies have been resolved.</w:t>
      </w:r>
    </w:p>
    <w:p>
      <w:pPr>
        <w:pStyle w:val="TextBody"/>
        <w:bidi w:val="0"/>
        <w:spacing w:before="240" w:after="240"/>
        <w:jc w:val="left"/>
        <w:rPr>
          <w:rFonts w:ascii="Times New Roman" w:hAnsi="Times New Roman"/>
          <w:sz w:val="20"/>
        </w:rPr>
      </w:pPr>
      <w:r>
        <w:rPr>
          <w:rFonts w:ascii="Times New Roman" w:hAnsi="Times New Roman"/>
          <w:b/>
          <w:color w:val="000000"/>
          <w:sz w:val="20"/>
        </w:rPr>
        <w:t>Non-GAAP Measures</w:t>
        <w:br/>
        <w:br/>
      </w:r>
      <w:r>
        <w:rPr>
          <w:rFonts w:ascii="Times New Roman" w:hAnsi="Times New Roman"/>
          <w:color w:val="000000"/>
          <w:sz w:val="20"/>
        </w:rPr>
        <w:t xml:space="preserve">To supplement our condensed consolidated financial statements presented under GAAP, we are presenting non-GAAP financial measures for net (loss) income and net (loss) income per share – basic. We are providing these non-GAAP financial measures, which are among the indicators management uses as a basis for evaluating our financial performance, to disclose additional information to facilitate the comparison of past and present operations. We believe that these non-GAAP financial measures, when considered together with our GAAP financial results, provide management and investors with an additional understanding of our business operating results, including underlying trends. </w:t>
        <w:br/>
        <w:b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br/>
        <w:br/>
        <w:t>The following table reconciles our financial measures for net (loss) income and net (loss) income per share ("EPS") for basic weighted average shares as reported in our condensed consolidated statements of operations to a non-GAAP presentation as adjusted by certain items identified below.</w:t>
      </w:r>
    </w:p>
    <w:tbl>
      <w:tblPr>
        <w:tblW w:w="10205" w:type="dxa"/>
        <w:jc w:val="left"/>
        <w:tblInd w:w="0" w:type="dxa"/>
        <w:tblLayout w:type="fixed"/>
        <w:tblCellMar>
          <w:top w:w="28" w:type="dxa"/>
          <w:left w:w="28" w:type="dxa"/>
          <w:bottom w:w="28" w:type="dxa"/>
          <w:right w:w="28" w:type="dxa"/>
        </w:tblCellMar>
      </w:tblPr>
      <w:tblGrid>
        <w:gridCol w:w="1757"/>
        <w:gridCol w:w="306"/>
        <w:gridCol w:w="181"/>
        <w:gridCol w:w="586"/>
        <w:gridCol w:w="151"/>
        <w:gridCol w:w="146"/>
        <w:gridCol w:w="197"/>
        <w:gridCol w:w="444"/>
        <w:gridCol w:w="151"/>
        <w:gridCol w:w="146"/>
        <w:gridCol w:w="189"/>
        <w:gridCol w:w="614"/>
        <w:gridCol w:w="151"/>
        <w:gridCol w:w="146"/>
        <w:gridCol w:w="197"/>
        <w:gridCol w:w="444"/>
        <w:gridCol w:w="151"/>
        <w:gridCol w:w="146"/>
        <w:gridCol w:w="181"/>
        <w:gridCol w:w="586"/>
        <w:gridCol w:w="151"/>
        <w:gridCol w:w="146"/>
        <w:gridCol w:w="197"/>
        <w:gridCol w:w="444"/>
        <w:gridCol w:w="151"/>
        <w:gridCol w:w="146"/>
        <w:gridCol w:w="189"/>
        <w:gridCol w:w="614"/>
        <w:gridCol w:w="151"/>
        <w:gridCol w:w="146"/>
        <w:gridCol w:w="197"/>
        <w:gridCol w:w="444"/>
        <w:gridCol w:w="359"/>
      </w:tblGrid>
      <w:tr>
        <w:trPr/>
        <w:tc>
          <w:tcPr>
            <w:tcW w:w="17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GAAP reported net (loss)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Non-GAAP adjustments: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 on liability for sale of future royalties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Sold portion of royalty revenue </w:t>
            </w:r>
            <w:r>
              <w:rPr>
                <w:rFonts w:ascii="Times New Roman" w:hAnsi="Times New Roman"/>
                <w:color w:val="000000"/>
                <w:sz w:val="9"/>
              </w:rPr>
              <w:t>(1)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loss on foreign currency transaction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intangible assets acquired</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fair value of contingent consideration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settlement of debt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Non-GAAP adjusted net (loss)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Weighted average shares used to compute net (loss) income per share – basic</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308,732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jc w:val="left"/>
        <w:rPr>
          <w:rFonts w:ascii="Times New Roman" w:hAnsi="Times New Roman"/>
          <w:color w:val="000000"/>
          <w:sz w:val="18"/>
        </w:rPr>
      </w:pPr>
      <w:r>
        <w:rPr>
          <w:rFonts w:ascii="Times New Roman" w:hAnsi="Times New Roman"/>
          <w:color w:val="000000"/>
          <w:sz w:val="18"/>
        </w:rPr>
        <w:t>Represents the non-cash portion of the 1% royalty on net sales of Tyvaso DPI earned during the three and six months ended June 30, 2026 and 2025, which is remitted to the royalty purchaser and recognized as royalties from collaborations in our condensed consolidated statements of operations. Our royalties from collaborations during the three and six months ended June 30, 2026 totaled $32.4 million and $65.1 million, respectively, of which $3.2 million and $6.5 million, respectively were remitted to the royalty purchaser.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our cash, cash equivalents, and investments. Our primary uses of cash include development of our product pipeline, manufacturing and marketing of Afrezza, Furoscix and V-Go, manufacturing Tyvaso DPI, selling, general and administrative expenses, and principal and interest payments on our financing liability and debt.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We fund our operations primarily through sales of Afrezza, Furoscix and V-Go, and royalties, development and manufacturing revenue from UT. Historically, we have funded our operations primarily through the sale of equity and convertible debt securities, from the receipt of upfront and milestone payments from collaborations, from borrowings, from the sale of certain assets and from the sale of a portion of our future royalties that we receive from UT. In combination with our cash, cash equivalents and investments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hand, we believe that these sources of revenue will allow us to meet our liquidity needs over the next 12 months and in the longer term.</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As of June 30, 2026, we had $64.1 million in insulin purchase commitments and $325.0 million aggregate principal amount under the Blackstone Credit Facility. The Blackstone Credit Facility will mature on August 6, 2030. As of June 30, 2026, the effective interest rate is 9.12% per annum. The SOFR Loans borrowed under the Blackstone Credit Facility are subject to the Adjusted Term SOFR plus margin of 5.00%. We have the option to prepay the loans under the Blackstone Credit Facility in whole or in part, subject to early prepayment fees on or prior to the third anniversary of the Closing Date. See Note 9 – </w:t>
      </w:r>
      <w:r>
        <w:rPr>
          <w:rFonts w:ascii="Times New Roman" w:hAnsi="Times New Roman"/>
          <w:i/>
          <w:color w:val="000000"/>
          <w:sz w:val="20"/>
        </w:rPr>
        <w:t>Borrowings</w:t>
      </w:r>
      <w:r>
        <w:rPr>
          <w:rFonts w:ascii="Times New Roman" w:hAnsi="Times New Roman"/>
          <w:color w:val="000000"/>
          <w:sz w:val="20"/>
        </w:rPr>
        <w:t xml:space="preserve"> for further information related to the Blackstone Credit Facility.</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July 2013, we granted Milestone Rights to the original purchasers under the Milestone Rights Agreement. The original purchasers later assigned those rights to new holders. As of June 30, 2026, $45.0 million remains payable upon the occurrence of specified strategic and sales milestones under the Milestone Rights Agreement. During the three and six months ended June 30, 2026, the Company achieved an Afrezza net sales milestone which will result in a $5.0 million payment to the Original Milestone Purchasers in the third quarter of 2026. See Note 15 – </w:t>
      </w:r>
      <w:r>
        <w:rPr>
          <w:rFonts w:ascii="Times New Roman" w:hAnsi="Times New Roman"/>
          <w:i/>
          <w:color w:val="000000"/>
          <w:sz w:val="20"/>
        </w:rPr>
        <w:t>Commitments and Contingencies</w:t>
      </w:r>
      <w:r>
        <w:rPr>
          <w:rFonts w:ascii="Times New Roman" w:hAnsi="Times New Roman"/>
          <w:color w:val="000000"/>
          <w:sz w:val="20"/>
        </w:rPr>
        <w:t xml:space="preserve"> for further information related to the Milestone Rights.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October 2025, we entered into the CVR Agreement with the rights agent party thereto, which governs the terms of the CVRs issued to the former stockholders of scPharma in the acquisition transaction. Milestone 1 under the CVR Agreement was achieved on July 23, 2026, which will necessitate an aggregate payout of approximately $44.8 million in the third quarter of 2026. Following the payout for the achievement of Milestone 1, the maximum aggregate amount payable with respect to the CVRs is $14.9 million, subject to the achievement of certain net sales milestones on or prior to the applicable milestone outside date in accordance with the CVR Agreement. See Note 2 – </w:t>
      </w:r>
      <w:r>
        <w:rPr>
          <w:rFonts w:ascii="Times New Roman" w:hAnsi="Times New Roman"/>
          <w:i/>
          <w:color w:val="000000"/>
          <w:sz w:val="20"/>
        </w:rPr>
        <w:t xml:space="preserve">Business Combinations </w:t>
      </w:r>
      <w:r>
        <w:rPr>
          <w:rFonts w:ascii="Times New Roman" w:hAnsi="Times New Roman"/>
          <w:color w:val="000000"/>
          <w:sz w:val="20"/>
        </w:rPr>
        <w:t xml:space="preserve">– </w:t>
      </w:r>
      <w:r>
        <w:rPr>
          <w:rFonts w:ascii="Times New Roman" w:hAnsi="Times New Roman"/>
          <w:i/>
          <w:color w:val="000000"/>
          <w:sz w:val="20"/>
        </w:rPr>
        <w:t xml:space="preserve">Contingent Value Right ("CVR") </w:t>
      </w:r>
      <w:r>
        <w:rPr>
          <w:rFonts w:ascii="Times New Roman" w:hAnsi="Times New Roman"/>
          <w:color w:val="000000"/>
          <w:sz w:val="20"/>
        </w:rPr>
        <w:t>for further information related to the CVR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July 24, 2026, we completed a private placement to certain institutional investors in which we sold and issued 10,440,838 shares our common stock at a purchase price of $3.89 per share and pre-funded warrants exercisable for 2,412,632 shares of common stock at a price of $3.88 per share underlying the pre-funded warrants, for total gross proceeds to us, before expenses, of approximately $50.0 million. The proceeds from the private placement will fund our $44.8 million CVR payment obligation that was triggered by the FDA’s approval of Furoscix ReadyFlow (furosemide injection).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CF Sales Agreement with Cantor Fitzgerald, we may offer and sell, from time to time, through Cantor Fitzgerald, shares of our common stock. Under the CF Sales Agreement, Cantor Fitzgerald may sell shares by any method deemed to be an “at-the-market offering” as defined in Rule 415 under the Securities Act of 1933, as amended. On February 26, 2025, we filed a sales agreement prospectus under a registration statement on Form S-3, which became effective upon filing, covering the sale of up to $200.0 million of our common stock through Cantor Fitzgerald under the CF Sales Agreement, of which $200.0 million remained available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used a net $23.7 million of cash for our operating activities. Cash used in operating activities consisted of net loss of $35.7 million offset by non-cash adjustments of $36.7 million and a net decrease in cash flow from operating assets and liabilities of $24.8 million. Non-cash items primarily included stock-based compensation of $16.7 million, depreciation and amortization of $12.8 million and change in fair value of contingent consideration of $7.8 million. These charges were partially offset by the sold portion of royalty revenue of $6.5 million. The net decrease in cash flows from operating assets and liabilities was primarily due to an increase of $11.6 million in inventory, increase of $4.8 million in accounts receivable and decrease of $7.4 million in deferred revenue. The net decrease in cash flows from operating assets and liabilities was partially offset by an increase of $2.0 million in accounts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we generated a net $2.6 million of cash from our operating activities. Cash used in operating activities consisted of net income of $13.8 million offset by non-cash adjustments of $30.6 million and a net decrease in cash flows from operating assets and liabilities of $41.8 million. Non-cash items primarily included stock-based compensation of $12.9 million, loss on foreign currency transactions of $7.9 million and interest on liability for sale of future royalties of $7.1 million. These charges were partially offset by the sold portion of royalty revenue of $6.1 million. The net decrease in cash flows from operating assets and liabilities was primarily due to an increase of $15.3 million in accounts receivable, decrease of $9.3 million in accrued expenses and other current liabilities and decrease of $7.1 million in deferred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of $36.6 million for the six months ended June 30, 2026 was primarily due to $53.9 million of proceeds from maturities of available-for-sale securities. Cash provided was partially offset by the purchase of $10.3 million of available-for-sale securities as well as $7.0 million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of $12.2 million for the six months ended June 30, 2025 was primarily due to the maturity of $101.8 million of debt securities, partially offset by the purchase of $88.1 million of 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of $34.8 million for the six months ended June 30, 2026 was primarily due to payments made to settle our senior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of $4.1 million for the six months ended June 30, 2025 was primarily due to $4.4 million of payments to taxing authorities from equity withheld upon vesting of RSUs and stock options partially offset by $1.3 million in proceeds from our market price stock purchase plan and employee stock purchase plan.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Future Liquidity Needs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we will be able to meet our near-term liquidity needs based on our cash, cash equivalents and investments on hand, sales of Afrezza, Furoscix and V-Go, royalties and manufacturing revenue from the production and sale of Tyvaso DPI and, if necessary, borrowings under the Blackstone Credit Facility, as well as through debt or equity financing, for our long-term liquidity needs. We expect to continue to incur expenditures for the foreseeable future in support of our manufacturing operations, sales and marketing costs for our products and development costs for other product candidates in our pipeline. As of June 30, 2026, we had capital resources comprised of cash, cash equivalents and investments totaling $111.1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been able to timely make required interest payments under our outstanding indebtedness, including the total principal amount of outstanding borrowings of $325.0 million, but we cannot guarantee that we will be able to do so in the future. If we fail to repay our outstanding indebtedness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resources will be sufficient to fund our operations for at least the next 12 months from the date of issuance of our condensed consolidated financial statements included in Part I –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outside of the ordinary course of business in our contractual obligations from those disclosed within “Management’s Discussion and Analysis of Financial Condition and Results of Operations,” as contained in our Annual Report on Form 10-K for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borrowings under the Blackstone Credit Facility accrues at a rate per annum equal to (i) in the case of a Base Rate Loan, the greatest of (a) the prime rate in effect on such day, (b) the federal funds rate in effect on such day plus 0.5%, (c) Adjusted Term SOFR for a one-month’s tenor in effect on such day plus 1%, and (d) 3.0% plus a margin of 3.75%, or (ii) in the case of a SOFR Loan, one, three or six month Adjusted Term SOFR (at our election), subject to a 2% floor, plus a margin of 4.75%. The interest rate margin increases to 4.00% in the case of a Base Rate Loan and 5.00% in the case of a SOFR Loan at any time the Company’s ratio of indebtedness to adjusted EBITDA (measured on a trailing four quarter basis) is greater than or equal to 5.00:1.00 as of the most recent fiscal quarter for which the Company has delivered financial statements. Accordingly, our interest expense under the Blackstone Credit Facility is subject to changes in the various market interest rates. If a hypothetical 10% change in the SOFR interest rates on June 30, 2026 were to have occurred, this change would not have had a material effect on our annual interest payment obligation on the borrowings under the Blackstone Credit Facility, which as of June 30, 2026, are SOFR Loans with an effective interest rate of 9.12% per annum. See Note 9 – </w:t>
      </w:r>
      <w:r>
        <w:rPr>
          <w:rFonts w:ascii="Times New Roman" w:hAnsi="Times New Roman"/>
          <w:i/>
          <w:color w:val="000000"/>
          <w:sz w:val="20"/>
        </w:rPr>
        <w:t>Borrowings</w:t>
      </w:r>
      <w:r>
        <w:rPr>
          <w:rFonts w:ascii="Times New Roman" w:hAnsi="Times New Roman"/>
          <w:color w:val="000000"/>
          <w:sz w:val="20"/>
        </w:rPr>
        <w:t xml:space="preserve"> for information about the principal amount of outstanding debt.</w:t>
      </w:r>
    </w:p>
    <w:p>
      <w:pPr>
        <w:pStyle w:val="TextBody"/>
        <w:bidi w:val="0"/>
        <w:spacing w:before="24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six months ended June 30, 2026, we realized a $1.8 million currency gain, which was reflected as gain on foreign currency transaction in the accompanying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Exchange rate fluctuations may adversely affect our expenses, results of operations, financial position and cash flows. If a change in the U.S. dollar to Euro exchange rate equal to 10% of the U.S. dollar to Euro exchange rate on June 30, 2026 were to have occurred, this change would have resulted in a foreign currency impact to our pre-tax income of approximately $6.4 million.</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evaluation of our disclosure controls and procedures as of June 30, 2026, our Chief Executive Officer and our Chief Financial Officer have concluded, as of such date, that our disclosure controls and procedures were effective at the reasonable assurance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During the quarter ended June 30, 2026, we implemented a new enterprise resource planning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period-end financial reporting. We believe these changes are expected to enhance our internal control environment. Other than the foregoing, there were no other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2_other_information"/>
      <w:bookmarkEnd w:id="13"/>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LEGAL PROCEEDINGS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15 – </w:t>
      </w:r>
      <w:r>
        <w:rPr>
          <w:rFonts w:ascii="Times New Roman" w:hAnsi="Times New Roman"/>
          <w:i/>
          <w:color w:val="000000"/>
          <w:sz w:val="20"/>
        </w:rPr>
        <w:t>Commitments and Contingencies</w:t>
      </w:r>
      <w:r>
        <w:rPr>
          <w:rFonts w:ascii="Times New Roman" w:hAnsi="Times New Roman"/>
          <w:color w:val="000000"/>
          <w:sz w:val="20"/>
        </w:rPr>
        <w:t xml:space="preserve"> in the condensed consolidated financial statements.</w:t>
      </w:r>
    </w:p>
    <w:p>
      <w:pPr>
        <w:pStyle w:val="TextBody"/>
        <w:bidi w:val="0"/>
        <w:spacing w:before="240" w:after="283"/>
        <w:jc w:val="left"/>
        <w:rPr>
          <w:rFonts w:ascii="Times New Roman" w:hAnsi="Times New Roman"/>
          <w:sz w:val="20"/>
        </w:rPr>
      </w:pPr>
      <w:bookmarkStart w:id="15" w:name="item_1a_risk_factors"/>
      <w:bookmarkEnd w:id="15"/>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i/>
          <w:color w:val="000000"/>
          <w:sz w:val="20"/>
        </w:rPr>
        <w:t>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immediately following the below summary, and should be carefully considered, together with other information in this Quarterly Report on Form 10-Q and our other filings with the SEC before making investment decisions regarding our common stock.</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that we or our collaboration partner are commercializing may only achieve a limited degree of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United Therapeutics reduces its commercial emphasis on Tyvaso DPI, our revenues could decline materially.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to fund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results of operations will fluctuate for the foreseeable future, which may make it difficult to predict our future performance from period to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product candidates and technology may not be able to compete effectively or may be rendered obsolete.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realize the anticipated benefits of the scPharma acquisition or any future acquisition or strategic transaction; we may be unable to successfully integrate new products, technologies or businesses we acquire.</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legislation may impact the net sales of commercial products sold by us or any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stock price is volatile.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Unstable market, economic and geopolitical conditions may have serious adverse consequences on our business, financial condition and stock price.</w:t>
      </w:r>
    </w:p>
    <w:p>
      <w:pPr>
        <w:pStyle w:val="TextBody"/>
        <w:bidi w:val="0"/>
        <w:jc w:val="left"/>
        <w:rPr>
          <w:rFonts w:ascii="Times New Roman" w:hAnsi="Times New Roman"/>
          <w:i/>
          <w:color w:val="000000"/>
          <w:sz w:val="20"/>
        </w:rPr>
      </w:pPr>
      <w:r>
        <w:rPr>
          <w:rFonts w:ascii="Times New Roman" w:hAnsi="Times New Roman"/>
          <w:i/>
          <w:color w:val="000000"/>
          <w:sz w:val="20"/>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The products that we or our collaboration partner are commercializing may only achieve a limited degree of commercial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Afrezza, Furoscix and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approved labeling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willingness of the healthcare community and patients to adopt new technologies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manufacture the product in sufficient quantities with acceptable quality and cost;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perception of patients and the healthcare community, including third-party payers, regarding the safety, efficacy and benefits compared to competing products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relative to existing treatment methods;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as well as pricing relative to other treatment therapeutics and methods;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distribution support.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 </w:t>
      </w:r>
    </w:p>
    <w:p>
      <w:pPr>
        <w:pStyle w:val="TextBody"/>
        <w:bidi w:val="0"/>
        <w:spacing w:before="360" w:after="283"/>
        <w:jc w:val="both"/>
        <w:rPr>
          <w:rFonts w:ascii="Times New Roman" w:hAnsi="Times New Roman"/>
          <w:sz w:val="20"/>
        </w:rPr>
      </w:pPr>
      <w:r>
        <w:rPr>
          <w:rFonts w:ascii="Times New Roman" w:hAnsi="Times New Roman"/>
          <w:b/>
          <w:i/>
          <w:color w:val="000000"/>
          <w:sz w:val="20"/>
        </w:rPr>
        <w:t>If United Therapeutics reduces its commercial emphasis on Tyvaso DPI, our revenues could decline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Treprostinil, the active ingredient in Tyvaso DPI, is a prostacyclin analog that has been available as a generic injectable since late 2017. In more recent years, other dosage forms of treprostinil have become available, including in June 2025, when Yutrepia, a dry-powder formulation of treprostinil, was launched by Liquidia Corporation. Yutrepia and Tyvaso DPI now compete against each other for market share. On its February 2026 earnings call, United Therapeutics highlighted the development of Tresmi, a treprostinil solution for use in a soft mist inhaler with plans to file for approval of Tresmi in PAH and PH-ILD within the year and launch commercially in the following year. Such public statements regarding Tresmi’s potential advantages and United Therapeutics’ future commercial plans indicate that United Therapeutics may choose to prioritize Tresmi or other pipeline products over Tyvaso DPI.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such potential pipeline product is ralinepag DPI, a novel, highly selective prostacyclin receptor agonist for which United Therapeutics intends to submit an NDA in the second half of 2026. Although we are also collaborating with United Therapeutics on the development of a dry powder formulation of ralinepag DPI (MNKD-1501), a significant portion of our current revenue is derived from royalties and collaboration and services revenue associated with United Therapeutics’ commercialization of Tyvaso DPI. Because United Therapeutics is solely responsible for the development, marketing, promotion, and sale of Tyvaso DPI, our ability to maintain and grow this revenue is highly dependent on the commercial performance of Tyvaso DPI and on United Therapeutics’ strategic priorities, resource allocation decisions, and overall commitment to undertake development activities that could potentially expand the therapeutic indications for Tyvaso DPI. Moreover, we have limited control over United Therapeutics’ commercialization activities, including decisions related to marketing strategy, salesforce deployment, pricing, market access, physician outreach, patient support programs, and the prioritization of Tyvaso DPI relative to other products in its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United Therapeutics reduces its commercial emphasis on Tyvaso DPI, diverts resources toward Tresmi or other therapies, or if Tresmi, if and when launched, displaces Tyvaso DPI in the market, our revenues from Tyvaso DPI could decline materially and may not be offset by revenues from ralinepag DPI (MNKD-1501) or any other product in our collaboration. United Therapeutics’ strategic priorities are outside our control, and we cannot predict how evolving market dynamics, product differentiation claims, or United Therapeutics’ internal assessments will influence its promotional and development strategies.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reduction in Tyvaso DPI sales—including due to competitive products introduced by United Therapeutics itself, shifting promotional strategies, or physician or patient preference trends influenced by United Therapeutics’ messaging or otherwise—would adversely affect our results of operations. Our business and results of operations remain significantly exposed to United Therapeutics’ strategic and commercial decisions.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 order to increase adoption and sales of our products, we need to continue to develop our commercial organization, including maintaining and growing a highly experienced and skilled workforce with qualified sales representatives.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forces promote our products to different target groups of physicians. In order to successfully commercialize our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recruit, retain and effectively manage adequate numbers of effective sales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complementary products to be offered by sales personnel, which may put us at a competitive disadvantage relative to companies that have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delays, costs and expenses associated with maintaining our sales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effective sales forces for our products, including potential future products, we may not be able to generate sufficient product revenue in the United States. We are required to expend significant time and resources to train our sales forces to educate physicians about our products. In addition, we must continually train our sales forces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Similarly, if UT does not effectively engage or maintain its sales force for Tyvaso DPI, our ability to recognize royalties and manufacturing revenue from this collaboration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Manufacturing risks may adversely affect our ability to manufacture our products and Tyvaso DPI, which could reduce our gross margin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Afrezza and Tyvaso DPI are manufactured by us in our Danbury, Connecticut facility, where we assemble the inhalers from their individual molded parts, formulate the inhalation powders, fill plastic cartridges with the powders, package the cartridges into secondary packaging and assemble the final kits. If and when needed, we also utilize a contract packager to assemble final kits for commercial sale.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demand for our products increases, we may have to invest additional resources to purchase components, hire and train employees, and enhance or expand our manufacturing capabilities. If we fail to increase our production capacity efficiently, our sales may not increase in line with our forecasts and our operating margins could fluctuate or decline. In addition, we may be unable to support commercialization of Tyvaso DPI.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Afrezza and Tyvaso DPI, which are assembled and formulated domestically, V-Go is wholly manufactured on our behalf by contract manufacturers located in China.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V-Go business is subject to risks associated with doing business in China,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political and economic conditions, particularly those potentially negatively affecting the trade relationship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protection measures and import and export licensing and control requirements, although in July 2025, we received a ruling from U.S. Customs and Border Protection that V-Go qualifies for duty-free treatment under subheading 9817.00.96 of the Harmonized Tariff Schedule of the United States (“HTSUS”);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potentially negative consequences from changes in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associated with the Chinese legal system, including increased costs and uncertainties associated with enforcing contractual obligations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lower protection of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or unfavorable changes in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volatility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patient or physician preferences for more established pharmaceutical products and medical devices manufactured in the United States;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foreign relationships and operations generally.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risks may be exacerbated by our limited experience with V-Go and its manufacturing processes. If V-Go does not continue to qualify for duty-free treatment, any tariffs that apply to imported goods from China could materially and adversely affect our margins on V-Go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the drug formulation and device components of Furoscix are manufactured for us by third parties, some of which are outside the United States. In addition to the risks identified above, any future curtailment in the availability of materials could result in production or other delays with consequent adverse effects on us. In addition, because regulatory authorities must generally approve raw material sources for pharmaceutical products, changes in raw material suppliers may result in production delays or higher raw material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pStyle w:val="TextBody"/>
        <w:bidi w:val="0"/>
        <w:jc w:val="left"/>
        <w:rPr>
          <w:rFonts w:ascii="Times New Roman" w:hAnsi="Times New Roman"/>
          <w:color w:val="000000"/>
          <w:sz w:val="20"/>
        </w:rPr>
      </w:pPr>
      <w:r>
        <w:rPr>
          <w:rFonts w:ascii="Times New Roman" w:hAnsi="Times New Roman"/>
          <w:color w:val="000000"/>
          <w:sz w:val="20"/>
        </w:rPr>
        <w:t>For the commercial manufacture of inhaled drug products, we need access to sufficient, reliable and affordable supplies of raw materials for formulating powders, such as fumaryl diketopiperazine (or FDKP), as well as other components, such as the inhaler and the related cartridges.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current good manufacturing practices (or cGMP) for drug products, and the molding of the inhaler and cartridges components in accordance with the quality management system regulations for medical devices (or QMSRs).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certain other components, such as packaging materials, we obtain materials from a limited number of suppliers, including some parts and components that are purchased from single-source vendors. For outsourced products such as Furoscix and V-Go, this is also true for some of the components required by our contract manufacturers. Depending on a limited number of suppliers exposes us to risks, including limited control over pricing, availability, quality and delivery schedules. In addition, we do not have long-term supply agreements for such components and, in many cases, purchases are made on a purchase order basis. As a result, our suppliers have no obligation to manufacture for us or sell to us any given quantity of components. Because we do not have long-standing relationships with all of the suppliers in our supply chain,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materials sourced from suppliers located outside the United States have or may become subject to tariffs under U.S. trade policies. Although our current inventories of such materials are sufficient to meet our projected production levels for at least the next six months, our manufacturing costs may be impacted by any prevailing tariffs on imports at the time such materials enter the United States. Components made domestically from imported materials that are or become subject to tariffs would be expected to become more expensive in the future. These and any future tariffs will increase our cost of goods and decrease our operating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QMSR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QMSR requirements, as well as our specifications and quality requirements, which would require significant time and expense and could delay production.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 and potential future changes in international trade policies, particularly regarding U.S.-China trade relations and pharmaceutical-specific tariffs, present material risks to our operations and financial performance. While we manufacture Afrezza and Tyvaso DPI in our Danbury, Connecticut facility and our Furoscix contract manufacturers have domestic operations, we and our suppliers must obtain raw materials, chemicals, device components, and specialized equipment from international sources. In addition, V-Go is manufactured for us by contract manufacturers in China, although this product is currently eligible for duty-free treatment under a specific exemption in the HTSUS.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many industries, our ability to pass increased costs to customers is limited by the structure of pharmaceutical and medical device pricing and reimbursement systems. Pricing for our products is established through annual or multi-year contracts with commercial, third-party payers and pharmacy benefit managers,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or future tariffs will also result in increased manufacturing expense, as well as research and development expenses, including with respect to increased costs associated with active pharmaceutical ingredients,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adversely affect our business, ability to access the capital markets or other financing sources,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royalty revenue and results of operations may also be adversely impacted if our marketing and collaboration partner, United Therapeutics, is adversely impacted by any of the factors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tariffs and other trade developments have and may continue to heighten the risks related to the other risk factors described elsewhere in this report.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third-party payers do not cover our approved products, such products might not be prescribed, used or purchased, which would adversely affect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 less favorable coverage could impact the market acceptance of any product and could have a negative effect on our revenues and operating results. Even if we succeed in bringing more products to market, we cannot be certain that any such products would be considered cost-effective or that coverage and adequate reimbursement to the consumer would be available.</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of 2022 (“IRA”) limited insulin copays to $35 per month for Medicare Part D beneficiaries starting in 2023. Further,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realize the anticipated benefits of the scPharma acquisition or any future acquisition or strategic transaction; we may be unable to successfully integrate new products, technologies or businesses we acquire.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we acquired scPharma as part of a strategy of assessing potential strategic acquisitions, dispositions, partnerships and other strategic transactions. We expect to continue this strategy by periodically evaluating and pursuing acquisition of companies, therapeutic products, product candidates and technologies. The integration of any acquired business, product, technology or other assets into our company may be complex and time-consuming and, if such businesses, products, technologies or assets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integrated, we may not achieve the anticipated benefits, cost-savings or growth opportunities. Potential difficulties that may be encountered in the integration process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liabilities related to acquired assets, companies or joint ventures;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integrating personnel, operations and systems, while maintaining focus on producing and delivering consistent, high quality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geographically dispersed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time and focus from operating our business to management of strategic alliances or joint ventures or acquisition integration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retention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our expenses and reductions in our cash available for operations and other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retaining existing customers and attracting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inefficiencies associated with integrating the operations of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possible write-offs or impairment charges relating to acquired assets, businesses or joint ventures.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or restructuring costs associated with an acquired business, product, technology or other asset or arrangement. In particular, the scPharma acquisition may have a potentially adverse effect on our net debt and liquidity position as a result of the acquisition purchase price being paid in cash. Because we incurred debt to pay for the acquisition, our interest expense, leverage and debt service requirements have increased significantly. Any one of these challenges or risks could impair our ability to realize any benefit from our acquisitions or arrangements after we have expended resources on them. Future acquisitions or dispositions could also result in potentially dilutive issuances of our equity securities, the incurrence of debt, contingent liabilities or amortization expenses or write-offs of goodwill, developed technologies and in-process research and development, any of which could harm our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raise additional capital to fund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to which we are able to generate revenue from products that we or a collaboration partner commercialize;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the milestone that triggers the remaining CVR payment;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developing and commercializing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repay or refinance existing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and costs of our clinical studies and R&amp;D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procuring raw materials and operating our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establishing additional strategic business collaborations or other sales or licensing of assets, and the timing and amount of any payments we might receive from any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the FDA and other regulatory authorities affecting Afrezza, Furoscix, V-Go, Tyvaso DPI, our product candidates or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emergence of competing technologies and products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prosecuting, maintaining and enforcing patent claims and other intellectual property rights or defending against claims of infringement by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our legal and litigation expenses;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discontinuing projects and technologies, and/or decommissioning existing facilities, if we undertake any such activities.</w:t>
      </w:r>
    </w:p>
    <w:p>
      <w:pPr>
        <w:pStyle w:val="TextBody"/>
        <w:bidi w:val="0"/>
        <w:jc w:val="left"/>
        <w:rPr>
          <w:rFonts w:ascii="Times New Roman" w:hAnsi="Times New Roman"/>
          <w:color w:val="000000"/>
          <w:sz w:val="20"/>
        </w:rPr>
      </w:pPr>
      <w:r>
        <w:rPr>
          <w:rFonts w:ascii="Times New Roman" w:hAnsi="Times New Roman"/>
          <w:color w:val="000000"/>
          <w:sz w:val="20"/>
        </w:rPr>
        <w:t>We have raised capital in the past through borrowings and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 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pStyle w:val="TextBody"/>
        <w:bidi w:val="0"/>
        <w:jc w:val="left"/>
        <w:rPr>
          <w:rFonts w:ascii="Times New Roman" w:hAnsi="Times New Roman"/>
          <w:b/>
          <w:i/>
          <w:color w:val="000000"/>
          <w:sz w:val="20"/>
        </w:rPr>
      </w:pPr>
      <w:r>
        <w:rPr>
          <w:rFonts w:ascii="Times New Roman" w:hAnsi="Times New Roman"/>
          <w:b/>
          <w:i/>
          <w:color w:val="000000"/>
          <w:sz w:val="20"/>
        </w:rPr>
        <w:t>We expect that our results of operations will fluctuate for the foreseeable future, which may make it difficult to predict our future performance from period to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comparisons from period to period of our financial results are not necessarily meaningful and should not be relied upon as indications of our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Blackstone Credit Facility requires us, and any debt arrangements we may enter into in the future may require us, to comply with various covenants that limit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mergers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indebtedness or modify existing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royalties or revenue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amend or modify certain material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additional lines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encumber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 or make other distributions to holders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specified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certain organizational documents;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transactions with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Blackstone Credit Facility requires us to maintain at least $40.0 million of liquidity, tested quarterly, with liquidity defined as our unrestricted cash and cash equivalents held in collateral accounts of the lenders. The covenants in the Blackstone Credit Facility could prevent us from pursuing business opportunities that we or our stockholders may consider beneficial.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obligations under the Blackstone Credit Facility are guaranteed by each of our subsidiaries and any future subsidiaries, subject to limited exceptions, and are secured by a security interest in substantially all of our and the subsidiary guarantors’ assets, including intellectual property. A breach of any of these covenants could result in an event of default under the Blackstone Credit Facility. If we default under our obligations under the Blackstone Credit Facility, the lenders could proceed against the collateral granted to them to secure our indebtedness or declare all obligations under the Blackstone Credit Facility to be due and payable. In certain circumstances, procedures by the lenders could result in a loss by us of all of our equipment and inventory, which are included in the collateral granted to the lenders. In addition, upon any distribution of assets pursuant to any liquidation, insolvency, dissolution, reorganization or similar proceeding, the holders of secured indebtedness will be entitled to receive payment in full from the proceeds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collateral securing our secured indebtedness before the holders of other indebtedness or our common stock will be entitled to receive any distribution with respect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we will have sufficient resources to make any required repayments of principal and interest under the terms of our indebtedness when required. If we fail to pay interest on the Blackstone Credit Facility when required or principal at maturity, we will be in default and may also suffer an event of default under the terms of other borrowing arrangements that we may enter into from time to time. In addition, a default under other indebtedness of ours in an aggregate principal amount of $10.0 million or more would constitute an event of default under the Blackstone Credit Facility. Any of these events could have a material adverse effect on our business, results of operations and financial condition, up to and including lenders initiating bankruptcy proceedings or causing us to cease operations altogether.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positive cash flow from operations and profitability depends heavily upon successfully commercializing our products, and although we had positive cash flows from operations and net income in the year ended December 31, 2025, we may not continue to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 </w:t>
      </w:r>
    </w:p>
    <w:p>
      <w:pPr>
        <w:pStyle w:val="TextBody"/>
        <w:bidi w:val="0"/>
        <w:jc w:val="left"/>
        <w:rPr>
          <w:rFonts w:ascii="Times New Roman" w:hAnsi="Times New Roman"/>
          <w:color w:val="000000"/>
          <w:sz w:val="20"/>
        </w:rPr>
      </w:pPr>
      <w:r>
        <w:rPr>
          <w:rFonts w:ascii="Times New Roman" w:hAnsi="Times New Roman"/>
          <w:color w:val="000000"/>
          <w:sz w:val="20"/>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are physically quarantined or are unable or unwilling to visit healthcare providers,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physicians restrict access to their facilities for a material period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healthcare providers prioritize treatment of acute or communicable illnesses over chronic disease management,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pharmacies are closed or suffering supply chain disruptions,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patients lose access to employer-sponsored health insurance due to periods of high unemployment,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general disruptions in the operations of payers, distributors, logistics providers and other third parties that are necessary for our products to be prescribed and reimbursed.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Afrezza has been approved in the United States, Brazil and India, but we have not yet obtained approval in any other jurisdiction. V-Go has received 510(k) clearance from the FDA, but has not received a comparable approval in any other country. Similarly, Furoscix is approved only in the United States.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Continued testing of our products and product candidates may not yield successful results, and even if it does, we may still be unable to successfully commercialize our current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analysis of data collected from clinical studies of our products and product candidates may not reach the statistical significance necessary, or otherwise be sufficient to support FDA or other regulatory approval for the claimed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reviewing clinical data, we or any collaborators may abandon projects that we previously believed were promising;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candidates may not produce the desired effects or may result in adverse health effects or other characteristics that preclude regulatory approval or limit their commercial use once approved;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geopolitical conflicts, man-made or natural disasters or public health pandemics or epidemics or other business interruptions.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goals in the timeframes we expect, our business, financial condition and results of operations will be harmed and the market price of our common stock and other securities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studies and preclinical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study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components used in the manufacture of our product candidates or to source clinical supplies from contract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expanding and maintaining manufacturing operations, as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clinical studies compete for clinical sites and eligible subjects with clinical studies sponsored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by regulators;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caused by geopolitical conflicts, man-made or natural disasters or public health pandemics or epidemics or other business interruptions.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long-term safety and efficacy of approved products may differ from clinical studies, which could negatively impact sales and could lead to reputational harm or other negative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V-Go received pre-market clearance in 2010 under Section 510(k) of the U.S. Federal Food, Drug, and Cosmetic Act.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product candidates and technology may not be able to compete effectively or may be rendered obsolete.*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rapid rate of scientific discoveries and technological changes could result in our approved products, technologies or one or more of our product candidates becoming obsolete or noncompetitive. Third parties may develop or introduce new products that render our technology or products less competitive, uneconomical or obsolete. For example, on its February 2026 earnings call, United Therapeutics described Tresmi, a treprostinil solution for use in a soft mist inhaler, as a “category killer” in reference to dry-powder inhalers. If any of our Technosphere powders used in Afrezza, Tyvaso DPI, MNKD-1501, MNKD-201 and MNKD-701, which are based on our proprietary excipient, FDKP, are viewed to be inferior to alternative drug delivery technologies, our product portfolio and pipeline could be materially and adversely affected. Our future success may depend not only on our ability to develop our product candidates, but also our ability to improve them in order to keep pace with emerging industry developments. We cannot assure you that we will be able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product liability claims are brought against us, we may incur significant liabilities and suffer damage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other liability policies.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lose any key employees, our operations and our ability to execute our business strategy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internal controls over financial reporting are not considered effective, our business, financial condition and market price of our common stock and other securities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or modifications in financial accounting standards may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Financial Accounting Standards Board, either alone or jointly with other organizations, promulgates new accounting principles that could have an adverse impact on our reporting of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One Big Beautiful Bill Act (“OBBBA”), the IRA, the Coronavirus Aid, Relief, and Economic Security Act and legislation informally titled the Tax Cuts and Jobs Act enacted made significant changes to the U.S. tax laws. For example, the Tax Cuts and Jobs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Further guidance from the Internal Revenue Service and other tax authorities with respect to such legislation may affect us, and certain aspects of any legislation could be repealed, modified or sunset in future years. In addition, it is uncertain if and to what extent various states will conform to federal tax laws. Future tax reform legislation could have a material impact on the value of our deferred tax assets and could increase our future U.S. tax expense.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net operating loss carryforwards to offset future taxable income may be subject to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federal and state net operating loss carryforwards of approximately $2.2 billion and $1.5 billion available, respectively, to reduce future taxable income. $520.5 million of the federal net operating loss carryforwards do not expire and the remaining federal net operating loss carryforwards will begin expiring in 2026 through various future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The Company is in the process of completing a Section 382 analysis beginning from the date of our initial public offering through December 31, 2025, to determine whether additional limitations may be placed on the net operating loss carryforwards and other tax attributes and does not anticipate any additional changes in ownership that meet Section 382 study ownership change threshold. There is a risk that changes in ownership may occur in tax years after December 31, 2025. If a change in ownership were to occur, our net operating loss carryforwards and other tax attributes could be further limited or restricted. If limited, the related asset would be removed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Tax authorities may disagree with our positions and conclusions regarding certain tax positions, resulting in unanticipated costs, taxes or non-realization of expected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deal with hazardous materials and must comply with environmental laws and regulations, which can be expensive and restrict how we do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 required as a result of our activities since 2001. To date, we have not identified any material environmental investigation or remediation activities that we are required to perform.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or significant changes in staffing levels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design, development, manufacture and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storage and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sales and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there are any modifications to an approved product, including changes in indications, labeling, or manufacturing processes or facilities, we may be required to submit and obtain FDA approval of a new or supplemental NDA and/or supplemental biologics license application ("sBLA"), which may require us to develop additional data or conduct additional preclinical studies and clinical trials. Failure to comply with these requirements can result in regulatory enforcement actions and adverse publicity. If future clinical trials are unsuccessful, significantly delayed or not completed, we may not be able to market products for other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submission of an NDA or BLA including any sNDA or sBLA, to the FDA with supporting clinical safety and efficacy data does not guarantee that the FDA will accept the submission for filing,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product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comply with regulatory requirements, we may not be able to obtain the labeling claims necessary or desirable for product promotion. We may also be required to undertake post-marketing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stringent, ongoing 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 candidates, 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revisions to the approved labeling to add new safety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are required to register our establishments and list our products with the FDA and certain state agencies. We and any third-party manufacturers or suppliers must continually adhere to federal regulations setting forth cGMP (for drugs) and QMSR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QMSR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Although the FDA informed us that we were released from this postmarketing requirement in May 2026, we may be required to conduct additional clinical studies of our future product candidates, which could require substantial capital resources that we may not be able to obtain.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If successful, a citizen petition can significantly delay, or even prevent, the approval of a drug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legislation may impact the net sales of commercial products sold by us or any partner.*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both the United States and certain foreign jurisdictions, there has been a number of legislative and regulatory proposals in recent years to change the healthcare system in ways that could impact our ability to sell our products profitably. For example, on July 4, 2025, the OBBBA was signed into law, which narrowed access to the Patient Protection and Affordable Care Act (“PPACA”) marketplace exchange enrollment and declined to extend the PPACA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 It is possible that the PPACA will be subject to judicial or Congressional challenges in the future. It is unclear how any such challenges, other litigation, and the healthcare reform measures of the current administration will impact the PPACA.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pStyle w:val="TextBody"/>
        <w:bidi w:val="0"/>
        <w:jc w:val="left"/>
        <w:rPr>
          <w:rFonts w:ascii="Times New Roman" w:hAnsi="Times New Roman"/>
          <w:color w:val="000000"/>
          <w:sz w:val="20"/>
        </w:rPr>
      </w:pPr>
      <w:r>
        <w:rPr>
          <w:rFonts w:ascii="Times New Roman" w:hAnsi="Times New Roman"/>
          <w:color w:val="000000"/>
          <w:sz w:val="20"/>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 </w:t>
      </w:r>
    </w:p>
    <w:p>
      <w:pPr>
        <w:pStyle w:val="TextBody"/>
        <w:bidi w:val="0"/>
        <w:jc w:val="left"/>
        <w:rPr>
          <w:rFonts w:ascii="Times New Roman" w:hAnsi="Times New Roman"/>
          <w:color w:val="000000"/>
          <w:sz w:val="20"/>
        </w:rPr>
      </w:pPr>
      <w:r>
        <w:rPr>
          <w:rFonts w:ascii="Times New Roman" w:hAnsi="Times New Roman"/>
          <w:color w:val="000000"/>
          <w:sz w:val="20"/>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including at HHS, the FDA, the Centers for Medicare and Medicaid Services (“CMS”) and related agencies. These actions, presently directed by executive orders or memoranda from the Office of Management and Budget, may propose policy changes that create additional uncertainty for MannKind’s business. For example, the current administration has announced agreements with several pharmaceutical companies that require the drug manufacturers to offer, through a direct to consumer platform, U.S. patients and Medicaid programs prescription drug Most-Favored-Nation pricing equal to or lower than those paid in other developed nations, with additional mandates for direct-to-patient discounts and repatriation of foreign revenues. Other recent actions and proposals include (1) reducing agency workforce; (2) directing HHS and other agencies to lower prescription drug costs for Medicare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If Most-Favored-Nation pricing for pharmaceutical products is implemented and applicable to Afrezza, our revenue opportunities for Afrezza may be adversely affected, as our U.S. pricing for Afrezza would have to be reduced to the lowest price paid for Afrezza outside of the United States. In such event and subject to the terms of our agreements with our ex-U.S. partners, we may choose to forgo the ex-U.S. market. Likewise, our royalty revenue from Tyvaso DPI could suffer for the same reason. In June 2024, the U.S. Supreme Court’s Loper Bright decision greatly reduced judicial deference to regulatory agencies, which could increase successful legal challenges to federal regulations affecting our operations. Finally, Congress may introduce and ultimately pass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care related legislation that could impact the drug approval process and make changes to the Medicare Drug Price Negotiation Program.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under PPACA, which requires certain manufacturers of drugs, devices, biologics, and medical supplies to report annually to the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as well as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certain regulatory licenses to manufacture or distribute products commercially and/or the registration of pharmaceutical sales representatives in the jurisdiction;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 marketing expenditures or drug pricing.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have passed and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w:t>
      </w:r>
    </w:p>
    <w:p>
      <w:pPr>
        <w:pStyle w:val="TextBody"/>
        <w:bidi w:val="0"/>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 and South Korea’s Personal Information Protection Act.</w:t>
      </w:r>
    </w:p>
    <w:p>
      <w:pPr>
        <w:pStyle w:val="TextBody"/>
        <w:bidi w:val="0"/>
        <w:jc w:val="left"/>
        <w:rPr>
          <w:rFonts w:ascii="Times New Roman" w:hAnsi="Times New Roman"/>
          <w:color w:val="000000"/>
          <w:sz w:val="20"/>
        </w:rPr>
      </w:pPr>
      <w:r>
        <w:rPr>
          <w:rFonts w:ascii="Times New Roman" w:hAnsi="Times New Roman"/>
          <w:color w:val="000000"/>
          <w:sz w:val="20"/>
        </w:rPr>
        <w:t xml:space="preserve">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and regulations regulating generative AI. Our use of this technology could result in additional compliance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regulatory investigations and actions, and lawsuits. If we are unable to use generative AI, it could make our business less efficient and result in competitive disadvantages.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For example, the Department of Justice issued a rule titled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This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our proprietary rights, we may not be able to compete effectively, or operate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surrounding the prosecution of our patent applications and the enforcement or defense of our issued patents, all of which could have a material adverse effect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become involved in lawsuits to protect or enforce our patents or the patents of our collaborators or licensors, we would be required to devote substantial time and resources to prosecute or defend such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patent owner may claim that we are making, using, selling or offering for sale an invention covered by the owner’s patents and may go to court to stop us from engaging in such activities. Such litigation is not uncommon in 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do not believe that our products or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obtain trademark registrations for our potential trade names.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pStyle w:val="TextBody"/>
        <w:bidi w:val="0"/>
        <w:jc w:val="left"/>
        <w:rPr/>
      </w:pPr>
      <w:r>
        <w:rPr/>
        <w:t>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our collaborators (including United Therapeutics), or our competitors concerning clinical study results, acquisitions, strategic alliances, technological innovations, strategic priorities, resource allocation, commercial emphasis, product side effects, product candidates or newly approved commercial products, the relative benefits of product candidates or approved products versus the product candidates or products marketed by us or our collaborators, product discontinuations, or other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marketing approval for our products outside of the United States and to find collaboration partners for the commercialization of our products in foreign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estimates of product sales, royalties, prescriptions or other operating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other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and results of preclinical and clinical studies of our product candidates and of post-approval studies of approved products that are required by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political or stock market conditions, such as inflation, tariffs, and other fiscal and trade policy changes, especially for emerging growth and pharmaceutical market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legislative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critical materials used in developing and manufacturing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relationship with any of our current or future collaborators or third 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our patents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expense and time associated with, and the extent of our ultimate success in, securing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concerning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securities analysts’ estimates of our financial condition or operating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including sales by our executive officers, directors and significant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trades of short sellers;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perception of investors of our ability, to continue to meet all applicable requirements for continued listing of our common stock on The Nasdaq Global Market, and the possible delisting of our common stock if we are unable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of any legal proceedings or regulatory matters against or involving us or any of our executive officers and directors;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risks, as well as other factors, could cause the market value of our common stock and other securities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breach of fiduciary duty owed by any of our current or former directors, officers or other employees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amended and restated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or proceeding as to which the Delaware General Corporation Law confers jurisdiction to the Court of Chancery of the State of Delaware;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or any of our directors, officers or other employees that is governed by the internal affairs doctrine.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Because we do not expect to pay dividends in the foreseeable future, you must rely on stock appreciation for any return on any investment in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paid no cash dividends on any of our capital stock to date, and we currently intend to retain our future earnings, if any, to fund the development and growth of our business. In addition, we are restricted from paying dividends on our capital stock pursuant to the terms of the Blackstone Credit Facility.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shares of our common stock in the public market, or the perception that such sales may occur, may depress our stock price and adversely impact the market price of our common stock and other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substantial number of shares of our common stock is reserved for issuance upon the exercise of stock options, the vesting of restricted stock unit awards and purchases under our employee stock purchase plan. The issuance or sale of substantial amounts of common stock, or the perception that such issuances or sales may occur, could adversely affect the market price of our common stock and other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other biotechnology and biopharmaceutical companies or the securities markets in general encounter problems, the market price of our common stock and other securities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 </w:t>
      </w:r>
    </w:p>
    <w:p>
      <w:pPr>
        <w:pStyle w:val="TextBody"/>
        <w:bidi w:val="0"/>
        <w:spacing w:before="240" w:after="283"/>
        <w:jc w:val="left"/>
        <w:rPr>
          <w:rFonts w:ascii="Times New Roman" w:hAnsi="Times New Roman"/>
          <w:sz w:val="20"/>
        </w:rPr>
      </w:pPr>
      <w:r>
        <w:rPr>
          <w:rFonts w:ascii="Times New Roman" w:hAnsi="Times New Roman"/>
          <w:color w:val="000000"/>
          <w:sz w:val="20"/>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r>
        <w:rPr>
          <w:rFonts w:ascii="Times New Roman" w:hAnsi="Times New Roman"/>
          <w:color w:val="006EBF"/>
          <w:sz w:val="20"/>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economic and geopolitical conditions may have serious adverse consequences on our business, financial condition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recently experienced extreme volatility and disruptions.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 affected by any such economic downturn, volatile business environment, currency fluctuations, actual or anticipated bank failures, 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providers, manufacturers and other partners may not survive an economic downturn or rising inflation, which could directly affect our ability to attain our operating goals on schedule and on budget.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international and geopolitical events, including military conflicts, threatened hostilities, conflicts or heighted tension among alliance countries, and other geopolitical conflicts could also have a serious adverse impact on our business. For example, our drug-device combination products are manufactured using plastic materials (including resins and polymer-based parts) and packaging that are derived, directly or indirectly, from petroleum-based feedstocks. Accordingly, the recent increases in crude oil and other energy prices, as well as volatility in those prices, could potentially lead to higher costs for plastic resins, polymer components, adhesives and packaging materials, and other petroleum-related inputs. Rising oil prices may also increase freight and logistics costs and, depending on market conditions, may contribute to broader inflationary pressures that affect labor, utilities and other manufacturing expenses. While we cannot predict the broader consequences, these conflicts and retaliatory and counter-retaliatory actions could materially adversely affect global trade, energy costs,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360" w:after="120"/>
        <w:jc w:val="left"/>
        <w:rPr>
          <w:rFonts w:ascii="Times New Roman" w:hAnsi="Times New Roman"/>
          <w:sz w:val="20"/>
        </w:rPr>
      </w:pPr>
      <w:r>
        <w:rPr>
          <w:rFonts w:ascii="Times New Roman" w:hAnsi="Times New Roman"/>
          <w:b/>
          <w:i/>
          <w:color w:val="000000"/>
          <w:sz w:val="20"/>
        </w:rPr>
        <w:t>Our operations might be interrupted by the occurrence of a natural disaster or other catastrophic event.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Currently, our manufacturing facility in Connecticut is the sole location for the manufacturing of Afrezza and Tyvaso DPI. Similarly, we have exclusive supply arrangements with the contract manufacturers that produce V-Go and Furoscix. The facilities and the specialized manufacturing equipment used to manufacture these products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pStyle w:val="TextBody"/>
        <w:bidi w:val="0"/>
        <w:spacing w:before="120" w:after="120"/>
        <w:jc w:val="left"/>
        <w:rPr>
          <w:rFonts w:ascii="Times New Roman" w:hAnsi="Times New Roman"/>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19" w:name="item_5_or_information"/>
      <w:bookmarkEnd w:id="19"/>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June 30, 2026, two of our officers (as defined in Rule 16a-1(f) under the Exchange Act) entered into a written trading plan for the orderly disposition of the Company’s securities as set forth in the table below:</w:t>
      </w:r>
    </w:p>
    <w:tbl>
      <w:tblPr>
        <w:tblW w:w="10205" w:type="dxa"/>
        <w:jc w:val="left"/>
        <w:tblInd w:w="0" w:type="dxa"/>
        <w:tblLayout w:type="fixed"/>
        <w:tblCellMar>
          <w:top w:w="28" w:type="dxa"/>
          <w:left w:w="28" w:type="dxa"/>
          <w:bottom w:w="28" w:type="dxa"/>
          <w:right w:w="28" w:type="dxa"/>
        </w:tblCellMar>
      </w:tblPr>
      <w:tblGrid>
        <w:gridCol w:w="2152"/>
        <w:gridCol w:w="146"/>
        <w:gridCol w:w="886"/>
        <w:gridCol w:w="146"/>
        <w:gridCol w:w="903"/>
        <w:gridCol w:w="146"/>
        <w:gridCol w:w="957"/>
        <w:gridCol w:w="189"/>
        <w:gridCol w:w="271"/>
        <w:gridCol w:w="645"/>
        <w:gridCol w:w="146"/>
        <w:gridCol w:w="146"/>
        <w:gridCol w:w="304"/>
        <w:gridCol w:w="1627"/>
        <w:gridCol w:w="146"/>
        <w:gridCol w:w="146"/>
        <w:gridCol w:w="1249"/>
      </w:tblGrid>
      <w:tr>
        <w:trPr/>
        <w:tc>
          <w:tcPr>
            <w:tcW w:w="2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Rule </w:t>
              <w:br/>
              <w:t>10b5-1</w:t>
            </w:r>
            <w:r>
              <w:rPr>
                <w:rFonts w:ascii="Times New Roman" w:hAnsi="Times New Roman"/>
                <w:b/>
                <w:color w:val="000000"/>
                <w:sz w:val="13"/>
              </w:rPr>
              <w:t>(1)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Non-Rule </w:t>
              <w:br/>
              <w:t>10b5-1</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2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Sanjay Singh</w:t>
              <w:br/>
            </w:r>
            <w:r>
              <w:rPr>
                <w:rFonts w:ascii="Times New Roman" w:hAnsi="Times New Roman"/>
                <w:i/>
                <w:color w:val="000000"/>
                <w:sz w:val="20"/>
              </w:rPr>
              <w:t>Executive Vice President, Technical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31, 2027</w:t>
            </w:r>
          </w:p>
        </w:tc>
      </w:tr>
      <w:tr>
        <w:trPr/>
        <w:tc>
          <w:tcPr>
            <w:tcW w:w="2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Castagna</w:t>
              <w:br/>
            </w:r>
            <w:r>
              <w:rPr>
                <w:rFonts w:ascii="Times New Roman" w:hAnsi="Times New Roman"/>
                <w:i/>
                <w:color w:val="000000"/>
                <w:sz w:val="20"/>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10, 2027</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Contract, instruction or written plan intended to satisfy the affirmative defense conditions of Rule 10b5-1(c) under the Exchange Act.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"Non-Rule 10b5-1 trading arrangement" as defined in Item 408(c) of Regulation S-K under the Exchange Act.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254"/>
        <w:gridCol w:w="9122"/>
      </w:tblGrid>
      <w:tr>
        <w:trPr/>
        <w:tc>
          <w:tcPr>
            <w:tcW w:w="829"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122" w:type="dxa"/>
            <w:tcBorders/>
            <w:shd w:fill="FFFFFF" w:val="clear"/>
            <w:vAlign w:val="center"/>
          </w:tcPr>
          <w:p>
            <w:pPr>
              <w:pStyle w:val="TableContents"/>
              <w:bidi w:val="0"/>
              <w:spacing w:before="0" w:after="283"/>
              <w:jc w:val="left"/>
              <w:rPr>
                <w:sz w:val="4"/>
                <w:szCs w:val="4"/>
              </w:rPr>
            </w:pPr>
            <w:r>
              <w:rPr>
                <w:sz w:val="4"/>
                <w:szCs w:val="4"/>
              </w:rPr>
            </w:r>
          </w:p>
        </w:tc>
      </w:tr>
      <w:tr>
        <w:trPr/>
        <w:tc>
          <w:tcPr>
            <w:tcW w:w="829"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August 24, 2025, by and among MannKind Corporation, Seacoast Merger Sub, Inc. and scPharmaceuticals Inc. (incorporated by reference to Exhibit 2.1 to MannKind’s Current Report on Form 8-K (File No. 000-50865), filed with the SEC on August 25, 2025).</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(incorporated by reference to Exhibit 3.1 to MannKind’s Quarterly Report on Form 10-Q (File No. 000-50865), filed with the SEC on August 9, 2016).</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March 2, 2017).</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December 13, 2017).</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3.4</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27, 2020).</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3.5</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Amendment of Amended and Restated Certificate of Incorporation of MannKind Corporation (incorporated by reference to Exhibit 3.1 to MannKind’s Current Report on Form 8-K (File No. 000-50865), filed with the SEC on May 30, 2023).</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(incorporated by reference to Exhibit 3.2 to MannKind’s Current Report on Form 8-K (File No. 000-50865), filed with the SEC on May 27, 2020).</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9">
              <w:r>
                <w:rPr>
                  <w:rStyle w:val="InternetLink"/>
                  <w:rFonts w:ascii="Times New Roman" w:hAnsi="Times New Roman"/>
                  <w:color w:val="0000FF"/>
                  <w:sz w:val="20"/>
                  <w:u w:val="single"/>
                </w:rPr>
                <w:t>3.1</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3.2</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3.3</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3.4</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3.5</w:t>
              </w:r>
            </w:hyperlink>
            <w:r>
              <w:rPr>
                <w:rFonts w:ascii="Times New Roman" w:hAnsi="Times New Roman"/>
                <w:color w:val="000000"/>
                <w:sz w:val="20"/>
              </w:rPr>
              <w:t xml:space="preserve"> and </w:t>
            </w:r>
            <w:hyperlink r:id="rId14">
              <w:r>
                <w:rPr>
                  <w:rStyle w:val="InternetLink"/>
                  <w:rFonts w:ascii="Times New Roman" w:hAnsi="Times New Roman"/>
                  <w:color w:val="0000FF"/>
                  <w:sz w:val="20"/>
                  <w:u w:val="single"/>
                </w:rPr>
                <w:t>3.6</w:t>
              </w:r>
            </w:hyperlink>
            <w:r>
              <w:rPr>
                <w:rFonts w:ascii="Times New Roman" w:hAnsi="Times New Roman"/>
                <w:color w:val="000000"/>
                <w:sz w:val="20"/>
              </w:rPr>
              <w:t>.</w:t>
            </w:r>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common stock certificate (incorporated by reference to Exhibit 4.2 to MannKind’s Annual Report on Form 10-K (File No. 000-50865), filed with the SEC on March 16, 2017).</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Milestone Rights Purchase Agreement, dated as of July 1, 2013, by and among MannKind, Deerfield Private Design Fund II, L.P. and Horizon Santé FLML SÁRL (incorporated by reference to Exhibit 99.3 to MannKind’s Current Report on Form 8-K (File No. 000-50865), filed with the SEC on July 1, 2013).</w:t>
              </w:r>
            </w:hyperlink>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Warrant to Purchase Stock issued to MidCap Financial Trust on August 6, 2019 (incorporated by reference to Exhibit 4.1 to MannKind’s Current Report on Form 8-K (File No. 000-50865), filed with the SEC on August 7, 2019).</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4.5</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Pre-Funded Warrant to Purchase Common Stock (incorporated by reference to Exhibit 4.1 to MannKind’s Current Report on Form 8-K, filed with the SEC on July 24, 2026).</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4.6</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Registration Rights Agreement (incorporated by reference to Exhibit 4.2 to MannKind’s Current Report on Form 8-K, filed with the SEC on July 24, 2026).</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w:anchor="mnkd-ex31_1.htm">
              <w:r>
                <w:rPr>
                  <w:rStyle w:val="InternetLink"/>
                  <w:rFonts w:ascii="Times New Roman" w:hAnsi="Times New Roman"/>
                  <w:color w:val="0000FF"/>
                  <w:sz w:val="20"/>
                  <w:u w:val="single"/>
                </w:rPr>
                <w:t>Certification of the Chief Executive Officer pursuant to Rules 13a-14(a) and 15d-14(a) of the Securities Exchange Act of 1934, as amended.</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w:anchor="mnkd-ex31_2.htm">
              <w:r>
                <w:rPr>
                  <w:rStyle w:val="InternetLink"/>
                  <w:rFonts w:ascii="Times New Roman" w:hAnsi="Times New Roman"/>
                  <w:color w:val="0000FF"/>
                  <w:sz w:val="20"/>
                  <w:u w:val="single"/>
                </w:rPr>
                <w:t>Certification of the Chief Financial Officer pursuant to Rules 13a-14(a) and 15d-14(a) of the Securities Exchange Act of 1934, as amended.</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w:anchor="mnkd-ex32_1.htm">
              <w:r>
                <w:rPr>
                  <w:rStyle w:val="InternetLink"/>
                  <w:rFonts w:ascii="Times New Roman" w:hAnsi="Times New Roman"/>
                  <w:color w:val="0000FF"/>
                  <w:sz w:val="20"/>
                  <w:u w:val="single"/>
                </w:rPr>
                <w:t>Certification of the Chief Executive Officer pursuant to Rules 13a-14(b) and 15d-14(b) of the Securities Exchange Act of 1934, as amended and Section 1350 of Chapter 63 of Title 18 of the United States Code (18 U.S.C. §1350).</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hyperlink w:anchor="mnkd-ex32_2.htm">
              <w:r>
                <w:rPr>
                  <w:rStyle w:val="InternetLink"/>
                  <w:rFonts w:ascii="Times New Roman" w:hAnsi="Times New Roman"/>
                  <w:color w:val="0000FF"/>
                  <w:sz w:val="20"/>
                  <w:u w:val="single"/>
                </w:rPr>
                <w:t>Certification of the Chief Financial Officer pursuant to Rules 13a-14(b) and 15d-14(b) of the Securities Exchange Act of 1934, as amended and Section 1350 of Chapter 63 of Title 18 of the United States Code (18 U.S.C. §1350).</w:t>
              </w:r>
            </w:hyperlink>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Interactive Data Files pursuant to Rule 405 of Regulation S-T.</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1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has been formatted in Inline XBRL.</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Certain annexes, exhibits and schedules have been omitted pursuant to Item 601(a)(5) of Regulation S-K.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1951"/>
        <w:gridCol w:w="406"/>
        <w:gridCol w:w="640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68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MANNKIND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the registrant’s 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bookmarkStart w:id="22" w:name="mnkd-ex31_1.htm"/>
      <w:bookmarkStart w:id="23" w:name="ksmnkdex31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E. Castagna,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June 30, 2026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283"/>
              <w:jc w:val="left"/>
              <w:rPr>
                <w:sz w:val="4"/>
                <w:szCs w:val="4"/>
              </w:rPr>
            </w:pPr>
            <w:r>
              <w:rPr>
                <w:sz w:val="4"/>
                <w:szCs w:val="4"/>
              </w:rPr>
            </w:r>
          </w:p>
        </w:tc>
      </w:tr>
      <w:tr>
        <w:trPr/>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Michael E. Castagna</w:t>
            </w:r>
          </w:p>
        </w:tc>
      </w:tr>
      <w:tr>
        <w:trPr/>
        <w:tc>
          <w:tcPr>
            <w:tcW w:w="31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E. Castagna</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and Director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mnkd-ex31_2.htm"/>
      <w:bookmarkStart w:id="25" w:name="ksmnkdex31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CERTIFICATION OF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 13a-14(a) OR 15d-14(a) OF THE SECURITIES EXCHANGE ACT OF 1934,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Christopher B. Prentiss,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quarterly period ended June 30, 2026 of MannKind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Christopher B. Prentiss</w:t>
            </w:r>
          </w:p>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0"/>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mnkd-ex32_1.htm"/>
      <w:bookmarkStart w:id="27" w:name="ksmnkd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June 30, 2026,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5th day of August, 2026. </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Michael E. Castagna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 Castagna</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nkd-ex32_2.htm"/>
      <w:bookmarkStart w:id="29" w:name="ksmnkd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CERTIFICATION OF </w:t>
      </w:r>
    </w:p>
    <w:p>
      <w:pPr>
        <w:pStyle w:val="TextBody"/>
        <w:bidi w:val="0"/>
        <w:jc w:val="center"/>
        <w:rPr>
          <w:rFonts w:ascii="Times New Roman" w:hAnsi="Times New Roman"/>
          <w:color w:val="000000"/>
          <w:sz w:val="20"/>
        </w:rPr>
      </w:pPr>
      <w:r>
        <w:rPr>
          <w:rFonts w:ascii="Times New Roman" w:hAnsi="Times New Roman"/>
          <w:color w:val="000000"/>
          <w:sz w:val="20"/>
        </w:rPr>
        <w:t xml:space="preserve">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RULE 13a-14(b) OR 15d-14(b) OF THE SECURITIES EXCHANGE ACT OF 1934, AS AMENDED, AND SECTION 1350 OF </w:t>
      </w:r>
    </w:p>
    <w:p>
      <w:pPr>
        <w:pStyle w:val="TextBody"/>
        <w:bidi w:val="0"/>
        <w:spacing w:before="240" w:after="283"/>
        <w:jc w:val="center"/>
        <w:rPr>
          <w:rFonts w:ascii="Times New Roman" w:hAnsi="Times New Roman"/>
          <w:sz w:val="20"/>
        </w:rPr>
      </w:pPr>
      <w:r>
        <w:rPr>
          <w:rFonts w:ascii="Times New Roman" w:hAnsi="Times New Roman"/>
          <w:color w:val="000000"/>
          <w:sz w:val="20"/>
        </w:rPr>
        <w:t>CHAPTER 63 OF TITLE 18 OF THE UNITED STATES CODE (18 U.S.C. § 1350)</w:t>
      </w:r>
      <w:r>
        <w:rPr>
          <w:rFonts w:ascii="Times New Roman" w:hAnsi="Times New Roman"/>
          <w:b/>
          <w:color w:val="000000"/>
          <w:sz w:val="13"/>
        </w:rPr>
        <w:t>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filing of the quarterly report of MannKind Corporation (the “Company”) on Form 10-Q for the quarterly period ended June 30, 2026,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Witness Whereof, the undersigned has set his hand hereto as of the 5th day of August, 2026. </w:t>
      </w:r>
    </w:p>
    <w:p>
      <w:pPr>
        <w:pStyle w:val="TextBody"/>
        <w:bidi w:val="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B. Prentiss</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B. Prentiss</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pBdr>
          <w:bottom w:val="single" w:sz="6"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
        <w:gridCol w:w="9998"/>
      </w:tblGrid>
      <w:tr>
        <w:trPr/>
        <w:tc>
          <w:tcPr>
            <w:tcW w:w="207" w:type="dxa"/>
            <w:tcBorders/>
            <w:vAlign w:val="center"/>
          </w:tcPr>
          <w:p>
            <w:pPr>
              <w:pStyle w:val="TableContents"/>
              <w:bidi w:val="0"/>
              <w:spacing w:before="0" w:after="283"/>
              <w:jc w:val="left"/>
              <w:rPr>
                <w:sz w:val="4"/>
                <w:szCs w:val="4"/>
              </w:rPr>
            </w:pPr>
            <w:r>
              <w:rPr>
                <w:sz w:val="4"/>
                <w:szCs w:val="4"/>
              </w:rPr>
            </w:r>
          </w:p>
        </w:tc>
        <w:tc>
          <w:tcPr>
            <w:tcW w:w="9998" w:type="dxa"/>
            <w:tcBorders/>
            <w:vAlign w:val="center"/>
          </w:tcPr>
          <w:p>
            <w:pPr>
              <w:pStyle w:val="TableContents"/>
              <w:bidi w:val="0"/>
              <w:spacing w:before="0" w:after="283"/>
              <w:jc w:val="left"/>
              <w:rPr>
                <w:sz w:val="4"/>
                <w:szCs w:val="4"/>
              </w:rPr>
            </w:pPr>
            <w:r>
              <w:rPr>
                <w:sz w:val="4"/>
                <w:szCs w:val="4"/>
              </w:rPr>
            </w:r>
          </w:p>
        </w:tc>
      </w:tr>
      <w:tr>
        <w:trPr/>
        <w:tc>
          <w:tcPr>
            <w:tcW w:w="2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p>
        </w:tc>
        <w:tc>
          <w:tcPr>
            <w:tcW w:w="9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899460/000119312525186994/d931701dex21.htm" TargetMode="External"/><Relationship Id="rId3" Type="http://schemas.openxmlformats.org/officeDocument/2006/relationships/hyperlink" Target="https://www.sec.gov/Archives/edgar/data/899460/000119312516676980/d225552dex31.htm" TargetMode="External"/><Relationship Id="rId4" Type="http://schemas.openxmlformats.org/officeDocument/2006/relationships/hyperlink" Target="https://www.sec.gov/Archives/edgar/data/899460/000119312517066630/d313758dex31.htm" TargetMode="External"/><Relationship Id="rId5" Type="http://schemas.openxmlformats.org/officeDocument/2006/relationships/hyperlink" Target="https://www.sec.gov/Archives/edgar/data/899460/000119312517368329/d511527dex31.htm" TargetMode="External"/><Relationship Id="rId6" Type="http://schemas.openxmlformats.org/officeDocument/2006/relationships/hyperlink" Target="https://www.sec.gov/Archives/edgar/data/899460/000119312520153051/d936164dex31.htm" TargetMode="External"/><Relationship Id="rId7" Type="http://schemas.openxmlformats.org/officeDocument/2006/relationships/hyperlink" Target="https://www.sec.gov/Archives/edgar/data/899460/000119312523156575/d473553dex31.htm" TargetMode="External"/><Relationship Id="rId8" Type="http://schemas.openxmlformats.org/officeDocument/2006/relationships/hyperlink" Target="https://www.sec.gov/Archives/edgar/data/899460/000119312520153051/d936164dex32.htm" TargetMode="External"/><Relationship Id="rId9" Type="http://schemas.openxmlformats.org/officeDocument/2006/relationships/hyperlink" Target="https://www.sec.gov/Archives/edgar/data/899460/000119312516676980/d225552dex31.htm" TargetMode="External"/><Relationship Id="rId10" Type="http://schemas.openxmlformats.org/officeDocument/2006/relationships/hyperlink" Target="https://www.sec.gov/Archives/edgar/data/899460/000119312517066630/d313758dex31.htm" TargetMode="External"/><Relationship Id="rId11" Type="http://schemas.openxmlformats.org/officeDocument/2006/relationships/hyperlink" Target="https://www.sec.gov/Archives/edgar/data/899460/000119312517368329/d511527dex31.htm" TargetMode="External"/><Relationship Id="rId12" Type="http://schemas.openxmlformats.org/officeDocument/2006/relationships/hyperlink" Target="https://www.sec.gov/Archives/edgar/data/899460/000119312520153051/d936164dex31.htm" TargetMode="External"/><Relationship Id="rId13" Type="http://schemas.openxmlformats.org/officeDocument/2006/relationships/hyperlink" Target="https://www.sec.gov/Archives/edgar/data/899460/000119312523156575/d473553dex31.htm" TargetMode="External"/><Relationship Id="rId14" Type="http://schemas.openxmlformats.org/officeDocument/2006/relationships/hyperlink" Target="https://www.sec.gov/Archives/edgar/data/899460/000119312520153051/d936164dex32.htm" TargetMode="External"/><Relationship Id="rId15" Type="http://schemas.openxmlformats.org/officeDocument/2006/relationships/hyperlink" Target="https://www.sec.gov/Archives/edgar/data/899460/000119312517085519/d305327dex42.htm" TargetMode="External"/><Relationship Id="rId16" Type="http://schemas.openxmlformats.org/officeDocument/2006/relationships/hyperlink" Target="https://www.sec.gov/Archives/edgar/data/899460/000119312513279522/d562665dex993.htm" TargetMode="External"/><Relationship Id="rId17" Type="http://schemas.openxmlformats.org/officeDocument/2006/relationships/hyperlink" Target="https://www.sec.gov/Archives/edgar/data/899460/000119312519215305/d757696dex41.htm" TargetMode="External"/><Relationship Id="rId18" Type="http://schemas.openxmlformats.org/officeDocument/2006/relationships/hyperlink" Target="https://www.sec.gov/Archives/edgar/data/0000899460/000119312526316041/d63182dex41.htm" TargetMode="External"/><Relationship Id="rId19" Type="http://schemas.openxmlformats.org/officeDocument/2006/relationships/hyperlink" Target="https://www.sec.gov/Archives/edgar/data/0000899460/000119312526316041/d63182dex42.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58521</Words>
  <Characters>324797</Characters>
  <CharactersWithSpaces>384916</CharactersWithSpaces>
  <Paragraphs>8265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