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29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29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29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0"/>
          <w:szCs w:val="20"/>
          <w:color w:val="auto"/>
        </w:rPr>
      </w:pPr>
    </w:p>
    <w:p>
      <w:pPr>
        <w:ind w:left="1380" w:right="120" w:hanging="1061"/>
        <w:spacing w:after="0" w:line="243"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77"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June 30, 2006</w:t>
      </w:r>
    </w:p>
    <w:p>
      <w:pPr>
        <w:spacing w:after="0" w:line="11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10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4680" w:val="left"/>
          <w:tab w:leader="none" w:pos="5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Commission File Number: 000-50865</w:t>
      </w:r>
    </w:p>
    <w:p>
      <w:pPr>
        <w:spacing w:after="0" w:line="200" w:lineRule="exact"/>
        <w:rPr>
          <w:sz w:val="20"/>
          <w:szCs w:val="20"/>
          <w:color w:val="auto"/>
        </w:rPr>
      </w:pPr>
    </w:p>
    <w:p>
      <w:pPr>
        <w:jc w:val="center"/>
        <w:ind w:right="-299"/>
        <w:spacing w:after="0"/>
        <w:rPr>
          <w:sz w:val="20"/>
          <w:szCs w:val="20"/>
          <w:color w:val="auto"/>
        </w:rPr>
      </w:pPr>
      <w:r>
        <w:rPr>
          <w:rFonts w:ascii="Arial" w:cs="Arial" w:eastAsia="Arial" w:hAnsi="Arial"/>
          <w:sz w:val="43"/>
          <w:szCs w:val="43"/>
          <w:b w:val="1"/>
          <w:bCs w:val="1"/>
          <w:color w:val="auto"/>
        </w:rPr>
        <w:t>MannKind Corporation</w:t>
      </w:r>
    </w:p>
    <w:p>
      <w:pPr>
        <w:spacing w:after="0" w:line="5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1160" w:type="dxa"/>
        <w:tblCellMar>
          <w:top w:w="0" w:type="dxa"/>
          <w:left w:w="0" w:type="dxa"/>
          <w:bottom w:w="0" w:type="dxa"/>
          <w:right w:w="0" w:type="dxa"/>
        </w:tblCellMar>
      </w:tblPr>
      <w:tr>
        <w:trPr>
          <w:trHeight w:val="220"/>
        </w:trPr>
        <w:tc>
          <w:tcPr>
            <w:tcW w:w="4680" w:type="dxa"/>
            <w:vAlign w:val="bottom"/>
          </w:tcPr>
          <w:p>
            <w:pPr>
              <w:jc w:val="center"/>
              <w:ind w:right="1470"/>
              <w:spacing w:after="0"/>
              <w:rPr>
                <w:sz w:val="20"/>
                <w:szCs w:val="20"/>
                <w:color w:val="auto"/>
              </w:rPr>
            </w:pPr>
            <w:r>
              <w:rPr>
                <w:rFonts w:ascii="Arial" w:cs="Arial" w:eastAsia="Arial" w:hAnsi="Arial"/>
                <w:sz w:val="18"/>
                <w:szCs w:val="18"/>
                <w:b w:val="1"/>
                <w:bCs w:val="1"/>
                <w:color w:val="auto"/>
                <w:w w:val="91"/>
              </w:rPr>
              <w:t>Delaware</w:t>
            </w:r>
          </w:p>
        </w:tc>
        <w:tc>
          <w:tcPr>
            <w:tcW w:w="4180" w:type="dxa"/>
            <w:vAlign w:val="bottom"/>
          </w:tcPr>
          <w:p>
            <w:pPr>
              <w:jc w:val="right"/>
              <w:ind w:right="790"/>
              <w:spacing w:after="0"/>
              <w:rPr>
                <w:sz w:val="20"/>
                <w:szCs w:val="20"/>
                <w:color w:val="auto"/>
              </w:rPr>
            </w:pPr>
            <w:r>
              <w:rPr>
                <w:rFonts w:ascii="Arial" w:cs="Arial" w:eastAsia="Arial" w:hAnsi="Arial"/>
                <w:sz w:val="18"/>
                <w:szCs w:val="18"/>
                <w:b w:val="1"/>
                <w:bCs w:val="1"/>
                <w:color w:val="auto"/>
              </w:rPr>
              <w:t>13-3607736</w:t>
            </w:r>
          </w:p>
        </w:tc>
      </w:tr>
      <w:tr>
        <w:trPr>
          <w:trHeight w:val="216"/>
        </w:trPr>
        <w:tc>
          <w:tcPr>
            <w:tcW w:w="4680" w:type="dxa"/>
            <w:vAlign w:val="bottom"/>
          </w:tcPr>
          <w:p>
            <w:pPr>
              <w:jc w:val="center"/>
              <w:ind w:right="1490"/>
              <w:spacing w:after="0"/>
              <w:rPr>
                <w:sz w:val="20"/>
                <w:szCs w:val="20"/>
                <w:color w:val="auto"/>
              </w:rPr>
            </w:pPr>
            <w:r>
              <w:rPr>
                <w:rFonts w:ascii="Arial" w:cs="Arial" w:eastAsia="Arial" w:hAnsi="Arial"/>
                <w:sz w:val="18"/>
                <w:szCs w:val="18"/>
                <w:color w:val="auto"/>
                <w:w w:val="92"/>
              </w:rPr>
              <w:t>(State or other jurisdiction of incorporation</w:t>
            </w:r>
          </w:p>
        </w:tc>
        <w:tc>
          <w:tcPr>
            <w:tcW w:w="4180" w:type="dxa"/>
            <w:vAlign w:val="bottom"/>
          </w:tcPr>
          <w:p>
            <w:pPr>
              <w:jc w:val="center"/>
              <w:ind w:left="147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680" w:type="dxa"/>
            <w:vAlign w:val="bottom"/>
          </w:tcPr>
          <w:p>
            <w:pPr>
              <w:jc w:val="center"/>
              <w:ind w:right="1470"/>
              <w:spacing w:after="0"/>
              <w:rPr>
                <w:sz w:val="20"/>
                <w:szCs w:val="20"/>
                <w:color w:val="auto"/>
              </w:rPr>
            </w:pPr>
            <w:r>
              <w:rPr>
                <w:rFonts w:ascii="Arial" w:cs="Arial" w:eastAsia="Arial" w:hAnsi="Arial"/>
                <w:sz w:val="18"/>
                <w:szCs w:val="18"/>
                <w:color w:val="auto"/>
                <w:w w:val="92"/>
              </w:rPr>
              <w:t>or organization)</w:t>
            </w:r>
          </w:p>
        </w:tc>
        <w:tc>
          <w:tcPr>
            <w:tcW w:w="4180" w:type="dxa"/>
            <w:vAlign w:val="bottom"/>
          </w:tcPr>
          <w:p>
            <w:pPr>
              <w:spacing w:after="0"/>
              <w:rPr>
                <w:sz w:val="20"/>
                <w:szCs w:val="20"/>
                <w:color w:val="auto"/>
              </w:rPr>
            </w:pPr>
          </w:p>
        </w:tc>
      </w:tr>
      <w:tr>
        <w:trPr>
          <w:trHeight w:val="414"/>
        </w:trPr>
        <w:tc>
          <w:tcPr>
            <w:tcW w:w="4680" w:type="dxa"/>
            <w:vAlign w:val="bottom"/>
          </w:tcPr>
          <w:p>
            <w:pPr>
              <w:jc w:val="center"/>
              <w:ind w:right="1470"/>
              <w:spacing w:after="0"/>
              <w:rPr>
                <w:sz w:val="20"/>
                <w:szCs w:val="20"/>
                <w:color w:val="auto"/>
              </w:rPr>
            </w:pPr>
            <w:r>
              <w:rPr>
                <w:rFonts w:ascii="Arial" w:cs="Arial" w:eastAsia="Arial" w:hAnsi="Arial"/>
                <w:sz w:val="18"/>
                <w:szCs w:val="18"/>
                <w:b w:val="1"/>
                <w:bCs w:val="1"/>
                <w:color w:val="auto"/>
                <w:w w:val="90"/>
              </w:rPr>
              <w:t>28903 North Avenue Paine</w:t>
            </w:r>
          </w:p>
        </w:tc>
        <w:tc>
          <w:tcPr>
            <w:tcW w:w="4180" w:type="dxa"/>
            <w:vAlign w:val="bottom"/>
          </w:tcPr>
          <w:p>
            <w:pPr>
              <w:jc w:val="right"/>
              <w:ind w:right="990"/>
              <w:spacing w:after="0"/>
              <w:rPr>
                <w:sz w:val="20"/>
                <w:szCs w:val="20"/>
                <w:color w:val="auto"/>
              </w:rPr>
            </w:pPr>
            <w:r>
              <w:rPr>
                <w:rFonts w:ascii="Arial" w:cs="Arial" w:eastAsia="Arial" w:hAnsi="Arial"/>
                <w:sz w:val="18"/>
                <w:szCs w:val="18"/>
                <w:b w:val="1"/>
                <w:bCs w:val="1"/>
                <w:color w:val="auto"/>
              </w:rPr>
              <w:t>91355</w:t>
            </w:r>
          </w:p>
        </w:tc>
      </w:tr>
      <w:tr>
        <w:trPr>
          <w:trHeight w:val="220"/>
        </w:trPr>
        <w:tc>
          <w:tcPr>
            <w:tcW w:w="4680" w:type="dxa"/>
            <w:vAlign w:val="bottom"/>
          </w:tcPr>
          <w:p>
            <w:pPr>
              <w:jc w:val="center"/>
              <w:ind w:right="1490"/>
              <w:spacing w:after="0"/>
              <w:rPr>
                <w:sz w:val="20"/>
                <w:szCs w:val="20"/>
                <w:color w:val="auto"/>
              </w:rPr>
            </w:pPr>
            <w:r>
              <w:rPr>
                <w:rFonts w:ascii="Arial" w:cs="Arial" w:eastAsia="Arial" w:hAnsi="Arial"/>
                <w:sz w:val="18"/>
                <w:szCs w:val="18"/>
                <w:b w:val="1"/>
                <w:bCs w:val="1"/>
                <w:color w:val="auto"/>
                <w:w w:val="92"/>
              </w:rPr>
              <w:t>Valencia, California</w:t>
            </w:r>
          </w:p>
        </w:tc>
        <w:tc>
          <w:tcPr>
            <w:tcW w:w="4180" w:type="dxa"/>
            <w:vAlign w:val="bottom"/>
          </w:tcPr>
          <w:p>
            <w:pPr>
              <w:jc w:val="center"/>
              <w:ind w:left="1450"/>
              <w:spacing w:after="0"/>
              <w:rPr>
                <w:sz w:val="20"/>
                <w:szCs w:val="20"/>
                <w:color w:val="auto"/>
              </w:rPr>
            </w:pPr>
            <w:r>
              <w:rPr>
                <w:rFonts w:ascii="Arial" w:cs="Arial" w:eastAsia="Arial" w:hAnsi="Arial"/>
                <w:sz w:val="18"/>
                <w:szCs w:val="18"/>
                <w:color w:val="auto"/>
                <w:w w:val="94"/>
              </w:rPr>
              <w:t>(Zip Code)</w:t>
            </w:r>
          </w:p>
        </w:tc>
      </w:tr>
      <w:tr>
        <w:trPr>
          <w:trHeight w:val="230"/>
        </w:trPr>
        <w:tc>
          <w:tcPr>
            <w:tcW w:w="4680" w:type="dxa"/>
            <w:vAlign w:val="bottom"/>
          </w:tcPr>
          <w:p>
            <w:pPr>
              <w:jc w:val="center"/>
              <w:ind w:right="1490"/>
              <w:spacing w:after="0"/>
              <w:rPr>
                <w:sz w:val="20"/>
                <w:szCs w:val="20"/>
                <w:color w:val="auto"/>
              </w:rPr>
            </w:pPr>
            <w:r>
              <w:rPr>
                <w:rFonts w:ascii="Arial" w:cs="Arial" w:eastAsia="Arial" w:hAnsi="Arial"/>
                <w:sz w:val="18"/>
                <w:szCs w:val="18"/>
                <w:color w:val="auto"/>
                <w:w w:val="92"/>
              </w:rPr>
              <w:t>(Address of principal executive offices)</w:t>
            </w:r>
          </w:p>
        </w:tc>
        <w:tc>
          <w:tcPr>
            <w:tcW w:w="4180" w:type="dxa"/>
            <w:vAlign w:val="bottom"/>
          </w:tcPr>
          <w:p>
            <w:pPr>
              <w:spacing w:after="0"/>
              <w:rPr>
                <w:sz w:val="20"/>
                <w:szCs w:val="20"/>
                <w:color w:val="auto"/>
              </w:rPr>
            </w:pPr>
          </w:p>
        </w:tc>
      </w:tr>
    </w:tbl>
    <w:p>
      <w:pPr>
        <w:spacing w:after="0" w:line="9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(661) 775-5300</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right="2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 w:lineRule="exact"/>
        <w:rPr>
          <w:sz w:val="20"/>
          <w:szCs w:val="20"/>
          <w:color w:val="auto"/>
        </w:rPr>
      </w:pPr>
    </w:p>
    <w:p>
      <w:pPr>
        <w:ind w:right="2260" w:firstLine="2536"/>
        <w:spacing w:after="0" w:line="283" w:lineRule="exact"/>
        <w:rPr>
          <w:sz w:val="20"/>
          <w:szCs w:val="20"/>
          <w:color w:val="auto"/>
        </w:rPr>
      </w:pPr>
      <w:r>
        <w:rPr>
          <w:rFonts w:ascii="Arial" w:cs="Arial" w:eastAsia="Arial" w:hAnsi="Arial"/>
          <w:sz w:val="18"/>
          <w:szCs w:val="18"/>
          <w:color w:val="auto"/>
        </w:rPr>
        <w:t xml:space="preserve">Large accelerated filer o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o Indicate by check mark whether the registrant is a shell company (as defined in Rule 12b-2 of the Act). Yes o No </w:t>
      </w:r>
      <w:r>
        <w:rPr>
          <w:rFonts w:ascii="MS PGothic" w:cs="MS PGothic" w:eastAsia="MS PGothic" w:hAnsi="MS PGothic"/>
          <w:sz w:val="18"/>
          <w:szCs w:val="18"/>
          <w:color w:val="auto"/>
        </w:rPr>
        <w: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As of July 28, 2006, there were 49,701,099 shares of the registrant’s common stock, $.01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22" w:right="5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MANNKIND CORPORATION</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 the Quarterly Period Ended June 30, 2006</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PART I: FINANCIAL INFORMATION</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 Financial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Balance Sheets: June 30, 2006 and December 31, 2005</w:t>
        </w:r>
      </w:hyperlink>
    </w:p>
    <w:p>
      <w:pPr>
        <w:spacing w:after="0" w:line="9" w:lineRule="exact"/>
        <w:rPr>
          <w:sz w:val="20"/>
          <w:szCs w:val="20"/>
          <w:color w:val="auto"/>
        </w:rPr>
      </w:pPr>
    </w:p>
    <w:p>
      <w:pPr>
        <w:ind w:right="40"/>
        <w:spacing w:after="0" w:line="250" w:lineRule="auto"/>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Operations: Three and six months ended June 30, 2006 and 2005 and the period from inception (February 14, 1991) to June 30,</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2006</w:t>
        </w:r>
      </w:hyperlink>
    </w:p>
    <w:p>
      <w:pPr>
        <w:spacing w:after="0" w:line="1" w:lineRule="exact"/>
        <w:rPr>
          <w:sz w:val="20"/>
          <w:szCs w:val="20"/>
          <w:color w:val="auto"/>
        </w:rPr>
      </w:pPr>
    </w:p>
    <w:p>
      <w:pPr>
        <w:spacing w:after="0" w:line="250" w:lineRule="auto"/>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Statements of Cash Flows: Three and six months ended June 30, 2006 and 2005 and the period from inception (February 14, 1991) to June 30,</w:t>
        </w:r>
      </w:hyperlink>
      <w:r>
        <w:rPr>
          <w:rFonts w:ascii="Arial" w:cs="Arial" w:eastAsia="Arial" w:hAnsi="Arial"/>
          <w:sz w:val="18"/>
          <w:szCs w:val="18"/>
          <w:u w:val="single" w:color="auto"/>
          <w:color w:val="0000EE"/>
        </w:rPr>
        <w:t xml:space="preserve"> </w:t>
      </w:r>
      <w:hyperlink w:anchor="page6">
        <w:r>
          <w:rPr>
            <w:rFonts w:ascii="Arial" w:cs="Arial" w:eastAsia="Arial" w:hAnsi="Arial"/>
            <w:sz w:val="18"/>
            <w:szCs w:val="18"/>
            <w:u w:val="single" w:color="auto"/>
            <w:color w:val="0000EE"/>
          </w:rPr>
          <w:t>2006</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Consolidated Financial Statements</w:t>
        </w:r>
      </w:hyperlink>
    </w:p>
    <w:p>
      <w:pPr>
        <w:spacing w:after="0" w:line="9" w:lineRule="exact"/>
        <w:rPr>
          <w:sz w:val="20"/>
          <w:szCs w:val="20"/>
          <w:color w:val="auto"/>
        </w:rPr>
      </w:pPr>
    </w:p>
    <w:p>
      <w:pPr>
        <w:ind w:right="4240"/>
        <w:spacing w:after="0" w:line="250" w:lineRule="auto"/>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Item 2. 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24">
        <w:r>
          <w:rPr>
            <w:rFonts w:ascii="Arial" w:cs="Arial" w:eastAsia="Arial" w:hAnsi="Arial"/>
            <w:sz w:val="18"/>
            <w:szCs w:val="18"/>
            <w:u w:val="single" w:color="auto"/>
            <w:color w:val="0000EE"/>
          </w:rPr>
          <w:t>Item 3. Quantitative and Qualitative Disclosures About Market Risk</w:t>
        </w:r>
      </w:hyperlink>
      <w:r>
        <w:rPr>
          <w:rFonts w:ascii="Arial" w:cs="Arial" w:eastAsia="Arial" w:hAnsi="Arial"/>
          <w:sz w:val="18"/>
          <w:szCs w:val="18"/>
          <w:u w:val="single" w:color="auto"/>
          <w:color w:val="0000EE"/>
        </w:rPr>
        <w:t xml:space="preserve"> </w:t>
      </w:r>
      <w:hyperlink w:anchor="page24">
        <w:r>
          <w:rPr>
            <w:rFonts w:ascii="Arial" w:cs="Arial" w:eastAsia="Arial" w:hAnsi="Arial"/>
            <w:sz w:val="18"/>
            <w:szCs w:val="18"/>
            <w:u w:val="single" w:color="auto"/>
            <w:color w:val="0000EE"/>
          </w:rPr>
          <w:t>Item 4. Controls and Procedures</w:t>
        </w:r>
      </w:hyperlink>
    </w:p>
    <w:p>
      <w:pPr>
        <w:spacing w:after="0" w:line="1"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PART II: OTHER INFORMATION</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Item 1. Legal Proceedings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Item 1A. Risk Factors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2. Unregistered Sales of Equity Securities and Use of Proceeds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3. Defaults Upon Senior Securities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4. Submission of Matters to a Vote of Security Holders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5. Other Information</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6. Exhibits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SIGNATURES</w:t>
        </w:r>
      </w:hyperlink>
    </w:p>
    <w:p>
      <w:pPr>
        <w:spacing w:after="0" w:line="9" w:lineRule="exact"/>
        <w:rPr>
          <w:rFonts w:ascii="Arial" w:cs="Arial" w:eastAsia="Arial" w:hAnsi="Arial"/>
          <w:sz w:val="18"/>
          <w:szCs w:val="18"/>
          <w:u w:val="single" w:color="auto"/>
          <w:color w:val="0000EE"/>
        </w:rPr>
      </w:pPr>
    </w:p>
    <w:p>
      <w:pPr>
        <w:ind w:left="60"/>
        <w:spacing w:after="0"/>
        <w:rPr>
          <w:sz w:val="20"/>
          <w:szCs w:val="20"/>
          <w:color w:val="auto"/>
        </w:rPr>
      </w:pPr>
      <w:r>
        <w:rPr>
          <w:rFonts w:ascii="Arial" w:cs="Arial" w:eastAsia="Arial" w:hAnsi="Arial"/>
          <w:sz w:val="18"/>
          <w:szCs w:val="18"/>
          <w:u w:val="single" w:color="auto"/>
          <w:color w:val="0000EE"/>
        </w:rPr>
        <w:t>EX-10.2</w:t>
      </w:r>
    </w:p>
    <w:p>
      <w:pPr>
        <w:spacing w:after="0" w:line="7" w:lineRule="exact"/>
        <w:rPr>
          <w:rFonts w:ascii="Arial" w:cs="Arial" w:eastAsia="Arial" w:hAnsi="Arial"/>
          <w:sz w:val="18"/>
          <w:szCs w:val="18"/>
          <w:u w:val="single" w:color="auto"/>
          <w:color w:val="0000EE"/>
        </w:rPr>
      </w:pPr>
    </w:p>
    <w:p>
      <w:pPr>
        <w:ind w:left="60"/>
        <w:spacing w:after="0"/>
        <w:rPr>
          <w:sz w:val="20"/>
          <w:szCs w:val="20"/>
          <w:color w:val="auto"/>
        </w:rPr>
      </w:pPr>
      <w:r>
        <w:rPr>
          <w:rFonts w:ascii="Arial" w:cs="Arial" w:eastAsia="Arial" w:hAnsi="Arial"/>
          <w:sz w:val="18"/>
          <w:szCs w:val="18"/>
          <w:u w:val="single" w:color="auto"/>
          <w:color w:val="0000EE"/>
        </w:rPr>
        <w:t>EXHIBIT 31.1</w:t>
      </w:r>
    </w:p>
    <w:p>
      <w:pPr>
        <w:spacing w:after="0" w:line="9" w:lineRule="exact"/>
        <w:rPr>
          <w:rFonts w:ascii="Arial" w:cs="Arial" w:eastAsia="Arial" w:hAnsi="Arial"/>
          <w:sz w:val="18"/>
          <w:szCs w:val="18"/>
          <w:u w:val="single" w:color="auto"/>
          <w:color w:val="0000EE"/>
        </w:rPr>
      </w:pPr>
    </w:p>
    <w:p>
      <w:pPr>
        <w:ind w:left="60"/>
        <w:spacing w:after="0"/>
        <w:rPr>
          <w:sz w:val="20"/>
          <w:szCs w:val="20"/>
          <w:color w:val="auto"/>
        </w:rPr>
      </w:pPr>
      <w:r>
        <w:rPr>
          <w:rFonts w:ascii="Arial" w:cs="Arial" w:eastAsia="Arial" w:hAnsi="Arial"/>
          <w:sz w:val="18"/>
          <w:szCs w:val="18"/>
          <w:u w:val="single" w:color="auto"/>
          <w:color w:val="0000EE"/>
        </w:rPr>
        <w:t>EXHIBIT 31.2</w:t>
      </w:r>
    </w:p>
    <w:p>
      <w:pPr>
        <w:spacing w:after="0" w:line="9" w:lineRule="exact"/>
        <w:rPr>
          <w:rFonts w:ascii="Arial" w:cs="Arial" w:eastAsia="Arial" w:hAnsi="Arial"/>
          <w:sz w:val="18"/>
          <w:szCs w:val="18"/>
          <w:u w:val="single" w:color="auto"/>
          <w:color w:val="0000EE"/>
        </w:rPr>
      </w:pPr>
    </w:p>
    <w:p>
      <w:pPr>
        <w:ind w:left="60"/>
        <w:spacing w:after="0"/>
        <w:rPr>
          <w:sz w:val="20"/>
          <w:szCs w:val="20"/>
          <w:color w:val="auto"/>
        </w:rPr>
      </w:pPr>
      <w:r>
        <w:rPr>
          <w:rFonts w:ascii="Arial" w:cs="Arial" w:eastAsia="Arial" w:hAnsi="Arial"/>
          <w:sz w:val="18"/>
          <w:szCs w:val="18"/>
          <w:u w:val="single" w:color="auto"/>
          <w:color w:val="0000EE"/>
        </w:rPr>
        <w:t>EXHIBIT 32</w:t>
      </w:r>
    </w:p>
    <w:p>
      <w:pPr>
        <w:spacing w:after="0" w:line="186" w:lineRule="exact"/>
        <w:rPr>
          <w:rFonts w:ascii="Arial" w:cs="Arial" w:eastAsia="Arial" w:hAnsi="Arial"/>
          <w:sz w:val="18"/>
          <w:szCs w:val="18"/>
          <w:u w:val="single" w:color="auto"/>
          <w:color w:val="0000EE"/>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ITEM 1.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MANNKIND CORPORATION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June 30, 2006</w:t>
            </w:r>
          </w:p>
        </w:tc>
        <w:tc>
          <w:tcPr>
            <w:tcW w:w="15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2005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8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(unaudited)</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27,056</w:t>
            </w:r>
          </w:p>
        </w:tc>
        <w:tc>
          <w:tcPr>
            <w:tcW w:w="6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23,800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89,597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research and development credit exchange receivable current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58,851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Property and equipment — net</w:t>
            </w:r>
          </w:p>
        </w:tc>
        <w:tc>
          <w:tcPr>
            <w:tcW w:w="1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83,190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76,183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State research and development credit exchange receivable — net of current portion</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288</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144,579</w:t>
            </w:r>
          </w:p>
        </w:tc>
        <w:tc>
          <w:tcPr>
            <w:tcW w:w="3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228,371</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2,586</w:t>
            </w:r>
          </w:p>
        </w:tc>
        <w:tc>
          <w:tcPr>
            <w:tcW w:w="360" w:type="dxa"/>
            <w:vAlign w:val="bottom"/>
          </w:tcPr>
          <w:p>
            <w:pPr>
              <w:spacing w:after="0"/>
              <w:rPr>
                <w:sz w:val="18"/>
                <w:szCs w:val="18"/>
                <w:color w:val="auto"/>
              </w:rPr>
            </w:pPr>
          </w:p>
        </w:tc>
        <w:tc>
          <w:tcPr>
            <w:tcW w:w="6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24,548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27,134</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27,158</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Undesignated preferred stock, $0.01 par value — 10,000,000 shares authorized; no shares issued or outstanding</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 June 30, 2006 and December 31, 2005</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tcPr>
          <w:p>
            <w:pPr>
              <w:spacing w:after="0" w:line="201" w:lineRule="exact"/>
              <w:rPr>
                <w:sz w:val="20"/>
                <w:szCs w:val="20"/>
                <w:color w:val="auto"/>
              </w:rPr>
            </w:pPr>
            <w:r>
              <w:rPr>
                <w:rFonts w:ascii="Arial" w:cs="Arial" w:eastAsia="Arial" w:hAnsi="Arial"/>
                <w:sz w:val="18"/>
                <w:szCs w:val="18"/>
                <w:color w:val="auto"/>
                <w:w w:val="95"/>
              </w:rPr>
              <w:t>Common stock, $0.01 par value — 90,000,000 shares authorized; 49,698,064 and 50,314,108 shares issued and</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outstanding at June 30, 2006 and December 31, 2005, respectively</w:t>
            </w:r>
          </w:p>
        </w:tc>
        <w:tc>
          <w:tcPr>
            <w:tcW w:w="14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496</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772,536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Deficit accumulated during the development stage</w:t>
            </w: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(655,611)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(557,301)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stockholders’ equity</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117,421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206,977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ind w:left="40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144,579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228,371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MANNKIND CORPORATION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Cumulative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from 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gridSpan w:val="7"/>
            <w:vMerge w:val="restart"/>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gridSpan w:val="6"/>
            <w:vMerge w:val="restart"/>
          </w:tcPr>
          <w:p>
            <w:pPr>
              <w:jc w:val="right"/>
              <w:ind w:right="106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gridSpan w:val="7"/>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gridSpan w:val="6"/>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inception) to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85"/>
              <w:spacing w:after="0"/>
              <w:rPr>
                <w:sz w:val="20"/>
                <w:szCs w:val="20"/>
                <w:color w:val="auto"/>
              </w:rPr>
            </w:pPr>
            <w:r>
              <w:rPr>
                <w:rFonts w:ascii="Arial" w:cs="Arial" w:eastAsia="Arial" w:hAnsi="Arial"/>
                <w:sz w:val="14"/>
                <w:szCs w:val="14"/>
                <w:b w:val="1"/>
                <w:bCs w:val="1"/>
                <w:color w:val="auto"/>
                <w:w w:val="89"/>
              </w:rPr>
              <w:t>June 30,</w:t>
            </w:r>
          </w:p>
        </w:tc>
        <w:tc>
          <w:tcPr>
            <w:tcW w:w="5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June 30,</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2006</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2005</w:t>
            </w: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54"/>
              <w:spacing w:after="0" w:line="142" w:lineRule="exact"/>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04"/>
              <w:spacing w:after="0"/>
              <w:rPr>
                <w:sz w:val="20"/>
                <w:szCs w:val="20"/>
                <w:color w:val="auto"/>
              </w:rPr>
            </w:pPr>
            <w:r>
              <w:rPr>
                <w:rFonts w:ascii="Arial" w:cs="Arial" w:eastAsia="Arial" w:hAnsi="Arial"/>
                <w:sz w:val="18"/>
                <w:szCs w:val="18"/>
                <w:color w:val="auto"/>
              </w:rPr>
              <w:t>100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2,958</w:t>
            </w:r>
          </w:p>
        </w:tc>
        <w:tc>
          <w:tcPr>
            <w:tcW w:w="0" w:type="dxa"/>
            <w:vAlign w:val="bottom"/>
          </w:tcPr>
          <w:p>
            <w:pPr>
              <w:spacing w:after="0"/>
              <w:rPr>
                <w:sz w:val="1"/>
                <w:szCs w:val="1"/>
                <w:color w:val="auto"/>
              </w:rPr>
            </w:pPr>
          </w:p>
        </w:tc>
      </w:tr>
      <w:tr>
        <w:trPr>
          <w:trHeight w:val="223"/>
        </w:trPr>
        <w:tc>
          <w:tcPr>
            <w:tcW w:w="45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45,321</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23,596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4"/>
              <w:spacing w:after="0"/>
              <w:rPr>
                <w:sz w:val="20"/>
                <w:szCs w:val="20"/>
                <w:color w:val="auto"/>
              </w:rPr>
            </w:pPr>
            <w:r>
              <w:rPr>
                <w:rFonts w:ascii="Arial" w:cs="Arial" w:eastAsia="Arial" w:hAnsi="Arial"/>
                <w:sz w:val="18"/>
                <w:szCs w:val="18"/>
                <w:color w:val="auto"/>
              </w:rPr>
              <w:t>81,271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42,292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10,456</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3,971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04"/>
              <w:spacing w:after="0"/>
              <w:rPr>
                <w:sz w:val="20"/>
                <w:szCs w:val="20"/>
                <w:color w:val="auto"/>
              </w:rPr>
            </w:pPr>
            <w:r>
              <w:rPr>
                <w:rFonts w:ascii="Arial" w:cs="Arial" w:eastAsia="Arial" w:hAnsi="Arial"/>
                <w:sz w:val="18"/>
                <w:szCs w:val="18"/>
                <w:color w:val="auto"/>
              </w:rPr>
              <w:t>19,594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7,922</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117,569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In-process research and development costs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4"/>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Goodwill impairment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50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151,428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55,777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4"/>
              <w:spacing w:after="0"/>
              <w:rPr>
                <w:sz w:val="20"/>
                <w:szCs w:val="20"/>
                <w:color w:val="auto"/>
              </w:rPr>
            </w:pPr>
            <w:r>
              <w:rPr>
                <w:rFonts w:ascii="Arial" w:cs="Arial" w:eastAsia="Arial" w:hAnsi="Arial"/>
                <w:sz w:val="18"/>
                <w:szCs w:val="18"/>
                <w:color w:val="auto"/>
                <w:w w:val="95"/>
              </w:rPr>
              <w:t>100,865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50,214</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668,394</w:t>
            </w:r>
          </w:p>
        </w:tc>
        <w:tc>
          <w:tcPr>
            <w:tcW w:w="0" w:type="dxa"/>
            <w:vAlign w:val="bottom"/>
          </w:tcPr>
          <w:p>
            <w:pPr>
              <w:spacing w:after="0"/>
              <w:rPr>
                <w:sz w:val="1"/>
                <w:szCs w:val="1"/>
                <w:color w:val="auto"/>
              </w:rPr>
            </w:pPr>
          </w:p>
        </w:tc>
      </w:tr>
      <w:tr>
        <w:trPr>
          <w:trHeight w:val="223"/>
        </w:trPr>
        <w:tc>
          <w:tcPr>
            <w:tcW w:w="45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(55,777)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(27,567)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(100,765)</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(50,214)</w:t>
            </w: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(665,436)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4"/>
              <w:spacing w:after="0"/>
              <w:rPr>
                <w:sz w:val="20"/>
                <w:szCs w:val="20"/>
                <w:color w:val="auto"/>
              </w:rPr>
            </w:pPr>
            <w:r>
              <w:rPr>
                <w:rFonts w:ascii="Arial" w:cs="Arial" w:eastAsia="Arial" w:hAnsi="Arial"/>
                <w:sz w:val="18"/>
                <w:szCs w:val="18"/>
                <w:color w:val="auto"/>
              </w:rPr>
              <w:t>109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971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04"/>
              <w:spacing w:after="0"/>
              <w:rPr>
                <w:sz w:val="20"/>
                <w:szCs w:val="20"/>
                <w:color w:val="auto"/>
              </w:rPr>
            </w:pPr>
            <w:r>
              <w:rPr>
                <w:rFonts w:ascii="Arial" w:cs="Arial" w:eastAsia="Arial" w:hAnsi="Arial"/>
                <w:sz w:val="18"/>
                <w:szCs w:val="18"/>
                <w:color w:val="auto"/>
              </w:rPr>
              <w:t>2,351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877</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11,629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(54,747)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(27,155)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4"/>
              <w:spacing w:after="0"/>
              <w:rPr>
                <w:sz w:val="20"/>
                <w:szCs w:val="20"/>
                <w:color w:val="auto"/>
              </w:rPr>
            </w:pPr>
            <w:r>
              <w:rPr>
                <w:rFonts w:ascii="Arial" w:cs="Arial" w:eastAsia="Arial" w:hAnsi="Arial"/>
                <w:sz w:val="18"/>
                <w:szCs w:val="18"/>
                <w:color w:val="auto"/>
              </w:rPr>
              <w:t>(98,305)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2"/>
              </w:rPr>
              <w:t>(49,316)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(655,590)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Income taxes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44"/>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(54,751)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(27,155)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4"/>
              <w:spacing w:after="0"/>
              <w:rPr>
                <w:sz w:val="20"/>
                <w:szCs w:val="20"/>
                <w:color w:val="auto"/>
              </w:rPr>
            </w:pPr>
            <w:r>
              <w:rPr>
                <w:rFonts w:ascii="Arial" w:cs="Arial" w:eastAsia="Arial" w:hAnsi="Arial"/>
                <w:sz w:val="18"/>
                <w:szCs w:val="18"/>
                <w:color w:val="auto"/>
              </w:rPr>
              <w:t>(98,310)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2"/>
              </w:rPr>
              <w:t>(49,317)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(655,611)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tcPr>
          <w:p>
            <w:pPr>
              <w:spacing w:after="0" w:line="201" w:lineRule="exact"/>
              <w:rPr>
                <w:sz w:val="20"/>
                <w:szCs w:val="20"/>
                <w:color w:val="auto"/>
              </w:rPr>
            </w:pPr>
            <w:r>
              <w:rPr>
                <w:rFonts w:ascii="Arial" w:cs="Arial" w:eastAsia="Arial" w:hAnsi="Arial"/>
                <w:sz w:val="18"/>
                <w:szCs w:val="18"/>
                <w:color w:val="auto"/>
                <w:w w:val="99"/>
              </w:rPr>
              <w:t>Deemed dividend related to beneficial conversion feature</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of convertible preferred stock</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50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Accretion on redeemable preferred stock</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4"/>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23"/>
        </w:trPr>
        <w:tc>
          <w:tcPr>
            <w:tcW w:w="454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(54,751</w:t>
            </w:r>
          </w:p>
        </w:tc>
        <w:tc>
          <w:tcPr>
            <w:tcW w:w="6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(27,155</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(98,310</w:t>
            </w:r>
          </w:p>
        </w:tc>
        <w:tc>
          <w:tcPr>
            <w:tcW w:w="580" w:type="dxa"/>
            <w:vAlign w:val="bottom"/>
          </w:tcPr>
          <w:p>
            <w:pPr>
              <w:jc w:val="right"/>
              <w:ind w:right="444"/>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(49,317</w:t>
            </w:r>
          </w:p>
        </w:tc>
        <w:tc>
          <w:tcPr>
            <w:tcW w:w="640" w:type="dxa"/>
            <w:vAlign w:val="bottom"/>
          </w:tcPr>
          <w:p>
            <w:pPr>
              <w:jc w:val="right"/>
              <w:ind w:right="50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(678,823)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8"/>
              </w:rPr>
              <w:t>Net loss per share applicable to common stockholders —</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and diluted</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4"/>
              <w:spacing w:after="0"/>
              <w:rPr>
                <w:sz w:val="20"/>
                <w:szCs w:val="20"/>
                <w:color w:val="auto"/>
              </w:rPr>
            </w:pPr>
            <w:r>
              <w:rPr>
                <w:rFonts w:ascii="Arial" w:cs="Arial" w:eastAsia="Arial" w:hAnsi="Arial"/>
                <w:sz w:val="18"/>
                <w:szCs w:val="18"/>
                <w:color w:val="auto"/>
              </w:rPr>
              <w:t>(1.98)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w w:val="93"/>
              </w:rPr>
              <w:t>Shares used to compute basic and diluted net loss per share</w:t>
            </w: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applicable to common stockholders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49,638</w:t>
            </w: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32,777</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504"/>
              <w:spacing w:after="0"/>
              <w:rPr>
                <w:sz w:val="20"/>
                <w:szCs w:val="20"/>
                <w:color w:val="auto"/>
              </w:rPr>
            </w:pPr>
            <w:r>
              <w:rPr>
                <w:rFonts w:ascii="Arial" w:cs="Arial" w:eastAsia="Arial" w:hAnsi="Arial"/>
                <w:sz w:val="18"/>
                <w:szCs w:val="18"/>
                <w:color w:val="auto"/>
              </w:rPr>
              <w:t>49,712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32,771</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MANNKIND CORPORATION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2400" w:type="dxa"/>
            <w:vAlign w:val="bottom"/>
            <w:gridSpan w:val="5"/>
            <w:vMerge w:val="restart"/>
          </w:tcPr>
          <w:p>
            <w:pPr>
              <w:jc w:val="right"/>
              <w:ind w:right="840"/>
              <w:spacing w:after="0"/>
              <w:rPr>
                <w:sz w:val="20"/>
                <w:szCs w:val="20"/>
                <w:color w:val="auto"/>
              </w:rPr>
            </w:pPr>
            <w:r>
              <w:rPr>
                <w:rFonts w:ascii="Arial" w:cs="Arial" w:eastAsia="Arial" w:hAnsi="Arial"/>
                <w:sz w:val="14"/>
                <w:szCs w:val="14"/>
                <w:b w:val="1"/>
                <w:bCs w:val="1"/>
                <w:color w:val="auto"/>
              </w:rPr>
              <w:t>Six months ended</w:t>
            </w:r>
          </w:p>
        </w:tc>
        <w:tc>
          <w:tcPr>
            <w:tcW w:w="30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2400" w:type="dxa"/>
            <w:vAlign w:val="bottom"/>
            <w:gridSpan w:val="5"/>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3"/>
          </w:tcPr>
          <w:p>
            <w:pPr>
              <w:jc w:val="right"/>
              <w:ind w:right="1140"/>
              <w:spacing w:after="0"/>
              <w:rPr>
                <w:sz w:val="20"/>
                <w:szCs w:val="20"/>
                <w:color w:val="auto"/>
              </w:rPr>
            </w:pPr>
            <w:r>
              <w:rPr>
                <w:rFonts w:ascii="Arial" w:cs="Arial" w:eastAsia="Arial" w:hAnsi="Arial"/>
                <w:sz w:val="14"/>
                <w:szCs w:val="14"/>
                <w:b w:val="1"/>
                <w:bCs w:val="1"/>
                <w:color w:val="auto"/>
                <w:w w:val="89"/>
              </w:rPr>
              <w:t>June 30,</w:t>
            </w:r>
          </w:p>
        </w:tc>
        <w:tc>
          <w:tcPr>
            <w:tcW w:w="30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68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Net loss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7"/>
              </w:rPr>
              <w:t>$ (98,310)</w:t>
            </w: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 (49,317)</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 (655,611)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4,115</w:t>
            </w:r>
          </w:p>
        </w:tc>
        <w:tc>
          <w:tcPr>
            <w:tcW w:w="1660" w:type="dxa"/>
            <w:vAlign w:val="bottom"/>
            <w:gridSpan w:val="3"/>
          </w:tcPr>
          <w:p>
            <w:pPr>
              <w:jc w:val="right"/>
              <w:ind w:right="380"/>
              <w:spacing w:after="0"/>
              <w:rPr>
                <w:sz w:val="20"/>
                <w:szCs w:val="20"/>
                <w:color w:val="auto"/>
              </w:rPr>
            </w:pPr>
            <w:r>
              <w:rPr>
                <w:rFonts w:ascii="Arial" w:cs="Arial" w:eastAsia="Arial" w:hAnsi="Arial"/>
                <w:sz w:val="18"/>
                <w:szCs w:val="18"/>
                <w:color w:val="auto"/>
              </w:rPr>
              <w:t>3,639</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34,752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 expense (benefit)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7,497</w:t>
            </w:r>
          </w:p>
        </w:tc>
        <w:tc>
          <w:tcPr>
            <w:tcW w:w="6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(2,901)</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Accrued interest on investments, net of amortization of premiums</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197</w:t>
            </w:r>
          </w:p>
        </w:tc>
        <w:tc>
          <w:tcPr>
            <w:tcW w:w="1660" w:type="dxa"/>
            <w:vAlign w:val="bottom"/>
            <w:gridSpan w:val="3"/>
          </w:tcPr>
          <w:p>
            <w:pPr>
              <w:jc w:val="right"/>
              <w:ind w:right="380"/>
              <w:spacing w:after="0"/>
              <w:rPr>
                <w:sz w:val="20"/>
                <w:szCs w:val="20"/>
                <w:color w:val="auto"/>
              </w:rPr>
            </w:pPr>
            <w:r>
              <w:rPr>
                <w:rFonts w:ascii="Arial" w:cs="Arial" w:eastAsia="Arial" w:hAnsi="Arial"/>
                <w:sz w:val="18"/>
                <w:szCs w:val="18"/>
                <w:color w:val="auto"/>
              </w:rPr>
              <w:t>25</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(Gain)/loss on sale and abandonment/disposal of property and equipment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(24)</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In-process research and development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Discount on stockholder notes below market rate</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Non-cash compensation expense of officer resulting from stockholder contribution</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 expense on notes payable to stockholders</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Non-cash interest expense</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 on notes</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Goodwill impairment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151,428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available-for-sale securities</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Changes in assets and liabilities:</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State research and development credit exchange receivable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1,180</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(3,908)</w:t>
            </w:r>
          </w:p>
        </w:tc>
        <w:tc>
          <w:tcPr>
            <w:tcW w:w="1660" w:type="dxa"/>
            <w:vAlign w:val="bottom"/>
            <w:gridSpan w:val="3"/>
          </w:tcPr>
          <w:p>
            <w:pPr>
              <w:jc w:val="right"/>
              <w:ind w:right="380"/>
              <w:spacing w:after="0"/>
              <w:rPr>
                <w:sz w:val="20"/>
                <w:szCs w:val="20"/>
                <w:color w:val="auto"/>
              </w:rPr>
            </w:pPr>
            <w:r>
              <w:rPr>
                <w:rFonts w:ascii="Arial" w:cs="Arial" w:eastAsia="Arial" w:hAnsi="Arial"/>
                <w:sz w:val="18"/>
                <w:szCs w:val="18"/>
                <w:color w:val="auto"/>
              </w:rPr>
              <w:t>808</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(6,952)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assets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(142)</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(962)</w:t>
            </w:r>
          </w:p>
        </w:tc>
        <w:tc>
          <w:tcPr>
            <w:tcW w:w="1660" w:type="dxa"/>
            <w:vAlign w:val="bottom"/>
            <w:gridSpan w:val="3"/>
          </w:tcPr>
          <w:p>
            <w:pPr>
              <w:jc w:val="right"/>
              <w:ind w:right="380"/>
              <w:spacing w:after="0"/>
              <w:rPr>
                <w:sz w:val="20"/>
                <w:szCs w:val="20"/>
                <w:color w:val="auto"/>
              </w:rPr>
            </w:pPr>
            <w:r>
              <w:rPr>
                <w:rFonts w:ascii="Arial" w:cs="Arial" w:eastAsia="Arial" w:hAnsi="Arial"/>
                <w:sz w:val="18"/>
                <w:szCs w:val="18"/>
                <w:color w:val="auto"/>
              </w:rPr>
              <w:t>1,144</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expenses and other current liabilities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6,730</w:t>
            </w:r>
          </w:p>
        </w:tc>
        <w:tc>
          <w:tcPr>
            <w:tcW w:w="6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3,373</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00"/>
              <w:spacing w:after="0"/>
              <w:rPr>
                <w:sz w:val="20"/>
                <w:szCs w:val="20"/>
                <w:color w:val="auto"/>
              </w:rPr>
            </w:pPr>
            <w:r>
              <w:rPr>
                <w:rFonts w:ascii="Arial" w:cs="Arial" w:eastAsia="Arial" w:hAnsi="Arial"/>
                <w:sz w:val="18"/>
                <w:szCs w:val="18"/>
                <w:color w:val="auto"/>
              </w:rPr>
              <w:t>Other liabilities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(33)</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Payment of deferred compensation</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(1,373)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80" w:type="dxa"/>
            <w:vAlign w:val="bottom"/>
          </w:tcPr>
          <w:p>
            <w:pPr>
              <w:ind w:left="600"/>
              <w:spacing w:after="0"/>
              <w:rPr>
                <w:sz w:val="20"/>
                <w:szCs w:val="20"/>
                <w:color w:val="auto"/>
              </w:rPr>
            </w:pPr>
            <w:r>
              <w:rPr>
                <w:rFonts w:ascii="Arial" w:cs="Arial" w:eastAsia="Arial" w:hAnsi="Arial"/>
                <w:sz w:val="18"/>
                <w:szCs w:val="18"/>
                <w:color w:val="auto"/>
              </w:rPr>
              <w:t>Net cash used in operating activities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(84,731)</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(43,621)</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(398,330)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(23,950)</w:t>
            </w: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(69,550)</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(426,668)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Sales of marketable securities</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89,550</w:t>
            </w:r>
          </w:p>
        </w:tc>
        <w:tc>
          <w:tcPr>
            <w:tcW w:w="16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58,195</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402,590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(11,141)</w:t>
            </w: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(5,547)</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(121,510)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90</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Restricted cash</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565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provided by (used in) investing activities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54,491</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(16,247)</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(145,374)</w:t>
            </w:r>
          </w:p>
        </w:tc>
        <w:tc>
          <w:tcPr>
            <w:tcW w:w="0" w:type="dxa"/>
            <w:vAlign w:val="bottom"/>
          </w:tcPr>
          <w:p>
            <w:pPr>
              <w:spacing w:after="0"/>
              <w:rPr>
                <w:sz w:val="1"/>
                <w:szCs w:val="1"/>
                <w:color w:val="auto"/>
              </w:rPr>
            </w:pPr>
          </w:p>
        </w:tc>
      </w:tr>
      <w:tr>
        <w:trPr>
          <w:trHeight w:val="223"/>
        </w:trPr>
        <w:tc>
          <w:tcPr>
            <w:tcW w:w="78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and warrants for cash</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6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433</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494,510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Collection of Series C convertible preferred stock subscriptions receivable</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Issuance of Series B convertible preferred stock for cash</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Cash received for common stock to be issued</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391"/>
        </w:trPr>
        <w:tc>
          <w:tcPr>
            <w:tcW w:w="7800" w:type="dxa"/>
            <w:vAlign w:val="bottom"/>
            <w:gridSpan w:val="2"/>
          </w:tcPr>
          <w:p>
            <w:pPr>
              <w:jc w:val="right"/>
              <w:ind w:right="1950"/>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7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7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period from</w:t>
            </w:r>
          </w:p>
        </w:tc>
        <w:tc>
          <w:tcPr>
            <w:tcW w:w="0" w:type="dxa"/>
            <w:vAlign w:val="bottom"/>
          </w:tcPr>
          <w:p>
            <w:pPr>
              <w:spacing w:after="0"/>
              <w:rPr>
                <w:sz w:val="1"/>
                <w:szCs w:val="1"/>
                <w:color w:val="auto"/>
              </w:rPr>
            </w:pPr>
          </w:p>
        </w:tc>
      </w:tr>
      <w:tr>
        <w:trPr>
          <w:trHeight w:val="149"/>
        </w:trPr>
        <w:tc>
          <w:tcPr>
            <w:tcW w:w="7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February 14,</w:t>
            </w:r>
          </w:p>
        </w:tc>
        <w:tc>
          <w:tcPr>
            <w:tcW w:w="0" w:type="dxa"/>
            <w:vAlign w:val="bottom"/>
          </w:tcPr>
          <w:p>
            <w:pPr>
              <w:spacing w:after="0"/>
              <w:rPr>
                <w:sz w:val="1"/>
                <w:szCs w:val="1"/>
                <w:color w:val="auto"/>
              </w:rPr>
            </w:pPr>
          </w:p>
        </w:tc>
      </w:tr>
      <w:tr>
        <w:trPr>
          <w:trHeight w:val="149"/>
        </w:trPr>
        <w:tc>
          <w:tcPr>
            <w:tcW w:w="7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6"/>
            <w:vMerge w:val="restart"/>
          </w:tcPr>
          <w:p>
            <w:pPr>
              <w:jc w:val="right"/>
              <w:ind w:right="840"/>
              <w:spacing w:after="0"/>
              <w:rPr>
                <w:sz w:val="20"/>
                <w:szCs w:val="20"/>
                <w:color w:val="auto"/>
              </w:rPr>
            </w:pPr>
            <w:r>
              <w:rPr>
                <w:rFonts w:ascii="Arial" w:cs="Arial" w:eastAsia="Arial" w:hAnsi="Arial"/>
                <w:sz w:val="14"/>
                <w:szCs w:val="14"/>
                <w:b w:val="1"/>
                <w:bCs w:val="1"/>
                <w:color w:val="auto"/>
              </w:rPr>
              <w:t>Six months ended</w:t>
            </w:r>
          </w:p>
        </w:tc>
        <w:tc>
          <w:tcPr>
            <w:tcW w:w="30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1991 (date of</w:t>
            </w:r>
          </w:p>
        </w:tc>
        <w:tc>
          <w:tcPr>
            <w:tcW w:w="0" w:type="dxa"/>
            <w:vAlign w:val="bottom"/>
          </w:tcPr>
          <w:p>
            <w:pPr>
              <w:spacing w:after="0"/>
              <w:rPr>
                <w:sz w:val="1"/>
                <w:szCs w:val="1"/>
                <w:color w:val="auto"/>
              </w:rPr>
            </w:pPr>
          </w:p>
        </w:tc>
      </w:tr>
      <w:tr>
        <w:trPr>
          <w:trHeight w:val="149"/>
        </w:trPr>
        <w:tc>
          <w:tcPr>
            <w:tcW w:w="7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6"/>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71"/>
        </w:trPr>
        <w:tc>
          <w:tcPr>
            <w:tcW w:w="7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25"/>
              <w:spacing w:after="0"/>
              <w:rPr>
                <w:sz w:val="20"/>
                <w:szCs w:val="20"/>
                <w:color w:val="auto"/>
              </w:rPr>
            </w:pPr>
            <w:r>
              <w:rPr>
                <w:rFonts w:ascii="Arial" w:cs="Arial" w:eastAsia="Arial" w:hAnsi="Arial"/>
                <w:sz w:val="14"/>
                <w:szCs w:val="14"/>
                <w:b w:val="1"/>
                <w:bCs w:val="1"/>
                <w:color w:val="auto"/>
                <w:w w:val="89"/>
              </w:rPr>
              <w:t>June 30,</w:t>
            </w:r>
          </w:p>
        </w:tc>
        <w:tc>
          <w:tcPr>
            <w:tcW w:w="5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78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31"/>
              <w:spacing w:after="0" w:line="142" w:lineRule="exact"/>
              <w:rPr>
                <w:sz w:val="20"/>
                <w:szCs w:val="20"/>
                <w:color w:val="auto"/>
              </w:rPr>
            </w:pPr>
            <w:r>
              <w:rPr>
                <w:rFonts w:ascii="Arial" w:cs="Arial" w:eastAsia="Arial" w:hAnsi="Arial"/>
                <w:sz w:val="14"/>
                <w:szCs w:val="14"/>
                <w:b w:val="1"/>
                <w:bCs w:val="1"/>
                <w:color w:val="auto"/>
                <w:w w:val="96"/>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Put shares sold to majority stockholder</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lines of credit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Proceeds from notes receivables</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notes payable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Borrowings on notes payable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570,760</w:t>
            </w:r>
          </w:p>
        </w:tc>
        <w:tc>
          <w:tcPr>
            <w:tcW w:w="0" w:type="dxa"/>
            <w:vAlign w:val="bottom"/>
          </w:tcPr>
          <w:p>
            <w:pPr>
              <w:spacing w:after="0"/>
              <w:rPr>
                <w:sz w:val="1"/>
                <w:szCs w:val="1"/>
                <w:color w:val="auto"/>
              </w:rPr>
            </w:pPr>
          </w:p>
        </w:tc>
      </w:tr>
      <w:tr>
        <w:trPr>
          <w:trHeight w:val="223"/>
        </w:trPr>
        <w:tc>
          <w:tcPr>
            <w:tcW w:w="78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(28,981)</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(59,435)</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56,037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78,987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27,056</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19,552</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FLOWS DISCLOSURES: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220"/>
              <w:spacing w:after="0"/>
              <w:rPr>
                <w:sz w:val="20"/>
                <w:szCs w:val="20"/>
                <w:color w:val="auto"/>
              </w:rPr>
            </w:pPr>
            <w:r>
              <w:rPr>
                <w:rFonts w:ascii="Arial" w:cs="Arial" w:eastAsia="Arial" w:hAnsi="Arial"/>
                <w:sz w:val="18"/>
                <w:szCs w:val="18"/>
                <w:color w:val="auto"/>
              </w:rPr>
              <w:t>Cash paid for income taxes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paid in cash</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7800" w:type="dxa"/>
            <w:vAlign w:val="bottom"/>
          </w:tcPr>
          <w:p>
            <w:pPr>
              <w:ind w:left="220"/>
              <w:spacing w:after="0"/>
              <w:rPr>
                <w:sz w:val="20"/>
                <w:szCs w:val="20"/>
                <w:color w:val="auto"/>
              </w:rPr>
            </w:pPr>
            <w:r>
              <w:rPr>
                <w:rFonts w:ascii="Arial" w:cs="Arial" w:eastAsia="Arial" w:hAnsi="Arial"/>
                <w:sz w:val="18"/>
                <w:szCs w:val="18"/>
                <w:color w:val="auto"/>
              </w:rPr>
              <w:t>Accretion on redeemable convertible preferred stock</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common stock upon conversion of notes payable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3,331</w:t>
            </w:r>
          </w:p>
        </w:tc>
        <w:tc>
          <w:tcPr>
            <w:tcW w:w="0" w:type="dxa"/>
            <w:vAlign w:val="bottom"/>
          </w:tcPr>
          <w:p>
            <w:pPr>
              <w:spacing w:after="0"/>
              <w:rPr>
                <w:sz w:val="1"/>
                <w:szCs w:val="1"/>
                <w:color w:val="auto"/>
              </w:rPr>
            </w:pPr>
          </w:p>
        </w:tc>
      </w:tr>
      <w:tr>
        <w:trPr>
          <w:trHeight w:val="216"/>
        </w:trPr>
        <w:tc>
          <w:tcPr>
            <w:tcW w:w="7800" w:type="dxa"/>
            <w:vAlign w:val="bottom"/>
          </w:tcPr>
          <w:p>
            <w:pPr>
              <w:ind w:left="220"/>
              <w:spacing w:after="0"/>
              <w:rPr>
                <w:sz w:val="20"/>
                <w:szCs w:val="20"/>
                <w:color w:val="auto"/>
              </w:rPr>
            </w:pPr>
            <w:r>
              <w:rPr>
                <w:rFonts w:ascii="Arial" w:cs="Arial" w:eastAsia="Arial" w:hAnsi="Arial"/>
                <w:sz w:val="18"/>
                <w:szCs w:val="18"/>
                <w:color w:val="auto"/>
              </w:rPr>
              <w:t>Increase in additional paid-in capital resulting from merger</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171,154</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common stock for notes receivable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16"/>
        </w:trPr>
        <w:tc>
          <w:tcPr>
            <w:tcW w:w="7800" w:type="dxa"/>
            <w:vAlign w:val="bottom"/>
          </w:tcPr>
          <w:p>
            <w:pPr>
              <w:ind w:left="220"/>
              <w:spacing w:after="0"/>
              <w:rPr>
                <w:sz w:val="20"/>
                <w:szCs w:val="20"/>
                <w:color w:val="auto"/>
              </w:rPr>
            </w:pPr>
            <w:r>
              <w:rPr>
                <w:rFonts w:ascii="Arial" w:cs="Arial" w:eastAsia="Arial" w:hAnsi="Arial"/>
                <w:sz w:val="18"/>
                <w:szCs w:val="18"/>
                <w:color w:val="auto"/>
              </w:rPr>
              <w:t>Issuance of put option by stockholder</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Put option redemption by stockholder</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16"/>
        </w:trPr>
        <w:tc>
          <w:tcPr>
            <w:tcW w:w="7800" w:type="dxa"/>
            <w:vAlign w:val="bottom"/>
          </w:tcPr>
          <w:p>
            <w:pPr>
              <w:ind w:left="220"/>
              <w:spacing w:after="0"/>
              <w:rPr>
                <w:sz w:val="20"/>
                <w:szCs w:val="20"/>
                <w:color w:val="auto"/>
              </w:rPr>
            </w:pPr>
            <w:r>
              <w:rPr>
                <w:rFonts w:ascii="Arial" w:cs="Arial" w:eastAsia="Arial" w:hAnsi="Arial"/>
                <w:sz w:val="18"/>
                <w:szCs w:val="18"/>
                <w:color w:val="auto"/>
              </w:rPr>
              <w:t>Notes receivable by stockholder issued to officers</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Series C convertible preferred stock subscriptions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7800" w:type="dxa"/>
            <w:vAlign w:val="bottom"/>
          </w:tcPr>
          <w:p>
            <w:pPr>
              <w:ind w:left="220"/>
              <w:spacing w:after="0"/>
              <w:rPr>
                <w:sz w:val="20"/>
                <w:szCs w:val="20"/>
                <w:color w:val="auto"/>
              </w:rPr>
            </w:pPr>
            <w:r>
              <w:rPr>
                <w:rFonts w:ascii="Arial" w:cs="Arial" w:eastAsia="Arial" w:hAnsi="Arial"/>
                <w:sz w:val="18"/>
                <w:szCs w:val="18"/>
                <w:color w:val="auto"/>
              </w:rPr>
              <w:t>Issuance of Series A redeemable convertible preferred stock</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4,296</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Conversion of Series A redeemable convertible preferred stock</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connection with the Company’s initial public offering, all shares of Series B and Series C convertible preferred stock, in the amount of $15,000,000 and $50,000,000, respectively, automatically converted into common stock in August 2004.</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MANNKIND CORPORATION AND SUBSIDIARY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Development Stage Company)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accompanying unaudited consolidated financial statements of MannKind Corporation (the “Company”), have been prepared in accordance with generally accepted accounting principles in the United States of America for interim financial information and with the instructions to Form 10-Q and Article 10 of Regulation S-X of the Securities and Exchange Commission (the “SEC”). Accordingly, they do not include all of the information and footnotes required by generally accepted accounting principles in the United States of America for complete financial statements. These statements should be read in conjunction with the consolidated financial statements and notes thereto included in the Company’s latest audited annual financial statements. The audited statements for the year ended December 31, 2005 are included in the Company’s annual report on Form 10-K for the fiscal year ended December 31, 2005 filed with the SEC on March 16, 2006 (the “Annual Report”).</w:t>
      </w:r>
    </w:p>
    <w:p>
      <w:pPr>
        <w:spacing w:after="0" w:line="7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the opinion of management, all adjustments, consisting only of normal, recurring adjustments considered necessary for a fair presentation of the results of these interim periods have been included. The results of operations for the six and three months ended June 30, 2006 may not be indicative of the results that may be expected for the full year.</w:t>
      </w:r>
    </w:p>
    <w:p>
      <w:pPr>
        <w:spacing w:after="0" w:line="73"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or assumptions. The more significant estimates reflected in these financial statements involve accrued expenses, the valuation of stock-based compensation and the determination of the provision for income taxes and corresponding deferred tax assets and liabilities and any valuation allowance recorded against net deferred tax assets.</w:t>
      </w:r>
    </w:p>
    <w:p>
      <w:pPr>
        <w:spacing w:after="0" w:line="50"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b w:val="1"/>
          <w:bCs w:val="1"/>
          <w:i w:val="1"/>
          <w:iCs w:val="1"/>
          <w:color w:val="auto"/>
        </w:rPr>
        <w:t xml:space="preserve">Business </w:t>
      </w:r>
      <w:r>
        <w:rPr>
          <w:rFonts w:ascii="Arial" w:cs="Arial" w:eastAsia="Arial" w:hAnsi="Arial"/>
          <w:sz w:val="17"/>
          <w:szCs w:val="17"/>
          <w:color w:val="auto"/>
        </w:rPr>
        <w:t>— MannKind Corporation is a biopharmaceutical company focused on the development and commercialization of therapeutic products for diseases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such as diabetes and cancer. The Company’s lead investigational product candidate, the Technosphere Insulin System, is currently in Phase 3 clinical trials in the U.S. and Europe to study its safety and efficacy in the treatment of diabetes. The Technosphere Insulin System consists of the Company’s proprietary dry-powder Technosphere formulation of insulin that is inhaled deep into the lung using the Company’s MedTone inhaler.</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Basis of Presentation </w:t>
      </w:r>
      <w:r>
        <w:rPr>
          <w:rFonts w:ascii="Arial" w:cs="Arial" w:eastAsia="Arial" w:hAnsi="Arial"/>
          <w:sz w:val="16"/>
          <w:szCs w:val="16"/>
          <w:color w:val="auto"/>
        </w:rPr>
        <w:t>— The Company is considered to be in the development stage as its primary activities since incorporation have been establishing its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facilities, recruiting personnel, conducting research and development, business development, business and financial planning, and raising capital. Since its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inception through June 30, 2006 the Company has reported accumulated net losses of $655.6 million, which include a goodwill impairment charge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$151.4 million, and negative cash flow from operations of $398.3 million. It is costly to develop therapeutic products and conduct clinical trials for these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products. On August 2, 2006, the Company entered into a loan arrangement with its principal stockholder to borrow up to a total of $150.0 million in one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more advances at any time through August 2, 2007 that the Company’s cash balance falls below its projected cash requirements for the subsequent three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months, provided that each advance be no less than $50.0 million. The Company borrowed $50.0 million under the loan arrangement on August 2, 2006. See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Note 10 – Subsequent Event.</w:t>
      </w:r>
    </w:p>
    <w:p>
      <w:pPr>
        <w:spacing w:after="0" w:line="10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believes that this loan arrangement with its principal stockholder will enable the Company to continue funding operations through the second quarter of 2007. However, the Company cannot provide assurances that its plans will not change or that changed circumstances will not result in the depletion of its capital resources more rapidly than it currently anticipates. Accordingly, the Company expects that it will need to raise additional capital, either through the sale of equity and/or debt securities, a strategic business collaboration with a pharmaceutical company or the establishment of other funding facilities, in order to continue the development and commercialization of its Technosphere Insulin System and other product candidates and to support its other ongoing activities. If planned operating results are not achieved or the Company is not successful in raising additional capital, management believes that planned expenditures could be reduced or eliminated in a relatively short period to continue activities, on a reduced basis.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Reclassifications </w:t>
      </w:r>
      <w:r>
        <w:rPr>
          <w:rFonts w:ascii="Arial" w:cs="Arial" w:eastAsia="Arial" w:hAnsi="Arial"/>
          <w:sz w:val="18"/>
          <w:szCs w:val="18"/>
          <w:color w:val="auto"/>
        </w:rPr>
        <w:t>— Certain reclassifications have been made to the prior years’ financial statements to conform to the 2006 presentation.</w:t>
      </w:r>
    </w:p>
    <w:p>
      <w:pPr>
        <w:spacing w:after="0" w:line="11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b w:val="1"/>
          <w:bCs w:val="1"/>
          <w:i w:val="1"/>
          <w:iCs w:val="1"/>
          <w:color w:val="auto"/>
        </w:rPr>
        <w:t xml:space="preserve">Segment Information </w:t>
      </w:r>
      <w:r>
        <w:rPr>
          <w:rFonts w:ascii="Arial" w:cs="Arial" w:eastAsia="Arial" w:hAnsi="Arial"/>
          <w:sz w:val="16"/>
          <w:szCs w:val="16"/>
          <w:color w:val="auto"/>
        </w:rPr>
        <w:t>— In accordance with Statement of Financial Accounting Standards (“SFAS”) No. 131,</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Disclosures about Segments of an Enterprise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and Related Information</w:t>
      </w:r>
      <w:r>
        <w:rPr>
          <w:rFonts w:ascii="Arial" w:cs="Arial" w:eastAsia="Arial" w:hAnsi="Arial"/>
          <w:sz w:val="16"/>
          <w:szCs w:val="16"/>
          <w:color w:val="auto"/>
        </w:rPr>
        <w:t>, operating segments are identified as components of an enterprise about which separate discrete financial information is available for</w:t>
      </w:r>
      <w:r>
        <w:rPr>
          <w:rFonts w:ascii="Arial" w:cs="Arial" w:eastAsia="Arial" w:hAnsi="Arial"/>
          <w:sz w:val="16"/>
          <w:szCs w:val="16"/>
          <w:i w:val="1"/>
          <w:iCs w:val="1"/>
          <w:color w:val="auto"/>
        </w:rPr>
        <w:t xml:space="preserve"> </w:t>
      </w:r>
      <w:r>
        <w:rPr>
          <w:rFonts w:ascii="Arial" w:cs="Arial" w:eastAsia="Arial" w:hAnsi="Arial"/>
          <w:sz w:val="16"/>
          <w:szCs w:val="16"/>
          <w:color w:val="auto"/>
        </w:rPr>
        <w:t>evaluation by the chief operating decision-maker in making decisions regarding resource allocation and assessing performance. To date, the Company has viewed its operations and manages its business as one segment operating entirely in the United States of America.</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 in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available-for-sale securities classified as current assets: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80" w:type="dxa"/>
            <w:vAlign w:val="bottom"/>
            <w:gridSpan w:val="2"/>
          </w:tcPr>
          <w:p>
            <w:pPr>
              <w:jc w:val="center"/>
              <w:ind w:right="639"/>
              <w:spacing w:after="0"/>
              <w:rPr>
                <w:sz w:val="20"/>
                <w:szCs w:val="20"/>
                <w:color w:val="auto"/>
              </w:rPr>
            </w:pPr>
            <w:r>
              <w:rPr>
                <w:rFonts w:ascii="Arial" w:cs="Arial" w:eastAsia="Arial" w:hAnsi="Arial"/>
                <w:sz w:val="14"/>
                <w:szCs w:val="14"/>
                <w:b w:val="1"/>
                <w:bCs w:val="1"/>
                <w:color w:val="auto"/>
                <w:w w:val="85"/>
              </w:rPr>
              <w:t>As of</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0" w:type="dxa"/>
            <w:vAlign w:val="bottom"/>
            <w:gridSpan w:val="2"/>
          </w:tcPr>
          <w:p>
            <w:pPr>
              <w:jc w:val="center"/>
              <w:ind w:right="759"/>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71"/>
        </w:trPr>
        <w:tc>
          <w:tcPr>
            <w:tcW w:w="6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June 30, 2006</w:t>
            </w:r>
          </w:p>
        </w:tc>
        <w:tc>
          <w:tcPr>
            <w:tcW w:w="580" w:type="dxa"/>
            <w:vAlign w:val="bottom"/>
          </w:tcPr>
          <w:p>
            <w:pPr>
              <w:spacing w:after="0"/>
              <w:rPr>
                <w:sz w:val="14"/>
                <w:szCs w:val="14"/>
                <w:color w:val="auto"/>
              </w:rPr>
            </w:pPr>
          </w:p>
        </w:tc>
        <w:tc>
          <w:tcPr>
            <w:tcW w:w="2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2005</w:t>
            </w:r>
          </w:p>
        </w:tc>
        <w:tc>
          <w:tcPr>
            <w:tcW w:w="0" w:type="dxa"/>
            <w:vAlign w:val="bottom"/>
          </w:tcPr>
          <w:p>
            <w:pPr>
              <w:spacing w:after="0"/>
              <w:rPr>
                <w:sz w:val="1"/>
                <w:szCs w:val="1"/>
                <w:color w:val="auto"/>
              </w:rPr>
            </w:pPr>
          </w:p>
        </w:tc>
      </w:tr>
      <w:tr>
        <w:trPr>
          <w:trHeight w:val="142"/>
        </w:trPr>
        <w:tc>
          <w:tcPr>
            <w:tcW w:w="6520" w:type="dxa"/>
            <w:vAlign w:val="bottom"/>
            <w:gridSpan w:val="3"/>
            <w:vMerge w:val="continue"/>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0"/>
              </w:rPr>
              <w:t>Cost basis</w:t>
            </w:r>
          </w:p>
        </w:tc>
        <w:tc>
          <w:tcPr>
            <w:tcW w:w="560" w:type="dxa"/>
            <w:vAlign w:val="bottom"/>
          </w:tcPr>
          <w:p>
            <w:pPr>
              <w:spacing w:after="0"/>
              <w:rPr>
                <w:sz w:val="12"/>
                <w:szCs w:val="12"/>
                <w:color w:val="auto"/>
              </w:rPr>
            </w:pPr>
          </w:p>
        </w:tc>
        <w:tc>
          <w:tcPr>
            <w:tcW w:w="820" w:type="dxa"/>
            <w:vAlign w:val="bottom"/>
          </w:tcPr>
          <w:p>
            <w:pPr>
              <w:jc w:val="right"/>
              <w:ind w:right="19"/>
              <w:spacing w:after="0" w:line="142" w:lineRule="exact"/>
              <w:rPr>
                <w:sz w:val="20"/>
                <w:szCs w:val="20"/>
                <w:color w:val="auto"/>
              </w:rPr>
            </w:pPr>
            <w:r>
              <w:rPr>
                <w:rFonts w:ascii="Arial" w:cs="Arial" w:eastAsia="Arial" w:hAnsi="Arial"/>
                <w:sz w:val="14"/>
                <w:szCs w:val="14"/>
                <w:b w:val="1"/>
                <w:bCs w:val="1"/>
                <w:color w:val="auto"/>
              </w:rPr>
              <w:t>Fair value</w:t>
            </w:r>
          </w:p>
        </w:tc>
        <w:tc>
          <w:tcPr>
            <w:tcW w:w="580" w:type="dxa"/>
            <w:vAlign w:val="bottom"/>
          </w:tcPr>
          <w:p>
            <w:pPr>
              <w:spacing w:after="0"/>
              <w:rPr>
                <w:sz w:val="12"/>
                <w:szCs w:val="12"/>
                <w:color w:val="auto"/>
              </w:rPr>
            </w:pPr>
          </w:p>
        </w:tc>
        <w:tc>
          <w:tcPr>
            <w:tcW w:w="820" w:type="dxa"/>
            <w:vAlign w:val="bottom"/>
          </w:tcPr>
          <w:p>
            <w:pPr>
              <w:jc w:val="right"/>
              <w:ind w:right="22"/>
              <w:spacing w:after="0" w:line="142" w:lineRule="exact"/>
              <w:rPr>
                <w:sz w:val="20"/>
                <w:szCs w:val="20"/>
                <w:color w:val="auto"/>
              </w:rPr>
            </w:pPr>
            <w:r>
              <w:rPr>
                <w:rFonts w:ascii="Arial" w:cs="Arial" w:eastAsia="Arial" w:hAnsi="Arial"/>
                <w:sz w:val="14"/>
                <w:szCs w:val="14"/>
                <w:b w:val="1"/>
                <w:bCs w:val="1"/>
                <w:color w:val="auto"/>
                <w:w w:val="98"/>
              </w:rPr>
              <w:t>Cost basis</w:t>
            </w:r>
          </w:p>
        </w:tc>
        <w:tc>
          <w:tcPr>
            <w:tcW w:w="560" w:type="dxa"/>
            <w:vAlign w:val="bottom"/>
          </w:tcPr>
          <w:p>
            <w:pPr>
              <w:spacing w:after="0"/>
              <w:rPr>
                <w:sz w:val="12"/>
                <w:szCs w:val="12"/>
                <w:color w:val="auto"/>
              </w:rPr>
            </w:pPr>
          </w:p>
        </w:tc>
        <w:tc>
          <w:tcPr>
            <w:tcW w:w="840" w:type="dxa"/>
            <w:vAlign w:val="bottom"/>
          </w:tcPr>
          <w:p>
            <w:pPr>
              <w:jc w:val="right"/>
              <w:ind w:right="19"/>
              <w:spacing w:after="0" w:line="142"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Auction rate municipal bonds</w:t>
            </w:r>
          </w:p>
        </w:tc>
        <w:tc>
          <w:tcPr>
            <w:tcW w:w="560" w:type="dxa"/>
            <w:vAlign w:val="bottom"/>
          </w:tcPr>
          <w:p>
            <w:pPr>
              <w:spacing w:after="0"/>
              <w:rPr>
                <w:sz w:val="19"/>
                <w:szCs w:val="19"/>
                <w:color w:val="auto"/>
              </w:rPr>
            </w:pPr>
          </w:p>
        </w:tc>
        <w:tc>
          <w:tcPr>
            <w:tcW w:w="72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w w:val="89"/>
              </w:rPr>
              <w:t>$23,800</w:t>
            </w:r>
          </w:p>
        </w:tc>
        <w:tc>
          <w:tcPr>
            <w:tcW w:w="560" w:type="dxa"/>
            <w:vAlign w:val="bottom"/>
          </w:tcPr>
          <w:p>
            <w:pPr>
              <w:spacing w:after="0"/>
              <w:rPr>
                <w:sz w:val="19"/>
                <w:szCs w:val="19"/>
                <w:color w:val="auto"/>
              </w:rPr>
            </w:pPr>
          </w:p>
        </w:tc>
        <w:tc>
          <w:tcPr>
            <w:tcW w:w="820" w:type="dxa"/>
            <w:vAlign w:val="bottom"/>
            <w:tcBorders>
              <w:top w:val="single" w:sz="8" w:color="auto"/>
            </w:tcBorders>
          </w:tcPr>
          <w:p>
            <w:pPr>
              <w:jc w:val="right"/>
              <w:ind w:right="139"/>
              <w:spacing w:after="0"/>
              <w:rPr>
                <w:sz w:val="20"/>
                <w:szCs w:val="20"/>
                <w:color w:val="auto"/>
              </w:rPr>
            </w:pPr>
            <w:r>
              <w:rPr>
                <w:rFonts w:ascii="Arial" w:cs="Arial" w:eastAsia="Arial" w:hAnsi="Arial"/>
                <w:sz w:val="18"/>
                <w:szCs w:val="18"/>
                <w:color w:val="auto"/>
                <w:w w:val="89"/>
              </w:rPr>
              <w:t>$23,800</w:t>
            </w:r>
          </w:p>
        </w:tc>
        <w:tc>
          <w:tcPr>
            <w:tcW w:w="580" w:type="dxa"/>
            <w:vAlign w:val="bottom"/>
          </w:tcPr>
          <w:p>
            <w:pPr>
              <w:spacing w:after="0"/>
              <w:rPr>
                <w:sz w:val="19"/>
                <w:szCs w:val="19"/>
                <w:color w:val="auto"/>
              </w:rPr>
            </w:pPr>
          </w:p>
        </w:tc>
        <w:tc>
          <w:tcPr>
            <w:tcW w:w="820" w:type="dxa"/>
            <w:vAlign w:val="bottom"/>
            <w:tcBorders>
              <w:top w:val="single" w:sz="8" w:color="auto"/>
            </w:tcBorders>
          </w:tcPr>
          <w:p>
            <w:pPr>
              <w:jc w:val="right"/>
              <w:ind w:right="142"/>
              <w:spacing w:after="0"/>
              <w:rPr>
                <w:sz w:val="20"/>
                <w:szCs w:val="20"/>
                <w:color w:val="auto"/>
              </w:rPr>
            </w:pPr>
            <w:r>
              <w:rPr>
                <w:rFonts w:ascii="Arial" w:cs="Arial" w:eastAsia="Arial" w:hAnsi="Arial"/>
                <w:sz w:val="18"/>
                <w:szCs w:val="18"/>
                <w:color w:val="auto"/>
                <w:w w:val="89"/>
              </w:rPr>
              <w:t>$89,597</w:t>
            </w:r>
          </w:p>
        </w:tc>
        <w:tc>
          <w:tcPr>
            <w:tcW w:w="560" w:type="dxa"/>
            <w:vAlign w:val="bottom"/>
          </w:tcPr>
          <w:p>
            <w:pPr>
              <w:spacing w:after="0"/>
              <w:rPr>
                <w:sz w:val="19"/>
                <w:szCs w:val="19"/>
                <w:color w:val="auto"/>
              </w:rPr>
            </w:pPr>
          </w:p>
        </w:tc>
        <w:tc>
          <w:tcPr>
            <w:tcW w:w="840" w:type="dxa"/>
            <w:vAlign w:val="bottom"/>
            <w:tcBorders>
              <w:top w:val="single" w:sz="8" w:color="auto"/>
            </w:tcBorders>
          </w:tcPr>
          <w:p>
            <w:pPr>
              <w:jc w:val="right"/>
              <w:ind w:right="139"/>
              <w:spacing w:after="0"/>
              <w:rPr>
                <w:sz w:val="20"/>
                <w:szCs w:val="20"/>
                <w:color w:val="auto"/>
              </w:rPr>
            </w:pPr>
            <w:r>
              <w:rPr>
                <w:rFonts w:ascii="Arial" w:cs="Arial" w:eastAsia="Arial" w:hAnsi="Arial"/>
                <w:sz w:val="18"/>
                <w:szCs w:val="18"/>
                <w:color w:val="auto"/>
                <w:w w:val="92"/>
              </w:rPr>
              <w:t>$89,597</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Company’s policy is to maintain a highly liquid short-term investment portfolio. The contractual maturities for auction rate municipal bonds at June 30, 2006 are between 22 and 40 years. Despite the long-term nature of their stated contractual maturities, the Company has the ability to quickly liquidate these securities. Proceeds from the sale and maturities of available-for-sale securities amounted to approximately $89.6 million and $58.2 million for the six months ended June 30, 2006 and 2005, respectively, and $40.6 million and $24.7 million for the three months ended June 30, 2006 and 2005, respectively. Gross realized gains and losses for available-for-sale securities were insignificant for the three and six months ended June 30, 2006 and 2005. Gross realized gains and losses for available-for-sale securities are recorded as other income (expense). The cost of securities sold is based on the specific identification method. Unrealized gains and losses for available-for-sale securities as of the periods presented in the table above were not material.</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Accounting for stock-based compensation</w:t>
      </w:r>
    </w:p>
    <w:p>
      <w:pPr>
        <w:spacing w:after="0" w:line="12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On January 1, 2006, the Company adopted the provisions of SFAS No. 123R (“SFAS No. 123R”), </w:t>
      </w:r>
      <w:r>
        <w:rPr>
          <w:rFonts w:ascii="Arial" w:cs="Arial" w:eastAsia="Arial" w:hAnsi="Arial"/>
          <w:sz w:val="16"/>
          <w:szCs w:val="16"/>
          <w:i w:val="1"/>
          <w:iCs w:val="1"/>
          <w:color w:val="auto"/>
        </w:rPr>
        <w:t>Share-based Payment: an Amendment of FASB Statements</w:t>
      </w:r>
      <w:r>
        <w:rPr>
          <w:rFonts w:ascii="Arial" w:cs="Arial" w:eastAsia="Arial" w:hAnsi="Arial"/>
          <w:sz w:val="16"/>
          <w:szCs w:val="16"/>
          <w:color w:val="auto"/>
        </w:rPr>
        <w:t xml:space="preserve"> </w:t>
      </w:r>
      <w:r>
        <w:rPr>
          <w:rFonts w:ascii="Arial" w:cs="Arial" w:eastAsia="Arial" w:hAnsi="Arial"/>
          <w:sz w:val="16"/>
          <w:szCs w:val="16"/>
          <w:i w:val="1"/>
          <w:iCs w:val="1"/>
          <w:color w:val="auto"/>
        </w:rPr>
        <w:t>No. 123 and 95</w:t>
      </w:r>
      <w:r>
        <w:rPr>
          <w:rFonts w:ascii="Arial" w:cs="Arial" w:eastAsia="Arial" w:hAnsi="Arial"/>
          <w:sz w:val="16"/>
          <w:szCs w:val="16"/>
          <w:color w:val="auto"/>
        </w:rPr>
        <w:t>, which is a revision of SFAS No. 123 (“SFAS No. 123”),</w:t>
      </w:r>
      <w:r>
        <w:rPr>
          <w:rFonts w:ascii="Arial" w:cs="Arial" w:eastAsia="Arial" w:hAnsi="Arial"/>
          <w:sz w:val="16"/>
          <w:szCs w:val="16"/>
          <w:i w:val="1"/>
          <w:iCs w:val="1"/>
          <w:color w:val="auto"/>
        </w:rPr>
        <w:t xml:space="preserve"> Accounting for Stock-Based Compensation</w:t>
      </w:r>
      <w:r>
        <w:rPr>
          <w:rFonts w:ascii="Arial" w:cs="Arial" w:eastAsia="Arial" w:hAnsi="Arial"/>
          <w:sz w:val="16"/>
          <w:szCs w:val="16"/>
          <w:color w:val="auto"/>
        </w:rPr>
        <w:t>. Prior to January 1, 2006,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accounted for employee stock options and the employee stock purchase plan using the intrinsic value method in accordance with Accounting Principles Board (“APB”) Opinion No. 25 (“APB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and adopted the disclosure only alternative of SFAS No. 123. SFAS No. 123R eliminated the intrinsic value method of accounting for stock options which the Company followed until December 31, 2005. Further, SFAS</w:t>
      </w:r>
    </w:p>
    <w:p>
      <w:pPr>
        <w:spacing w:after="0" w:line="2"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No. 123R requires all share-based payments to employees, including grants of stock options and the compensatory elements of employee stock purchase plans, to be recognized in the income statement based upon the fair value of the awards at the grant date.</w:t>
      </w:r>
    </w:p>
    <w:p>
      <w:pPr>
        <w:spacing w:after="0" w:line="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Upon adoption of SFAS No. 123R, the Company selected the modified prospective transition method whereby unvested awards at the date of adoption as well as awards that are granted, modified, or settled after the date of adoption will be measured and accounted for in accordance with SFAS No. 123R. Measurement and attribution of compensation cost for awards unvested as of January 1, 2006 is based on the same estimate of the grant-date or modification-date fair value and the same attribution method (straight-line) used previously under SFAS No. 123.</w:t>
      </w:r>
    </w:p>
    <w:p>
      <w:pPr>
        <w:spacing w:after="0" w:line="7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the three and six months ended June 30, 2006, the Company recorded stock-based compensation expense of $3.8 million and $7.5 million, respectively, which caused loss before provision for income taxes to increase by $3.8 million and $7.5 million, respectively, and basic and diluted net loss per share applicable to common stockholders to increase by $0.08 and $0.15 per share, respectively. The following table presents stock-based compensation expense included in operating expenses for the three and six months ended June 30, 2006 and the pro forma stock-based compensation amounts that would have been included in the statements of operations for three and six months ended June 30, 2005 had stock-based compensation expense been determined in accordance with the fair value method prescribed by SFAS No. 123:</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45"/>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4"/>
                <w:szCs w:val="14"/>
                <w:b w:val="1"/>
                <w:bCs w:val="1"/>
                <w:color w:val="auto"/>
                <w:w w:val="96"/>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6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rPr>
              <w:t>2006</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2005</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7"/>
              <w:spacing w:after="0" w:line="142" w:lineRule="exact"/>
              <w:rPr>
                <w:sz w:val="20"/>
                <w:szCs w:val="20"/>
                <w:color w:val="auto"/>
              </w:rPr>
            </w:pPr>
            <w:r>
              <w:rPr>
                <w:rFonts w:ascii="Arial" w:cs="Arial" w:eastAsia="Arial" w:hAnsi="Arial"/>
                <w:sz w:val="14"/>
                <w:szCs w:val="14"/>
                <w:b w:val="1"/>
                <w:bCs w:val="1"/>
                <w:color w:val="auto"/>
              </w:rPr>
              <w:t>2006</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4"/>
              </w:rPr>
              <w:t>Stock-based employee compensation expense determined under the fair value</w:t>
            </w:r>
          </w:p>
        </w:tc>
        <w:tc>
          <w:tcPr>
            <w:tcW w:w="5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based method for all awards</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3,578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3,873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7,051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Fair value of discount on employee stock purchase plan</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114</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212</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employee compensation expense</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3,979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7,263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7,319</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rPr>
              <w:t>Net loss — as reported</w:t>
            </w: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3"/>
              </w:rPr>
              <w:t>(27,155)</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3"/>
              </w:rPr>
              <w:t>(49,317)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Add: Stock-based employee compensation expense (benefit) included in reported</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(2,460)</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w w:val="91"/>
              </w:rPr>
              <w:t>Deduct: Stock-based compensation expense determined under fair value method</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(3,979)</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(7,319)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loss — pro forma</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(33,594)</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(59,816)</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rPr>
              <w:t>Net loss per common share (basic and diluted):</w:t>
            </w: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 reported</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(0.83)</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Pro forma</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The fair value of each option is estimated on the grant date or modification date, if any, using the Black-Scholes option valuation model. The variables used by the Company for the three and six months ended June 30, 2006 and 2005 are disclosed in the following table. The risk-free rate for periods within the contractual life of the option is based on the U.S. Treasury yield curve in effect at the time of grant. The stock price volatility used is based on the historical volatility of the stock of several of the Company’s peers. The weighted average expected life is calculated using the “simplified” method, which is defined in Staff Accounting Bulletin No. 107, </w:t>
      </w:r>
      <w:r>
        <w:rPr>
          <w:rFonts w:ascii="Arial" w:cs="Arial" w:eastAsia="Arial" w:hAnsi="Arial"/>
          <w:sz w:val="18"/>
          <w:szCs w:val="18"/>
          <w:i w:val="1"/>
          <w:iCs w:val="1"/>
          <w:color w:val="auto"/>
        </w:rPr>
        <w:t>Topic 14: Share-based Payment</w:t>
      </w:r>
      <w:r>
        <w:rPr>
          <w:rFonts w:ascii="Arial" w:cs="Arial" w:eastAsia="Arial" w:hAnsi="Arial"/>
          <w:sz w:val="18"/>
          <w:szCs w:val="18"/>
          <w:color w:val="auto"/>
        </w:rPr>
        <w:t>, and is equal to one-half of the sum of the weighted average time to vest and the option’s contractual term.</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540" w:type="dxa"/>
            <w:vAlign w:val="bottom"/>
          </w:tcPr>
          <w:p>
            <w:pPr>
              <w:spacing w:after="0"/>
              <w:rPr>
                <w:sz w:val="14"/>
                <w:szCs w:val="14"/>
                <w:color w:val="auto"/>
              </w:rPr>
            </w:pPr>
          </w:p>
        </w:tc>
        <w:tc>
          <w:tcPr>
            <w:tcW w:w="2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Six months ended</w:t>
            </w:r>
          </w:p>
        </w:tc>
      </w:tr>
      <w:tr>
        <w:trPr>
          <w:trHeight w:val="171"/>
        </w:trPr>
        <w:tc>
          <w:tcPr>
            <w:tcW w:w="39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659"/>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Pr>
          <w:p>
            <w:pPr>
              <w:spacing w:after="0"/>
              <w:rPr>
                <w:sz w:val="14"/>
                <w:szCs w:val="14"/>
                <w:color w:val="auto"/>
              </w:rPr>
            </w:pPr>
          </w:p>
        </w:tc>
        <w:tc>
          <w:tcPr>
            <w:tcW w:w="1680" w:type="dxa"/>
            <w:vAlign w:val="bottom"/>
            <w:tcBorders>
              <w:bottom w:val="single" w:sz="8" w:color="auto"/>
            </w:tcBorders>
            <w:gridSpan w:val="2"/>
          </w:tcPr>
          <w:p>
            <w:pPr>
              <w:jc w:val="center"/>
              <w:ind w:left="924"/>
              <w:spacing w:after="0"/>
              <w:rPr>
                <w:sz w:val="20"/>
                <w:szCs w:val="20"/>
                <w:color w:val="auto"/>
              </w:rPr>
            </w:pPr>
            <w:r>
              <w:rPr>
                <w:rFonts w:ascii="Arial" w:cs="Arial" w:eastAsia="Arial" w:hAnsi="Arial"/>
                <w:sz w:val="14"/>
                <w:szCs w:val="14"/>
                <w:b w:val="1"/>
                <w:bCs w:val="1"/>
                <w:color w:val="auto"/>
                <w:w w:val="92"/>
              </w:rPr>
              <w:t>June 30,</w:t>
            </w:r>
          </w:p>
        </w:tc>
        <w:tc>
          <w:tcPr>
            <w:tcW w:w="1000" w:type="dxa"/>
            <w:vAlign w:val="bottom"/>
            <w:tcBorders>
              <w:bottom w:val="single" w:sz="8" w:color="auto"/>
            </w:tcBorders>
          </w:tcPr>
          <w:p>
            <w:pPr>
              <w:spacing w:after="0"/>
              <w:rPr>
                <w:sz w:val="14"/>
                <w:szCs w:val="14"/>
                <w:color w:val="auto"/>
              </w:rPr>
            </w:pPr>
          </w:p>
        </w:tc>
      </w:tr>
      <w:tr>
        <w:trPr>
          <w:trHeight w:val="142"/>
        </w:trPr>
        <w:tc>
          <w:tcPr>
            <w:tcW w:w="39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7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2006</w:t>
            </w:r>
          </w:p>
        </w:tc>
        <w:tc>
          <w:tcPr>
            <w:tcW w:w="54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2005</w:t>
            </w:r>
          </w:p>
        </w:tc>
        <w:tc>
          <w:tcPr>
            <w:tcW w:w="540" w:type="dxa"/>
            <w:vAlign w:val="bottom"/>
          </w:tcPr>
          <w:p>
            <w:pPr>
              <w:spacing w:after="0"/>
              <w:rPr>
                <w:sz w:val="12"/>
                <w:szCs w:val="12"/>
                <w:color w:val="auto"/>
              </w:rPr>
            </w:pPr>
          </w:p>
        </w:tc>
        <w:tc>
          <w:tcPr>
            <w:tcW w:w="11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2006</w:t>
            </w:r>
          </w:p>
        </w:tc>
        <w:tc>
          <w:tcPr>
            <w:tcW w:w="540" w:type="dxa"/>
            <w:vAlign w:val="bottom"/>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2005</w:t>
            </w: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940" w:type="dxa"/>
            <w:vAlign w:val="bottom"/>
            <w:gridSpan w:val="2"/>
            <w:shd w:val="clear" w:color="auto" w:fill="CCEEFF"/>
          </w:tcPr>
          <w:p>
            <w:pPr>
              <w:jc w:val="center"/>
              <w:ind w:left="2130"/>
              <w:spacing w:after="0"/>
              <w:rPr>
                <w:sz w:val="20"/>
                <w:szCs w:val="20"/>
                <w:color w:val="auto"/>
              </w:rPr>
            </w:pPr>
            <w:r>
              <w:rPr>
                <w:rFonts w:ascii="Arial" w:cs="Arial" w:eastAsia="Arial" w:hAnsi="Arial"/>
                <w:sz w:val="18"/>
                <w:szCs w:val="18"/>
                <w:color w:val="auto"/>
                <w:w w:val="93"/>
              </w:rPr>
              <w:t>4.96%</w:t>
            </w:r>
          </w:p>
        </w:tc>
        <w:tc>
          <w:tcPr>
            <w:tcW w:w="1300" w:type="dxa"/>
            <w:vAlign w:val="bottom"/>
            <w:gridSpan w:val="2"/>
            <w:shd w:val="clear" w:color="auto" w:fill="CCEEFF"/>
          </w:tcPr>
          <w:p>
            <w:pPr>
              <w:jc w:val="center"/>
              <w:ind w:left="454"/>
              <w:spacing w:after="0"/>
              <w:rPr>
                <w:sz w:val="20"/>
                <w:szCs w:val="20"/>
                <w:color w:val="auto"/>
              </w:rPr>
            </w:pPr>
            <w:r>
              <w:rPr>
                <w:rFonts w:ascii="Arial" w:cs="Arial" w:eastAsia="Arial" w:hAnsi="Arial"/>
                <w:sz w:val="18"/>
                <w:szCs w:val="18"/>
                <w:color w:val="auto"/>
                <w:w w:val="93"/>
              </w:rPr>
              <w:t>3.66%</w:t>
            </w:r>
          </w:p>
        </w:tc>
        <w:tc>
          <w:tcPr>
            <w:tcW w:w="168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1"/>
              </w:rPr>
              <w:t>4.59%-4.96%%</w:t>
            </w: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3.43%-3.89%</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Dividend yield</w:t>
            </w:r>
          </w:p>
        </w:tc>
        <w:tc>
          <w:tcPr>
            <w:tcW w:w="2940" w:type="dxa"/>
            <w:vAlign w:val="bottom"/>
            <w:gridSpan w:val="2"/>
          </w:tcPr>
          <w:p>
            <w:pPr>
              <w:jc w:val="center"/>
              <w:ind w:left="2130"/>
              <w:spacing w:after="0"/>
              <w:rPr>
                <w:sz w:val="20"/>
                <w:szCs w:val="20"/>
                <w:color w:val="auto"/>
              </w:rPr>
            </w:pPr>
            <w:r>
              <w:rPr>
                <w:rFonts w:ascii="Arial" w:cs="Arial" w:eastAsia="Arial" w:hAnsi="Arial"/>
                <w:sz w:val="18"/>
                <w:szCs w:val="18"/>
                <w:color w:val="auto"/>
                <w:w w:val="92"/>
              </w:rPr>
              <w:t>0%</w:t>
            </w:r>
          </w:p>
        </w:tc>
        <w:tc>
          <w:tcPr>
            <w:tcW w:w="1300" w:type="dxa"/>
            <w:vAlign w:val="bottom"/>
            <w:gridSpan w:val="2"/>
          </w:tcPr>
          <w:p>
            <w:pPr>
              <w:jc w:val="center"/>
              <w:ind w:left="454"/>
              <w:spacing w:after="0"/>
              <w:rPr>
                <w:sz w:val="20"/>
                <w:szCs w:val="20"/>
                <w:color w:val="auto"/>
              </w:rPr>
            </w:pPr>
            <w:r>
              <w:rPr>
                <w:rFonts w:ascii="Arial" w:cs="Arial" w:eastAsia="Arial" w:hAnsi="Arial"/>
                <w:sz w:val="18"/>
                <w:szCs w:val="18"/>
                <w:color w:val="auto"/>
                <w:w w:val="92"/>
              </w:rPr>
              <w:t>0%</w:t>
            </w:r>
          </w:p>
        </w:tc>
        <w:tc>
          <w:tcPr>
            <w:tcW w:w="1680" w:type="dxa"/>
            <w:vAlign w:val="bottom"/>
            <w:gridSpan w:val="2"/>
          </w:tcPr>
          <w:p>
            <w:pPr>
              <w:jc w:val="center"/>
              <w:ind w:left="430"/>
              <w:spacing w:after="0"/>
              <w:rPr>
                <w:sz w:val="20"/>
                <w:szCs w:val="20"/>
                <w:color w:val="auto"/>
              </w:rPr>
            </w:pPr>
            <w:r>
              <w:rPr>
                <w:rFonts w:ascii="Arial" w:cs="Arial" w:eastAsia="Arial" w:hAnsi="Arial"/>
                <w:sz w:val="18"/>
                <w:szCs w:val="18"/>
                <w:color w:val="auto"/>
                <w:w w:val="92"/>
              </w:rPr>
              <w:t>0%</w:t>
            </w:r>
          </w:p>
        </w:tc>
        <w:tc>
          <w:tcPr>
            <w:tcW w:w="5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0%</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Volatility factor</w:t>
            </w:r>
          </w:p>
        </w:tc>
        <w:tc>
          <w:tcPr>
            <w:tcW w:w="2940" w:type="dxa"/>
            <w:vAlign w:val="bottom"/>
            <w:gridSpan w:val="2"/>
            <w:shd w:val="clear" w:color="auto" w:fill="CCEEFF"/>
          </w:tcPr>
          <w:p>
            <w:pPr>
              <w:jc w:val="center"/>
              <w:ind w:left="2130"/>
              <w:spacing w:after="0"/>
              <w:rPr>
                <w:sz w:val="20"/>
                <w:szCs w:val="20"/>
                <w:color w:val="auto"/>
              </w:rPr>
            </w:pPr>
            <w:r>
              <w:rPr>
                <w:rFonts w:ascii="Arial" w:cs="Arial" w:eastAsia="Arial" w:hAnsi="Arial"/>
                <w:sz w:val="18"/>
                <w:szCs w:val="18"/>
                <w:color w:val="auto"/>
                <w:w w:val="88"/>
              </w:rPr>
              <w:t>63%</w:t>
            </w:r>
          </w:p>
        </w:tc>
        <w:tc>
          <w:tcPr>
            <w:tcW w:w="1300" w:type="dxa"/>
            <w:vAlign w:val="bottom"/>
            <w:gridSpan w:val="2"/>
            <w:shd w:val="clear" w:color="auto" w:fill="CCEEFF"/>
          </w:tcPr>
          <w:p>
            <w:pPr>
              <w:jc w:val="center"/>
              <w:ind w:left="474"/>
              <w:spacing w:after="0"/>
              <w:rPr>
                <w:sz w:val="20"/>
                <w:szCs w:val="20"/>
                <w:color w:val="auto"/>
              </w:rPr>
            </w:pPr>
            <w:r>
              <w:rPr>
                <w:rFonts w:ascii="Arial" w:cs="Arial" w:eastAsia="Arial" w:hAnsi="Arial"/>
                <w:sz w:val="18"/>
                <w:szCs w:val="18"/>
                <w:color w:val="auto"/>
                <w:w w:val="91"/>
              </w:rPr>
              <w:t>100%</w:t>
            </w:r>
          </w:p>
        </w:tc>
        <w:tc>
          <w:tcPr>
            <w:tcW w:w="168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4"/>
              </w:rPr>
              <w:t>63%</w:t>
            </w: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Weighted average expected life</w:t>
            </w:r>
          </w:p>
        </w:tc>
        <w:tc>
          <w:tcPr>
            <w:tcW w:w="220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w w:val="85"/>
              </w:rPr>
              <w:t>6.08 years</w:t>
            </w:r>
          </w:p>
        </w:tc>
        <w:tc>
          <w:tcPr>
            <w:tcW w:w="540" w:type="dxa"/>
            <w:vAlign w:val="bottom"/>
          </w:tcPr>
          <w:p>
            <w:pPr>
              <w:spacing w:after="0"/>
              <w:rPr>
                <w:sz w:val="20"/>
                <w:szCs w:val="20"/>
                <w:color w:val="auto"/>
              </w:rPr>
            </w:pPr>
          </w:p>
        </w:tc>
        <w:tc>
          <w:tcPr>
            <w:tcW w:w="760" w:type="dxa"/>
            <w:vAlign w:val="bottom"/>
          </w:tcPr>
          <w:p>
            <w:pPr>
              <w:ind w:left="20"/>
              <w:spacing w:after="0"/>
              <w:rPr>
                <w:sz w:val="20"/>
                <w:szCs w:val="20"/>
                <w:color w:val="auto"/>
              </w:rPr>
            </w:pPr>
            <w:r>
              <w:rPr>
                <w:rFonts w:ascii="Arial" w:cs="Arial" w:eastAsia="Arial" w:hAnsi="Arial"/>
                <w:sz w:val="18"/>
                <w:szCs w:val="18"/>
                <w:color w:val="auto"/>
                <w:w w:val="85"/>
              </w:rPr>
              <w:t>4.00 years</w:t>
            </w:r>
          </w:p>
        </w:tc>
        <w:tc>
          <w:tcPr>
            <w:tcW w:w="540" w:type="dxa"/>
            <w:vAlign w:val="bottom"/>
          </w:tcPr>
          <w:p>
            <w:pPr>
              <w:spacing w:after="0"/>
              <w:rPr>
                <w:sz w:val="20"/>
                <w:szCs w:val="20"/>
                <w:color w:val="auto"/>
              </w:rPr>
            </w:pPr>
          </w:p>
        </w:tc>
        <w:tc>
          <w:tcPr>
            <w:tcW w:w="1680" w:type="dxa"/>
            <w:vAlign w:val="bottom"/>
            <w:gridSpan w:val="2"/>
          </w:tcPr>
          <w:p>
            <w:pPr>
              <w:ind w:left="200"/>
              <w:spacing w:after="0"/>
              <w:rPr>
                <w:sz w:val="20"/>
                <w:szCs w:val="20"/>
                <w:color w:val="auto"/>
              </w:rPr>
            </w:pPr>
            <w:r>
              <w:rPr>
                <w:rFonts w:ascii="Arial" w:cs="Arial" w:eastAsia="Arial" w:hAnsi="Arial"/>
                <w:sz w:val="18"/>
                <w:szCs w:val="18"/>
                <w:color w:val="auto"/>
              </w:rPr>
              <w:t>6.08 years</w:t>
            </w:r>
          </w:p>
        </w:tc>
        <w:tc>
          <w:tcPr>
            <w:tcW w:w="1000" w:type="dxa"/>
            <w:vAlign w:val="bottom"/>
          </w:tcPr>
          <w:p>
            <w:pPr>
              <w:ind w:left="140"/>
              <w:spacing w:after="0"/>
              <w:rPr>
                <w:sz w:val="20"/>
                <w:szCs w:val="20"/>
                <w:color w:val="auto"/>
              </w:rPr>
            </w:pPr>
            <w:r>
              <w:rPr>
                <w:rFonts w:ascii="Arial" w:cs="Arial" w:eastAsia="Arial" w:hAnsi="Arial"/>
                <w:sz w:val="18"/>
                <w:szCs w:val="18"/>
                <w:color w:val="auto"/>
                <w:w w:val="99"/>
              </w:rPr>
              <w:t>4.00 years</w:t>
            </w:r>
          </w:p>
        </w:tc>
      </w:tr>
      <w:tr>
        <w:trPr>
          <w:trHeight w:val="391"/>
        </w:trPr>
        <w:tc>
          <w:tcPr>
            <w:tcW w:w="3960" w:type="dxa"/>
            <w:vAlign w:val="bottom"/>
          </w:tcPr>
          <w:p>
            <w:pPr>
              <w:spacing w:after="0"/>
              <w:rPr>
                <w:sz w:val="24"/>
                <w:szCs w:val="24"/>
                <w:color w:val="auto"/>
              </w:rPr>
            </w:pPr>
          </w:p>
        </w:tc>
        <w:tc>
          <w:tcPr>
            <w:tcW w:w="2200" w:type="dxa"/>
            <w:vAlign w:val="bottom"/>
          </w:tcPr>
          <w:p>
            <w:pPr>
              <w:jc w:val="right"/>
              <w:ind w:right="310"/>
              <w:spacing w:after="0"/>
              <w:rPr>
                <w:sz w:val="20"/>
                <w:szCs w:val="20"/>
                <w:color w:val="auto"/>
              </w:rPr>
            </w:pPr>
            <w:r>
              <w:rPr>
                <w:rFonts w:ascii="Arial" w:cs="Arial" w:eastAsia="Arial" w:hAnsi="Arial"/>
                <w:sz w:val="18"/>
                <w:szCs w:val="18"/>
                <w:color w:val="auto"/>
              </w:rPr>
              <w:t>9</w:t>
            </w: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6"/>
        </w:trPr>
        <w:tc>
          <w:tcPr>
            <w:tcW w:w="3960" w:type="dxa"/>
            <w:vAlign w:val="bottom"/>
            <w:tcBorders>
              <w:bottom w:val="single" w:sz="8" w:color="808080"/>
            </w:tcBorders>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Total stock-based compensation expense (benefit) recognized in the accompanying statements of operations is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6"/>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2006</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2005</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2006</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Employee-related</w:t>
            </w:r>
          </w:p>
        </w:tc>
        <w:tc>
          <w:tcPr>
            <w:tcW w:w="2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(2,460)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7,263</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Non-Employee-related</w:t>
            </w: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118</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234</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3,786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(2,342)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7,497</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Equity Incentive Plan</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Company’s 2004 Equity Incentive Plan (the “Plan”) provides for the granting of stock awards including stock options and restricted stock units, to employees, directors and consultants.</w:t>
      </w:r>
    </w:p>
    <w:p>
      <w:pPr>
        <w:spacing w:after="0" w:line="6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Company’s board of directors determines eligibility, vesting schedules and exercise prices for stock awards granted under the Plan. Options and other stock awards under the Plan expire not more than ten years from the date of the grant and are exercisable upon vesting. Stock options generally vest over four years. Current stock option grants vest and become exercisable at the rate of 25% after one year and ratably on a monthly basis over a period of 36 months thereafter. Restricted stock units generally vest over four years with consideration satisfied by service to the Company. The Plan provides for full acceleration of vesting if an employee is terminated within thirteen months of a change in control, as defined.</w:t>
      </w:r>
    </w:p>
    <w:p>
      <w:pPr>
        <w:spacing w:after="0" w:line="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February 16, 2006, the Company granted new hire stock options to purchase 153,480 shares of common stock at an exercise price of $16.13 per share and granted 247,554 restricted stock units. The options were valued at $10.03 per option share and restricted stock units were valued at $16.13 per share, which was the fair market value of the common stock on the grant date. The compensation cost of the awards of approximately $5.1 million is being expensed over the requisite service periods of the awards.</w:t>
      </w:r>
    </w:p>
    <w:p>
      <w:pPr>
        <w:spacing w:after="0" w:line="7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May 25, 2006, the Company’s board of directors approved new hire and promotion stock option grants to purchase 221,330 shares of common stock at an exercise price of $17.00 per share. The Company’s board of directors also granted 177,703 restricted stock units. The options were valued at $10.65 per option share and restricted stock units were valued at $17.00 per share, which was the fair market value of the common stock on the grant date. The compensation cost of the awards of approximately $5.4 million is being expensed over the requisite service periods of the awards.</w:t>
      </w:r>
    </w:p>
    <w:p>
      <w:pPr>
        <w:spacing w:after="0" w:line="63"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May 2006, the Company’s stockholders approved an increase of 4.0 million shares in the number of shares reserved under the Plan for future issuance. As of June 30, 2006, 4,291,127 options and 578,449 restricted stock units were outstanding under the Plan and an additional 3,805,176 shares of common stock were available for issuance under the Plan.</w:t>
      </w:r>
    </w:p>
    <w:p>
      <w:pPr>
        <w:spacing w:after="0" w:line="7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During 2004, the Company’s board of directors and stockholders approved the 2004 Non-Employee Directors’ Stock Option Plan. The plan provides for the automatic, non-discretionary grant of options to the Company’s non-employee directors. Options to purchase 70,000 shares of common stock were automatically granted on May 25, 2006, the day of the annual stockholders meeting, to non-employee directors pursuant to the 2004 Non-Employee Directors’ Stock Option Plan. The corresponding compensation cost of the awards approximated $0.7 million, which is being expensed over the requisite service periods of the awards. As of June 30, 2006, 337,500 options were outstanding under the plan and an additional 462,500 shares of common stock were available for issuance under the plan.</w:t>
      </w:r>
    </w:p>
    <w:p>
      <w:pPr>
        <w:spacing w:after="0" w:line="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has two other stock award plans: the 1991 Stock Option Plan (the “1991 Plan”) and the 1999 Stock Plan (the “1999 Plan”). Both of these plans provide for the granting of stock options to directors, employees and consultants. As of June 30, 2006, 73,084 options were outstanding under the 1991 Plan and 170,695 options were outstanding under the 1999 Plan. There were no additional shares available for issuance under the 1991 Plan or the 1999 Plan at June 30, 2006.</w:t>
      </w:r>
    </w:p>
    <w:p>
      <w:pPr>
        <w:spacing w:after="0" w:line="7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Prior to the merger of CTL and AlleCure into the Company, CTL had granted options to purchase shares of its common stock under its 2000 Stock Option and Stock Plan (the “CTL Plan”). Similarly, AlleCure had granted options to purchase shares of its common stock under its 2000 Stock Option and Stock Plan (the “AlleCure Plan”). Pursuant to the plans of reorganization and agreements of merger between the Company and each of CTL and AlleCure, the Company has assumed the obligation to issue shares of the Company’s common stock, at the exchange ratio agreed to in the merger agreement, upon the exercise of options granted under the CTL Plan and the AlleCure Plan. After the merger date, no further options were granted under either the CTL Plan or AlleCure Plan. As of June 30, 2006 there were an aggregate of 45,801 options outstanding under these plans.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During the year ended December 31, 2002, the Company’s board of directors granted 240,972 options at an exercise price of $25.23 per share to an employee who is the principal stockholder. The options vest annually over four years. These options, which were not under any plan, were outstanding at June 30, 2006 and are included in the tables below.</w:t>
      </w:r>
    </w:p>
    <w:p>
      <w:pPr>
        <w:spacing w:after="0" w:line="7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 summary of option activity as of March 31, 2006 and June 30, 2006, and changes during each of the three months ended March 31, 2006 and June 30, 2006,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50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4"/>
              </w:rPr>
              <w:t>Number</w:t>
            </w:r>
          </w:p>
        </w:tc>
        <w:tc>
          <w:tcPr>
            <w:tcW w:w="13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8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3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Exercise</w:t>
            </w: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Remaining</w:t>
            </w:r>
          </w:p>
        </w:tc>
        <w:tc>
          <w:tcPr>
            <w:tcW w:w="3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5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of</w:t>
            </w:r>
          </w:p>
        </w:tc>
        <w:tc>
          <w:tcPr>
            <w:tcW w:w="13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2"/>
              </w:rPr>
              <w:t>Price Per</w:t>
            </w: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6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c>
          <w:tcPr>
            <w:tcW w:w="6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5"/>
              </w:rPr>
              <w:t>Term (Years)</w:t>
            </w:r>
          </w:p>
        </w:tc>
        <w:tc>
          <w:tcPr>
            <w:tcW w:w="320" w:type="dxa"/>
            <w:vAlign w:val="bottom"/>
          </w:tcPr>
          <w:p>
            <w:pPr>
              <w:spacing w:after="0"/>
              <w:rPr>
                <w:sz w:val="14"/>
                <w:szCs w:val="14"/>
                <w:color w:val="auto"/>
              </w:rPr>
            </w:pPr>
          </w:p>
        </w:tc>
        <w:tc>
          <w:tcPr>
            <w:tcW w:w="1200" w:type="dxa"/>
            <w:vAlign w:val="bottom"/>
            <w:gridSpan w:val="4"/>
          </w:tcPr>
          <w:p>
            <w:pPr>
              <w:ind w:left="340"/>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2006</w:t>
            </w:r>
          </w:p>
        </w:tc>
        <w:tc>
          <w:tcPr>
            <w:tcW w:w="2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4,985,831</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  12.40</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200"/>
              <w:spacing w:after="0"/>
              <w:rPr>
                <w:sz w:val="20"/>
                <w:szCs w:val="20"/>
                <w:color w:val="auto"/>
              </w:rPr>
            </w:pPr>
            <w:r>
              <w:rPr>
                <w:rFonts w:ascii="Arial" w:cs="Arial" w:eastAsia="Arial" w:hAnsi="Arial"/>
                <w:sz w:val="18"/>
                <w:szCs w:val="18"/>
                <w:color w:val="auto"/>
              </w:rPr>
              <w:t>Granted</w:t>
            </w:r>
          </w:p>
        </w:tc>
        <w:tc>
          <w:tcPr>
            <w:tcW w:w="3800" w:type="dxa"/>
            <w:vAlign w:val="bottom"/>
            <w:gridSpan w:val="3"/>
          </w:tcPr>
          <w:p>
            <w:pPr>
              <w:jc w:val="right"/>
              <w:ind w:right="660"/>
              <w:spacing w:after="0"/>
              <w:rPr>
                <w:sz w:val="20"/>
                <w:szCs w:val="20"/>
                <w:color w:val="auto"/>
              </w:rPr>
            </w:pPr>
            <w:r>
              <w:rPr>
                <w:rFonts w:ascii="Arial" w:cs="Arial" w:eastAsia="Arial" w:hAnsi="Arial"/>
                <w:sz w:val="18"/>
                <w:szCs w:val="18"/>
                <w:color w:val="auto"/>
              </w:rPr>
              <w:t>153,480</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16.13</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38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(59,878)</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9.41</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3800" w:type="dxa"/>
            <w:vAlign w:val="bottom"/>
            <w:gridSpan w:val="3"/>
          </w:tcPr>
          <w:p>
            <w:pPr>
              <w:jc w:val="right"/>
              <w:ind w:right="600"/>
              <w:spacing w:after="0"/>
              <w:rPr>
                <w:sz w:val="20"/>
                <w:szCs w:val="20"/>
                <w:color w:val="auto"/>
              </w:rPr>
            </w:pPr>
            <w:r>
              <w:rPr>
                <w:rFonts w:ascii="Arial" w:cs="Arial" w:eastAsia="Arial" w:hAnsi="Arial"/>
                <w:sz w:val="18"/>
                <w:szCs w:val="18"/>
                <w:color w:val="auto"/>
              </w:rPr>
              <w:t>(93,120)</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12.79</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Expired</w:t>
            </w:r>
          </w:p>
        </w:tc>
        <w:tc>
          <w:tcPr>
            <w:tcW w:w="38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(37,903)</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19.97</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gridSpan w:val="2"/>
          </w:tcPr>
          <w:p>
            <w:pPr>
              <w:spacing w:after="0"/>
              <w:rPr>
                <w:sz w:val="20"/>
                <w:szCs w:val="20"/>
                <w:color w:val="auto"/>
              </w:rPr>
            </w:pPr>
            <w:r>
              <w:rPr>
                <w:rFonts w:ascii="Arial" w:cs="Arial" w:eastAsia="Arial" w:hAnsi="Arial"/>
                <w:sz w:val="18"/>
                <w:szCs w:val="18"/>
                <w:color w:val="auto"/>
              </w:rPr>
              <w:t>Outstanding at March 31, 2006</w:t>
            </w:r>
          </w:p>
        </w:tc>
        <w:tc>
          <w:tcPr>
            <w:tcW w:w="23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4,948,410</w:t>
            </w:r>
          </w:p>
        </w:tc>
        <w:tc>
          <w:tcPr>
            <w:tcW w:w="660" w:type="dxa"/>
            <w:vAlign w:val="bottom"/>
          </w:tcPr>
          <w:p>
            <w:pPr>
              <w:spacing w:after="0"/>
              <w:rPr>
                <w:sz w:val="19"/>
                <w:szCs w:val="19"/>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12.48</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7.3</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39,389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Granted</w:t>
            </w:r>
          </w:p>
        </w:tc>
        <w:tc>
          <w:tcPr>
            <w:tcW w:w="38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291,330</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17.00</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200"/>
              <w:spacing w:after="0"/>
              <w:rPr>
                <w:sz w:val="20"/>
                <w:szCs w:val="20"/>
                <w:color w:val="auto"/>
              </w:rPr>
            </w:pPr>
            <w:r>
              <w:rPr>
                <w:rFonts w:ascii="Arial" w:cs="Arial" w:eastAsia="Arial" w:hAnsi="Arial"/>
                <w:sz w:val="18"/>
                <w:szCs w:val="18"/>
                <w:color w:val="auto"/>
              </w:rPr>
              <w:t>Exercised</w:t>
            </w:r>
          </w:p>
        </w:tc>
        <w:tc>
          <w:tcPr>
            <w:tcW w:w="3800" w:type="dxa"/>
            <w:vAlign w:val="bottom"/>
            <w:gridSpan w:val="3"/>
          </w:tcPr>
          <w:p>
            <w:pPr>
              <w:jc w:val="right"/>
              <w:ind w:right="600"/>
              <w:spacing w:after="0"/>
              <w:rPr>
                <w:sz w:val="20"/>
                <w:szCs w:val="20"/>
                <w:color w:val="auto"/>
              </w:rPr>
            </w:pPr>
            <w:r>
              <w:rPr>
                <w:rFonts w:ascii="Arial" w:cs="Arial" w:eastAsia="Arial" w:hAnsi="Arial"/>
                <w:sz w:val="18"/>
                <w:szCs w:val="18"/>
                <w:color w:val="auto"/>
              </w:rPr>
              <w:t>(17,685)</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10.74</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Forfeited</w:t>
            </w:r>
          </w:p>
        </w:tc>
        <w:tc>
          <w:tcPr>
            <w:tcW w:w="38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(53,412)</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14.84</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200"/>
              <w:spacing w:after="0"/>
              <w:rPr>
                <w:sz w:val="20"/>
                <w:szCs w:val="20"/>
                <w:color w:val="auto"/>
              </w:rPr>
            </w:pPr>
            <w:r>
              <w:rPr>
                <w:rFonts w:ascii="Arial" w:cs="Arial" w:eastAsia="Arial" w:hAnsi="Arial"/>
                <w:sz w:val="18"/>
                <w:szCs w:val="18"/>
                <w:color w:val="auto"/>
              </w:rPr>
              <w:t>Expired</w:t>
            </w:r>
          </w:p>
        </w:tc>
        <w:tc>
          <w:tcPr>
            <w:tcW w:w="2300" w:type="dxa"/>
            <w:vAlign w:val="bottom"/>
          </w:tcPr>
          <w:p>
            <w:pPr>
              <w:spacing w:after="0"/>
              <w:rPr>
                <w:sz w:val="18"/>
                <w:szCs w:val="18"/>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(9,461)</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11.09</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2006</w:t>
            </w:r>
          </w:p>
        </w:tc>
        <w:tc>
          <w:tcPr>
            <w:tcW w:w="2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5,159,182</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12.72</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Exercisable at June 30, 2006</w:t>
            </w:r>
          </w:p>
        </w:tc>
        <w:tc>
          <w:tcPr>
            <w:tcW w:w="3800" w:type="dxa"/>
            <w:vAlign w:val="bottom"/>
            <w:gridSpan w:val="3"/>
          </w:tcPr>
          <w:p>
            <w:pPr>
              <w:jc w:val="right"/>
              <w:ind w:right="660"/>
              <w:spacing w:after="0"/>
              <w:rPr>
                <w:sz w:val="20"/>
                <w:szCs w:val="20"/>
                <w:color w:val="auto"/>
              </w:rPr>
            </w:pPr>
            <w:r>
              <w:rPr>
                <w:rFonts w:ascii="Arial" w:cs="Arial" w:eastAsia="Arial" w:hAnsi="Arial"/>
                <w:sz w:val="18"/>
                <w:szCs w:val="18"/>
                <w:color w:val="auto"/>
              </w:rPr>
              <w:t>2,180,972</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11.81</w:t>
            </w: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300" w:type="dxa"/>
            <w:vAlign w:val="bottom"/>
          </w:tcPr>
          <w:p>
            <w:pPr>
              <w:jc w:val="right"/>
              <w:ind w:right="350"/>
              <w:spacing w:after="0"/>
              <w:rPr>
                <w:sz w:val="20"/>
                <w:szCs w:val="20"/>
                <w:color w:val="auto"/>
              </w:rPr>
            </w:pPr>
            <w:r>
              <w:rPr>
                <w:rFonts w:ascii="Arial" w:cs="Arial" w:eastAsia="Arial" w:hAnsi="Arial"/>
                <w:sz w:val="18"/>
                <w:szCs w:val="18"/>
                <w:color w:val="auto"/>
              </w:rPr>
              <w:t>11</w:t>
            </w: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920" w:type="dxa"/>
            <w:vAlign w:val="bottom"/>
            <w:tcBorders>
              <w:bottom w:val="single" w:sz="8" w:color="808080"/>
            </w:tcBorders>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A summary of restricted stock units activity as of March 31, 2006 and June 30, 2006, and changes during each of the three months ended March 31, 2006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2006, is presented below:</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36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2"/>
                <w:szCs w:val="12"/>
                <w:color w:val="auto"/>
              </w:rPr>
            </w:pPr>
          </w:p>
        </w:tc>
        <w:tc>
          <w:tcPr>
            <w:tcW w:w="12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8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6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Remaining</w:t>
            </w:r>
          </w:p>
        </w:tc>
        <w:tc>
          <w:tcPr>
            <w:tcW w:w="3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of</w:t>
            </w:r>
          </w:p>
        </w:tc>
        <w:tc>
          <w:tcPr>
            <w:tcW w:w="136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66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6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Term (Years)</w:t>
            </w:r>
          </w:p>
        </w:tc>
        <w:tc>
          <w:tcPr>
            <w:tcW w:w="340" w:type="dxa"/>
            <w:vAlign w:val="bottom"/>
          </w:tcPr>
          <w:p>
            <w:pPr>
              <w:spacing w:after="0"/>
              <w:rPr>
                <w:sz w:val="14"/>
                <w:szCs w:val="14"/>
                <w:color w:val="auto"/>
              </w:rPr>
            </w:pPr>
          </w:p>
        </w:tc>
        <w:tc>
          <w:tcPr>
            <w:tcW w:w="1200" w:type="dxa"/>
            <w:vAlign w:val="bottom"/>
            <w:gridSpan w:val="4"/>
          </w:tcPr>
          <w:p>
            <w:pPr>
              <w:ind w:left="340"/>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164,901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11.00</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247,554</w:t>
            </w: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16.13</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Forfeited</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(6,719)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11.41</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color w:val="auto"/>
              </w:rPr>
              <w:t>Outstanding at March 31, 2006</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405,736</w:t>
            </w:r>
          </w:p>
        </w:tc>
        <w:tc>
          <w:tcPr>
            <w:tcW w:w="6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14.12</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9.6</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Granted</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177,703</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17.00</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(4,990)</w:t>
            </w:r>
          </w:p>
        </w:tc>
        <w:tc>
          <w:tcPr>
            <w:tcW w:w="100" w:type="dxa"/>
            <w:vAlign w:val="bottom"/>
          </w:tcPr>
          <w:p>
            <w:pPr>
              <w:spacing w:after="0"/>
              <w:rPr>
                <w:sz w:val="19"/>
                <w:szCs w:val="19"/>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13.06</w:t>
            </w: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2006</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578,449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15.02</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Exercisable at June 30, 2006</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The weighted-average grant-date fair value per share of options granted during the three months ended June 30, 2005 and 2006 was $8.83 and $10.65,</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respectively. The total intrinsic value of options exercised during the three months ended June 30, 2005 and 2006 was approximately $0.1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$0.2 million, respectively. The total fair value of options vested during the three months ended June 30, 2006 and 2005 was $2.3 million and $2.3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respectively. Cash received from the exercise of options during the three months ended June 30, 2006 and 2005 was approximately $0.2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$0.1 million, respectively.</w:t>
      </w:r>
    </w:p>
    <w:p>
      <w:pPr>
        <w:spacing w:after="0" w:line="10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 summary of the status of the Company’s nonvested shares, excluding restricted stock units, as of March 31, 2006 and June 30, 2006, and changes during each of the three months ended March 31, 2006 and June 30, 2006,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150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94"/>
              </w:rPr>
              <w:t>Number</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15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of</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6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Per Share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2006</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9"/>
              </w:rPr>
              <w:t>3,048,631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13.06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Granted</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153,480</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(151,504)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(93,120)</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Nonvested at March 31, 2006</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9"/>
              </w:rPr>
              <w:t>2,957,487</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vMerge w:val="restart"/>
          </w:tcPr>
          <w:p>
            <w:pPr>
              <w:ind w:left="200"/>
              <w:spacing w:after="0"/>
              <w:rPr>
                <w:sz w:val="20"/>
                <w:szCs w:val="20"/>
                <w:color w:val="auto"/>
              </w:rPr>
            </w:pPr>
            <w:r>
              <w:rPr>
                <w:rFonts w:ascii="Arial" w:cs="Arial" w:eastAsia="Arial" w:hAnsi="Arial"/>
                <w:sz w:val="18"/>
                <w:szCs w:val="18"/>
                <w:color w:val="auto"/>
              </w:rPr>
              <w:t>Granted</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vMerge w:val="continue"/>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291,330</w:t>
            </w:r>
          </w:p>
        </w:tc>
        <w:tc>
          <w:tcPr>
            <w:tcW w:w="68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(217,194)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(53,413)</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Nonvested at June 30, 2006</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9"/>
              </w:rPr>
              <w:t>2,978,210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status of the Company’s restricted stock units, as of March 31, 2006 and June 30, 2006, and changes during each of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2006 and June 30, 2006, is presented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38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8"/>
              </w:rPr>
              <w:t>Number</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3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of</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6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Per Share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2006</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164,901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11.00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247,554</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(6,719)</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color w:val="auto"/>
              </w:rPr>
              <w:t>Nonvested at March 31, 2006</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405,736</w:t>
            </w:r>
          </w:p>
        </w:tc>
        <w:tc>
          <w:tcPr>
            <w:tcW w:w="6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Granted</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177,703</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(4,990)</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Nonvested at June 30, 2006</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578,449</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June 30, 2006, there was $21.1 million and $6.9 million of unrecognized compensation cost related to options and restricted stock units, respectively, which is expected to be recognized over the weighted average vesting period of 2.7 years.</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March 2004, the Company’s board of directors approved the 2004 Employee Stock Purchase Plan. The aggregate number of shares that may be sold under the plan is 2,000,000 shares of common stock. On January 1 of each year, for a period of ten years beginning</w:t>
      </w:r>
    </w:p>
    <w:p>
      <w:pPr>
        <w:sectPr>
          <w:pgSz w:w="11900" w:h="16838" w:orient="portrait"/>
          <w:cols w:equalWidth="0" w:num="1">
            <w:col w:w="11420"/>
          </w:cols>
          <w:pgMar w:left="240" w:top="419" w:right="239"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January 1, 2005, the share reserve automatically increases by the lesser of: 700,000 shares, 1% of the total number of shares of common stock outstanding on that date, or an amount as may be determined by the board of directors. However, under no event can the annual increase cause the total number of shares reserved under the purchase plan to exceed 10% of the total number of shares of capital stock outstanding on December 31 of the prior year. On January 1, 2005 and 2006, the purchase plan share reserve was increased by 327,562 and 503,141 shares, respectively. For the six months ended June 30, 2005 and 2006, the Company sold 28,878 and 50,894, respectively, of its common stock to employees participating in the plan.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common share</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Basic net loss per share excludes dilution for potentially dilutive securities and is computed by dividing loss applicable to common stockholders by the weighted average number of common shares outstanding during the period. Diluted net loss per share reflects the potential dilution that could occur if securities or other contracts to issue common stock were exercised or converted into common stock. Potentially dilutive securities are excluded from the computation of diluted net loss per share for all of the periods presented in the accompanying statements of operations because the reported net loss in each of these periods results in their inclusion being antidilutive. Antidilutive securities, which consist of stock options, restricted stock units and warrants, that are not included in the diluted net loss per share calculation consisted of an aggregate of 5,750,067 shares and 4,497,904 shares as of June 30, 2006 and 2005,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State research and development credit exchange receivable</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State of Connecticut provides certain companies with the opportunity to exchange eligible research and development income tax credit carryforwards for cash in exchange for forgoing the carryforward of the research and development income tax credits. The program provides for an exchange of research and development income tax credits for cash equal to 65% of the value of corporation tax credit available for exchange. Estimated amounts receivable under the program are recorded as a reduction of research and development expenses. At June 30, 2006, the estimated amount receivable under the program was $3.6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 (dollar amounts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3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2"/>
              </w:rPr>
              <w:t>Estimated</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360" w:type="dxa"/>
            <w:vAlign w:val="bottom"/>
          </w:tcPr>
          <w:p>
            <w:pPr>
              <w:spacing w:after="0"/>
              <w:rPr>
                <w:sz w:val="12"/>
                <w:szCs w:val="12"/>
                <w:color w:val="auto"/>
              </w:rPr>
            </w:pPr>
          </w:p>
        </w:tc>
        <w:tc>
          <w:tcPr>
            <w:tcW w:w="13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Useful</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60" w:type="dxa"/>
            <w:vAlign w:val="bottom"/>
          </w:tcPr>
          <w:p>
            <w:pPr>
              <w:spacing w:after="0"/>
              <w:rPr>
                <w:sz w:val="12"/>
                <w:szCs w:val="12"/>
                <w:color w:val="auto"/>
              </w:rPr>
            </w:pPr>
          </w:p>
        </w:tc>
        <w:tc>
          <w:tcPr>
            <w:tcW w:w="13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rPr>
              <w:t>Life</w:t>
            </w:r>
          </w:p>
        </w:tc>
        <w:tc>
          <w:tcPr>
            <w:tcW w:w="11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June 30, 2006</w:t>
            </w:r>
          </w:p>
        </w:tc>
        <w:tc>
          <w:tcPr>
            <w:tcW w:w="1560" w:type="dxa"/>
            <w:vAlign w:val="bottom"/>
            <w:gridSpan w:val="4"/>
            <w:vMerge w:val="restart"/>
          </w:tcPr>
          <w:p>
            <w:pPr>
              <w:jc w:val="right"/>
              <w:ind w:right="100"/>
              <w:spacing w:after="0"/>
              <w:rPr>
                <w:sz w:val="20"/>
                <w:szCs w:val="20"/>
                <w:color w:val="auto"/>
              </w:rPr>
            </w:pPr>
            <w:r>
              <w:rPr>
                <w:rFonts w:ascii="Arial" w:cs="Arial" w:eastAsia="Arial" w:hAnsi="Arial"/>
                <w:sz w:val="14"/>
                <w:szCs w:val="14"/>
                <w:b w:val="1"/>
                <w:bCs w:val="1"/>
                <w:color w:val="auto"/>
              </w:rPr>
              <w:t>December 31, 2005</w:t>
            </w:r>
          </w:p>
        </w:tc>
        <w:tc>
          <w:tcPr>
            <w:tcW w:w="0" w:type="dxa"/>
            <w:vAlign w:val="bottom"/>
          </w:tcPr>
          <w:p>
            <w:pPr>
              <w:spacing w:after="0"/>
              <w:rPr>
                <w:sz w:val="1"/>
                <w:szCs w:val="1"/>
                <w:color w:val="auto"/>
              </w:rPr>
            </w:pPr>
          </w:p>
        </w:tc>
      </w:tr>
      <w:tr>
        <w:trPr>
          <w:trHeight w:val="171"/>
        </w:trPr>
        <w:tc>
          <w:tcPr>
            <w:tcW w:w="73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(years)</w:t>
            </w:r>
          </w:p>
        </w:tc>
        <w:tc>
          <w:tcPr>
            <w:tcW w:w="640" w:type="dxa"/>
            <w:vAlign w:val="bottom"/>
          </w:tcPr>
          <w:p>
            <w:pPr>
              <w:spacing w:after="0"/>
              <w:rPr>
                <w:sz w:val="14"/>
                <w:szCs w:val="14"/>
                <w:color w:val="auto"/>
              </w:rPr>
            </w:pPr>
          </w:p>
        </w:tc>
        <w:tc>
          <w:tcPr>
            <w:tcW w:w="1180" w:type="dxa"/>
            <w:vAlign w:val="bottom"/>
            <w:gridSpan w:val="4"/>
            <w:vMerge w:val="continue"/>
          </w:tcPr>
          <w:p>
            <w:pPr>
              <w:spacing w:after="0"/>
              <w:rPr>
                <w:sz w:val="14"/>
                <w:szCs w:val="14"/>
                <w:color w:val="auto"/>
              </w:rPr>
            </w:pPr>
          </w:p>
        </w:tc>
        <w:tc>
          <w:tcPr>
            <w:tcW w:w="15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5,273</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Buildings</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39-40</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9,566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9,566</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Building improvements</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5-40</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43,480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39,543</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3-10</w:t>
            </w: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25,901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23,087</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5-10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5,382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4,808</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13,560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10,298</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Deposits on equipment</w:t>
            </w: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6,411</w:t>
            </w:r>
          </w:p>
        </w:tc>
        <w:tc>
          <w:tcPr>
            <w:tcW w:w="0" w:type="dxa"/>
            <w:vAlign w:val="bottom"/>
          </w:tcPr>
          <w:p>
            <w:pPr>
              <w:spacing w:after="0"/>
              <w:rPr>
                <w:sz w:val="1"/>
                <w:szCs w:val="1"/>
                <w:color w:val="auto"/>
              </w:rPr>
            </w:pPr>
          </w:p>
        </w:tc>
      </w:tr>
      <w:tr>
        <w:trPr>
          <w:trHeight w:val="223"/>
        </w:trPr>
        <w:tc>
          <w:tcPr>
            <w:tcW w:w="7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112,656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101,564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(29,466)</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(25,381)</w:t>
            </w:r>
          </w:p>
        </w:tc>
        <w:tc>
          <w:tcPr>
            <w:tcW w:w="0" w:type="dxa"/>
            <w:vAlign w:val="bottom"/>
          </w:tcPr>
          <w:p>
            <w:pPr>
              <w:spacing w:after="0"/>
              <w:rPr>
                <w:sz w:val="1"/>
                <w:szCs w:val="1"/>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Property and equipment — net</w:t>
            </w: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83,190</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and preferred stock</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is authorized to issue 90,000,000 shares of common stock, par value $0.01 per share, and 10,000,000 shares of undesignated preferred stock, par value $0.01 per share, issuable in one or more series designated by the Company’s board of directors. No other class of capital stock is authorized. As of June 30, 2006 and December 31, 2005, 49,698,064 and 50,314,108 shares of common stock, respectively, were issued and outstanding. No shares of preferred stock were issued and outstanding at June 30, 2006 and December 31, 2005.</w:t>
      </w:r>
    </w:p>
    <w:p>
      <w:pPr>
        <w:spacing w:after="0" w:line="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 xml:space="preserve">Registration rights </w:t>
      </w:r>
      <w:r>
        <w:rPr>
          <w:rFonts w:ascii="Arial" w:cs="Arial" w:eastAsia="Arial" w:hAnsi="Arial"/>
          <w:sz w:val="18"/>
          <w:szCs w:val="18"/>
          <w:color w:val="auto"/>
        </w:rPr>
        <w:t>— The holders of 17,132,000 shares of common stock together with warrants to purchase up to 3,426,000 shares of common stock, all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were issued in the August 2005 private placement, have rights that require the Company to keep the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registration of the shares of common stock purchased in the private placement or underlying warrants continuously effective until at least August 2007.</w:t>
      </w:r>
    </w:p>
    <w:p>
      <w:pPr>
        <w:spacing w:after="0" w:line="1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June 30, 2006 the holders of 916,715 shares of the Company’s common stock and the holders of warrants to purchase 12,436 shares of the Company’s common stock have rights, subject to some conditions, to require the Company to file registration statements covering their shares or to include their shares in registration statements that the Company may file for itself or other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Warrants</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During 1995 and 1996, the Company issued warrants to purchase shares of common stock. The warrants range in exercise price from $12.53 to $12.70 per share and expire at various dates through 2007. The warrants contain provisions for the adjustment of the exercise price and the number of shares issuable upon the exercise of the warrant in the event the Company declares any stock dividends or effects any stock split, reclassification or consolidation of its common stock. The warrants also contain a provision that provides for an adjustment to the exercise price and the number of shares issuable in the event that the Company issues securities for a per share price less than a specified price. As of June 30, 2006, warrants to purchase 12,436 shares of common stock at a weighted average exercise price of $12.66 per share are outstanding and exercisable.</w:t>
      </w:r>
    </w:p>
    <w:p>
      <w:pPr>
        <w:spacing w:after="0" w:line="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sale of common stock in the private placement which closed on August 5, 2005, the Company concurrently issued warrants to purchase up to 3,426,000 shares of common stock at an exercise price of $12.228 per share. These warrants became exercisable on February 1, 2006 and expire in August 2010. In the three months ended March 31, 2006, warrants for 979 shares were exercised for approximately $12,000 and 98,441 shares were issued upon the cashless warrant exercise of 254,528 warrant shares.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 xml:space="preserve">Guarantees and Indemnifications </w:t>
      </w:r>
      <w:r>
        <w:rPr>
          <w:rFonts w:ascii="Arial" w:cs="Arial" w:eastAsia="Arial" w:hAnsi="Arial"/>
          <w:sz w:val="16"/>
          <w:szCs w:val="16"/>
          <w:color w:val="auto"/>
        </w:rPr>
        <w:t>— In the ordinary course of its business, the Company makes certain indemnities, commitments and guarantees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consolidated balance sheets. However, the Company accrues for losses for any known contingent liability, including those that may arise from indemnification provisions, when future payment is probable. No such losses have been recorded to date.</w:t>
      </w:r>
    </w:p>
    <w:p>
      <w:pPr>
        <w:spacing w:after="0" w:line="5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 xml:space="preserve">Litigation </w:t>
      </w:r>
      <w:r>
        <w:rPr>
          <w:rFonts w:ascii="Arial" w:cs="Arial" w:eastAsia="Arial" w:hAnsi="Arial"/>
          <w:sz w:val="18"/>
          <w:szCs w:val="18"/>
          <w:color w:val="auto"/>
        </w:rPr>
        <w:t>— The Company is involved in various legal proceedings and other matters. In accordance with SFAS No. 5,</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Accounting for Contingencies</w:t>
      </w:r>
      <w:r>
        <w:rPr>
          <w:rFonts w:ascii="Arial" w:cs="Arial" w:eastAsia="Arial" w:hAnsi="Arial"/>
          <w:sz w:val="18"/>
          <w:szCs w:val="18"/>
          <w:color w:val="auto"/>
        </w:rPr>
        <w: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would record a provision for a liability when it is both probable that a liability has been incurred and the amount of the loss can be reasonably estimated.</w:t>
      </w:r>
    </w:p>
    <w:p>
      <w:pPr>
        <w:spacing w:after="0" w:line="73"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 xml:space="preserve">In May 2005, the Company’s former Chief Medical Officer filed a complaint against the Company in the California Superior Court, County of Los Angeles, </w:t>
      </w:r>
      <w:r>
        <w:rPr>
          <w:rFonts w:ascii="Arial" w:cs="Arial" w:eastAsia="Arial" w:hAnsi="Arial"/>
          <w:sz w:val="16"/>
          <w:szCs w:val="16"/>
          <w:i w:val="1"/>
          <w:iCs w:val="1"/>
          <w:color w:val="auto"/>
        </w:rPr>
        <w:t>Wayman Wendell Cheatham, M.D. v. MannKind Corporation</w:t>
      </w:r>
      <w:r>
        <w:rPr>
          <w:rFonts w:ascii="Arial" w:cs="Arial" w:eastAsia="Arial" w:hAnsi="Arial"/>
          <w:sz w:val="16"/>
          <w:szCs w:val="16"/>
          <w:color w:val="auto"/>
        </w:rPr>
        <w:t>, Case No. BC333845. The complaint alleges causes of action for wrongful termination in</w:t>
      </w:r>
      <w:r>
        <w:rPr>
          <w:rFonts w:ascii="Arial" w:cs="Arial" w:eastAsia="Arial" w:hAnsi="Arial"/>
          <w:sz w:val="16"/>
          <w:szCs w:val="16"/>
          <w:i w:val="1"/>
          <w:iCs w:val="1"/>
          <w:color w:val="auto"/>
        </w:rPr>
        <w:t xml:space="preserve"> </w:t>
      </w:r>
      <w:r>
        <w:rPr>
          <w:rFonts w:ascii="Arial" w:cs="Arial" w:eastAsia="Arial" w:hAnsi="Arial"/>
          <w:sz w:val="16"/>
          <w:szCs w:val="16"/>
          <w:color w:val="auto"/>
        </w:rPr>
        <w:t>violation of public policy, breach of contract and retaliation, in connection with the Company’s termination of Dr. Cheatham’s employment. In the complaint, Dr. Cheatham seeks compensatory, punitive and exemplary damages in excess of $2.0 million as well as reimbursement of attorneys’ fees. In June 2005, the Company answered the complaint, generally denying each of Dr. Cheatham’s allegations and asserting various defenses. The Company believes the allegations in the complaint are without merit and is vigorously defending against them. The Company also filed a cross-complaint against Dr. Cheatham, alleging claims for libel per se, trade libel, breach of contract, breach of the implied covenant of good faith and fair dealing and breach of the duty of loyalty. The libel claims allege that Dr. Cheatham made certain false and malicious statements about the Company in a letter to the Food and Drug Administration (“FDA”) with regard to a request by the Company to hold a meeting with the FDA. The remaining causes of action in the cross-complaint arise out of the Company’s allegations that Dr. Cheatham had an undisclosed consulting relationship with a Company competitor during his employment with the Company, in violation of his agreement with the Company. In July 2005, Dr. Cheatham filed a demurrer, and a motion to strike the Company’s cross-complaint under California’s anti-SLAPP statute. In September 2005, the California Superior Court overruled Dr. Cheatham’s demurrer and denied his motion to strike the Company’s cross-complaint. Dr. Cheatham has appealed the Court’s ruling denying his motion to strike. Discovery as to Dr. Cheatham’s claims against the Company is proceeding, and this case is currently scheduled for trial to</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commence in February 2007. The Company believes that the ultimate resolution of this matter will not have a material impact on the Company’s financial position or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August 2, 2006 the Company entered into a loan arrangement with its principal stockholder to borrow up to a total of $150.0 million in one or more advances at any time through August 2, 2007 that the Company’s cash balance falls below its projected cash requirements for the subsequent three month period, provided that each advance be no less than $50.0 million. The Company borrowed $50.0 million under the loan arrangement on August 2, 2006. Interest accrues on each outstanding advance at a rate equal to the one year LIBOR rate in effect on the day of such advance plus 3% per annum and is payable quarterly in arrears. The loan is unsecured and contains no financial covenants. There are no warrants associated with the loan nor is the loan convertible into the Company's stock. In the event of a default, all unpaid principal and interest becomes immediately due and payable and the interest rate increases to one year LIBOR calculated on the date of the initial advance or in effect on the date of default, whichever is greater, plus 5% per annum. Upon the closing of certain financing events, including equity and debt financings or strategic transactions with third parties, in which the Company receives cash proceeds of at least $100.0 million, the Company is required to repay all or a portion of the principal and accrued and unpaid interest under the note equal to the difference between the Company’s cash balance immediately following the financing event and its projected cash requirements for the six month period following the financing event.</w:t>
      </w:r>
    </w:p>
    <w:p>
      <w:pPr>
        <w:spacing w:after="0" w:line="1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i w:val="1"/>
          <w:iCs w:val="1"/>
          <w:color w:val="auto"/>
        </w:rPr>
        <w:t>The following discussion contains forward-looking statements, which involve risks and uncertainties. Our actual results could differ materially from those anticipated in these forward-looking statements as a result of various factors, including those set forth below in Part II, Item 1A Risk Factors and elsewhere in this quarterly report on Form 10-Q (this “Quarterly Report”). The interim financial statements and this Management’s Discussion and Analysis of Financial Condition and Results of Operations should be read in conjunction with the financial statements and notes for the year ended December 31, 2005 and the related Management’s Discussion and Analysis of Financial Condition and Results of Operations, both of which are contained in our Annual Report on Form 10-K filed pursuant to Section 13 of the Securities Exchange Act of 1934.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40"/>
        <w:spacing w:after="0" w:line="276" w:lineRule="auto"/>
        <w:rPr>
          <w:sz w:val="20"/>
          <w:szCs w:val="20"/>
          <w:color w:val="auto"/>
        </w:rPr>
      </w:pPr>
      <w:r>
        <w:rPr>
          <w:rFonts w:ascii="Arial" w:cs="Arial" w:eastAsia="Arial" w:hAnsi="Arial"/>
          <w:sz w:val="17"/>
          <w:szCs w:val="17"/>
          <w:color w:val="auto"/>
        </w:rPr>
        <w:t>MannKind Corporation is a biopharmaceutical company focused on the discovery, development and commercialization of therapeutic products for diseases such as diabetes and cancer. Our lead investigational product candidate, the Technosphere Insulin System, is currently in Phase 3 clinical trials in the United States and Europe to study its safety and efficacy in the treatment of diabetes. This therapy consists of a proprietary dry powder formulation of insulin that is inhaled into the deep lung using our proprietary inhaler. We believe that the performance characteristics, unique kinetics, convenience and ease of use of the Technosphere Insulin System may have the potential to change the way diabetes is treated.</w:t>
      </w:r>
    </w:p>
    <w:p>
      <w:pPr>
        <w:spacing w:after="0" w:line="6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particular, we have observed in our clinical trials to date that the Technosphere Insulin System produces a profile of insulin levels in the bloodstream that approximates the insulin profile normally seen in healthy individuals immediately following the beginning of a meal, but which is absent in all patients with diabetes. As a result, we believe that our Technosphere Insulin System will be beneficial not only for insulin-using diabetes patients but also for patients with type 2 diabetes who are currently using conventional therapies other than insulin. If further clinical trials support our initial observations, we believe the Technosphere Insulin System has the potential to be indicated for the treatment of type 2 diabetes after a patient has failed to respond adequately to diet and exercise. The use of insulin early in the progression of diabetes would represent a paradigm shift in the treatment of this disease.</w:t>
      </w:r>
    </w:p>
    <w:p>
      <w:pPr>
        <w:spacing w:after="0" w:line="5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 Phase 2 clinical trial conducted in the United States, the use of Technosphere Insulin at mealtimes significantly lowered blood glucose levels in patients with type 2 diabetes who previously were experiencing inadequate control of their disease. Even in patients with only mildly elevated blood glucose levels, we observed in this study that the typical risks of frequent or severe hypoglycemia generally associated with insulin therapy appear not to be associated with Technosphere Insulin, suggesting that our therapy may have a potential safety advantage over other currently available insulin therapies. In a European Phase 2 dosage-tolerance study, Technosphere Insulin was observed to improve glycemic control in a dose-dependent manner as measured by decreases in HbA1c levels and by reductions in glucose excursions following a meal. In addition, there was no indication of a negative effect on pulmonary function and no weight gain at any dose of Technosphere Insulin over 12 weeks of treatment.</w:t>
      </w:r>
    </w:p>
    <w:p>
      <w:pPr>
        <w:spacing w:after="0" w:line="7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Currently, we are enrolling patients in four major Phase 3 clinical trials, including a two-year pulmonary safety study that will compare the pulmonary function of patients with type 1 or type 2 diabetes randomized to either Technosphere Insulin or standard diabetes care. Based on our discussions with the Food and Drug Administration (the “FDA”), we plan to accumulate two years of controlled safety data from patients with type 1 diabetes as well as patients with type 2 diabetes before we file a new drug application for the Technosphere Insulin System. We anticipate that our entire clinical trial program will involve more than 3,200 patients. Larger populations and longer durations of exposure may be necessary depending on the safety profile of our product.</w:t>
      </w:r>
    </w:p>
    <w:p>
      <w:pPr>
        <w:spacing w:after="0" w:line="5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Our Technosphere Insulin System utilizes our proprietary Technosphere formulation technology, which is based on a class of organic molecules that are designed to self-assemble into small particles onto which drug molecules can be loaded. We are also developing additional Technosphere-based products for the delivery of other drugs. We plan to initiate Phase 1 clinical trials of a therapeutic cancer vaccine by the end of 2006.</w:t>
      </w:r>
    </w:p>
    <w:p>
      <w:pPr>
        <w:spacing w:after="0" w:line="5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are a development stage enterprise and have incurred significant losses since our inception in 1991. As of June 30, 2006, we have incurred a cumulative net loss of $655.6 million. To date, we have not generated any product revenues and have funded our operations primarily through the sale of equity securities.</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do not anticipate sales of any product prior to regulatory approval and commercialization of our Technosphere Insulin System. We currently do not have the required approvals to market any of our product candidates, and we may not receive such approvals. We may not be profitable even if we succeed in commercializing any of our product candidates. We expect to make substantial and increasing expenditures and to incur additional operating losses for at least the next several years as we:</w:t>
      </w:r>
    </w:p>
    <w:p>
      <w:pPr>
        <w:spacing w:after="0" w:line="79"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continue the clinical development and commercialization of our Technosphere Insulin System for the treatment of diabetes;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expand our manufacturing operations for our Technosphere Insulin System to meet our currently anticipated commercial production needs;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expand our other research, discovery and development programs;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expand our proprietary Technosphere platform technology and develop additional applications for the pulmonary delivery of other drugs; and</w:t>
      </w:r>
    </w:p>
    <w:p>
      <w:pPr>
        <w:spacing w:after="0" w:line="142" w:lineRule="exact"/>
        <w:rPr>
          <w:rFonts w:ascii="Arial" w:cs="Arial" w:eastAsia="Arial" w:hAnsi="Arial"/>
          <w:sz w:val="17"/>
          <w:szCs w:val="17"/>
          <w:b w:val="1"/>
          <w:bCs w:val="1"/>
          <w:color w:val="auto"/>
        </w:rPr>
      </w:pPr>
    </w:p>
    <w:p>
      <w:pPr>
        <w:ind w:left="660" w:right="36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enter into sales and marketing collaborations with other companies, if available on commercially reasonable terms, or develop these capabilities ourselves.</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business is subject to significant risks, including but not limited to the risks inherent in our ongoing clinical trials and the regulatory approval process, the results of our research and development efforts, competition from other products and technologies and uncertainties associated with obtaining and enforcing patent rights.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Technosphere Insulin System</w:t>
      </w:r>
    </w:p>
    <w:p>
      <w:pPr>
        <w:spacing w:after="0" w:line="12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are currently conducting a number of studies of the safety and efficacy of the Technosphere Insulin System, including the following trials that are underway or planned for 2006: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Study 010</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This ongoing trial is a three-year evaluation of the safety and tolerability of Technosphere Insulin in patients with type 2 diabetes who have participated in study 008 or study 005. The primary objective is to evaluate pulmonary function with secondary objectives to examine changes in HbA1c levels, insulin antibodies, frequency of adverse events and quality of life.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Study 030</w:t>
      </w:r>
    </w:p>
    <w:p>
      <w:pPr>
        <w:spacing w:after="0" w:line="11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This is a two-year, prospective, multi-site study that incorporates two design strategies. The first component is a randomized, open-label trial comparing pulmonary function in two groups of patients with diabetes. One group of approximately 625 patients is being treated with Technosphere Insulin in combination with other antidiabetic therapy and the other group of approximately 625 patients is being treated with existing oral and/or injectable therapies. The second component is a comparison of pulmonary function in the patients with diabetes who are not treated with Technosphere Insulin to a group of 125 subjects without any abnormalities in glucose control. Enrollment for this study began in June 2005 and is expected to be completed later in 2006.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Study 014</w:t>
      </w:r>
    </w:p>
    <w:p>
      <w:pPr>
        <w:spacing w:after="0" w:line="11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This study compared the efficacy of mealtime use of Technosphere Insulin plus basal insulin to mealtime use of rapid-acting, subcutaneous insulin plus basal insulin in approximately 240 patients with type 2 diabetes who had a baseline HbA1c level greater than 7.0% and less than 11.5%. The primary efficacy endpoint for this study was mean change in HbA1c levels from baseline to treatment week 24. Enrollment was completed in July 2005 and the treatment period completed in February 2006. We plan to present data from Study 014 at the European Association for the Study of Diabetes in September.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Study 101</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This trial compared mealtime use of Technosphere Insulin to mealtime use of rapid-acting, subcutaneous insulin in 110 patients with type 1 diabetes, who were evaluated over a 12-week period. The primary efficacy endpoint was the change in blood glucose levels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following a standard meal. In April 2006 we announced that this was the first study that demonstrated that patients with Type 1 diabetes using Technosphere Insulin can achieve comparable levels of control in HbA1c as patients treated with an injected rapid-acting insulin analog. Technosphere Insulin has a more rapid onset of action and a shorter duration of action than the injected rapid-acting insulin analog. In this study, the peak of the mean blood glucose values following a standardized meal test were lower for patients on Technosphere Insulin than those receiving injections of rapid-acting insulin analog. The study also found that patients using Technosphere Insulin did not gain weight during the study in contrast to patients using the injected rapid-acting insulin analog. Furthermore, after twelve weeks of treatment, pulmonary function did not differ between the two patient groups.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Study 009</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This study will evaluate Technosphere Insulin to prandial insulin analog both used in combination with basal insulin in approximately 500 patients with type 1 diabetes for a 12-month period. Efficacy will be evaluated on the basis of changes in HbA1c levels as well as changes in blood glucose levels after a standardized mixed meal. We began enrolling patients in this study in the first quarter of 2006.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Study 102</w:t>
      </w:r>
    </w:p>
    <w:p>
      <w:pPr>
        <w:spacing w:after="0" w:line="1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This study will compare the efficacy of mealtime use of Technosphere Insulin together with basal insulin to the twice-daily use of premixed insulin, a mixture of intermediate acting insulin and a rapid-acting insulin analog, in a population of approximately 500 patients with type 2 diabetes. Efficacy will be evaluated on the basis of changes in HbA1c levels as well as changes in blood glucose levels after a standardized mixed meal. We began enrolling patients in this study in the first quarter of 2006.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Study 103</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This study will evaluate the efficacy of Technosphere Insulin alone and in combination with metformin, an oral medication, in approximately 500 patients with type 2 diabetes who are not achieving desired glucose control with a combination of metformin and sulphonylurea, another oral medication. Efficacy will be evaluated on the basis of changes in HbA1c levels after 26 weeks of treatment as well as changes in blood glucose levels after a standardized mixed meal. We began enrolling patients in this study in the second quarter of 2006.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Special population studies</w:t>
      </w:r>
    </w:p>
    <w:p>
      <w:pPr>
        <w:spacing w:after="0" w:line="117"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We have two ongoing special population studies: one examining the impact of asthma and the other examining the impact of chronic smoking on the pharmacokinetics associated with Technosphere Insulin. We plan to use the results of these studies to conduct safety studies in patients with asthma and in chronic smokers that also have diabetes. We also plan to conduct a safety study in patients with both diabetes and chronic obstructive pulmonary disease. Other special population studies include a trial that will examine the elimination of Technosphere Insulin in patients with kidney disease and a trial that will examine the effect of Technosphere Insulin in patients with liver disease.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Cancer immunotherapy program</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are also developing therapies for the treatment of solid tumor cancers. The lead product candidate in this program, MKC1106, is intended for the treatment of several solid-tumor cancers, including ovarian, colorectal, pancreatic, renal, breast and prostate carcinomas. We plan to commence clinical trials for MKC1106 late in the fourth quarter of 2006.</w:t>
      </w:r>
    </w:p>
    <w:p>
      <w:pPr>
        <w:spacing w:after="0" w:line="7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cancer therapy program utilizes the body’s immune system to help eradicate tumor cells. The immune system is a network of cells and organs that defends the body against infection and abnormal cells, such as cancer. A key element of the immune system is its ability to distinguish between healthy cells and foreign or diseased cells that do not belong in the body. The immune system accomplishes this task by recognizing distinctive molecules called epitopes found on the surface of each cell as either normal or abnormal, and responding to them appropriately. Any substance capable of triggering an immune response is known as an antigen. An antigen can be all or part of a pathogenic organism or it can be a by-product of diseased cells. Certain specialized cells of the immune system sample antigens present in the body and present the epitopes associated with foreign antigens to other cells of the immune system whose function is to destroy any cell that expresses the same epitope; this is known as cell-mediated immunity. In this way, the immune system can launch a very specific response to infection or disease.</w:t>
      </w:r>
    </w:p>
    <w:p>
      <w:pPr>
        <w:spacing w:after="0" w:line="7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approach uses DNA- and peptide-based compounds that correspond to tumor-associated antigens that are expressed in a range of solid-tumor cancers. A patient is first “primed” by DNA-based compounds, or plasmids, that are injected directly into the patient’s lymph nodes. This is designed to sensitize the immune system to the tumor-associated antigens encoded by the plasmids. After a</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period of time, the patient’s lymph nodes are then injected with synthetic peptides that are designed to “boost” or greatly amplify the immune response to the target antigens. This prime-boost regimen is designed to provoke a potent cell-mediated immune response that destroys cancer cells along with the underlying blood supply to a tumor.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therapeutic approach addresses several deficiencies inherent in earlier approaches to cancer immunotherapy, including:</w:t>
      </w:r>
    </w:p>
    <w:p>
      <w:pPr>
        <w:spacing w:after="0" w:line="117" w:lineRule="exact"/>
        <w:rPr>
          <w:sz w:val="20"/>
          <w:szCs w:val="20"/>
          <w:color w:val="auto"/>
        </w:rPr>
      </w:pPr>
    </w:p>
    <w:p>
      <w:pPr>
        <w:ind w:left="660" w:right="40" w:hanging="436"/>
        <w:spacing w:after="0" w:line="25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Specificity. </w:t>
      </w:r>
      <w:r>
        <w:rPr>
          <w:rFonts w:ascii="Arial" w:cs="Arial" w:eastAsia="Arial" w:hAnsi="Arial"/>
          <w:sz w:val="18"/>
          <w:szCs w:val="18"/>
          <w:color w:val="auto"/>
        </w:rPr>
        <w:t>We target cancer epitopes to which the immune system has not developed a tolerance, instead of targeting the dominant epitopes</w:t>
      </w:r>
      <w:r>
        <w:rPr>
          <w:rFonts w:ascii="Arial" w:cs="Arial" w:eastAsia="Arial" w:hAnsi="Arial"/>
          <w:sz w:val="18"/>
          <w:szCs w:val="18"/>
          <w:i w:val="1"/>
          <w:iCs w:val="1"/>
          <w:color w:val="auto"/>
        </w:rPr>
        <w:t xml:space="preserve"> </w:t>
      </w:r>
      <w:r>
        <w:rPr>
          <w:rFonts w:ascii="Arial" w:cs="Arial" w:eastAsia="Arial" w:hAnsi="Arial"/>
          <w:sz w:val="18"/>
          <w:szCs w:val="18"/>
          <w:color w:val="auto"/>
        </w:rPr>
        <w:t>expressed by cancerous cells, many of which are tolerated by the immune system. We have developed technology designed to identify the non-tolerated epitopes on the cancer cell surface, and we have developed a method of modifying these epitopes that is designed to activate an immune response. Through this process, we believe that the body’s tolerance of the cancer cells can be broken, leading to the destruction of the cancer by the immune system.</w:t>
      </w:r>
    </w:p>
    <w:p>
      <w:pPr>
        <w:spacing w:after="0" w:line="93" w:lineRule="exact"/>
        <w:rPr>
          <w:rFonts w:ascii="Arial" w:cs="Arial" w:eastAsia="Arial" w:hAnsi="Arial"/>
          <w:sz w:val="18"/>
          <w:szCs w:val="18"/>
          <w:b w:val="1"/>
          <w:bCs w:val="1"/>
          <w:color w:val="auto"/>
        </w:rPr>
      </w:pPr>
    </w:p>
    <w:p>
      <w:pPr>
        <w:ind w:left="660" w:right="40" w:hanging="436"/>
        <w:spacing w:after="0" w:line="259"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In contrast to the conventional subcutaneous or intramuscular route of administration, our compounds are delivered directly into the</w:t>
      </w:r>
      <w:r>
        <w:rPr>
          <w:rFonts w:ascii="Arial" w:cs="Arial" w:eastAsia="Arial" w:hAnsi="Arial"/>
          <w:sz w:val="18"/>
          <w:szCs w:val="18"/>
          <w:i w:val="1"/>
          <w:iCs w:val="1"/>
          <w:color w:val="auto"/>
        </w:rPr>
        <w:t xml:space="preserve"> </w:t>
      </w:r>
      <w:r>
        <w:rPr>
          <w:rFonts w:ascii="Arial" w:cs="Arial" w:eastAsia="Arial" w:hAnsi="Arial"/>
          <w:sz w:val="18"/>
          <w:szCs w:val="18"/>
          <w:color w:val="auto"/>
        </w:rPr>
        <w:t>patient’s lymph nodes, where studies have shown they will have the greatest impact. We believe that the direct delivery of our compounds will bring local high concentrations of the active components of our compounds into contact with high concentrations of the cells needed to generate a potent cell-mediated immune response.</w:t>
      </w:r>
    </w:p>
    <w:p>
      <w:pPr>
        <w:spacing w:after="0" w:line="92" w:lineRule="exact"/>
        <w:rPr>
          <w:rFonts w:ascii="Arial" w:cs="Arial" w:eastAsia="Arial" w:hAnsi="Arial"/>
          <w:sz w:val="18"/>
          <w:szCs w:val="18"/>
          <w:b w:val="1"/>
          <w:bCs w:val="1"/>
          <w:color w:val="auto"/>
        </w:rPr>
      </w:pPr>
    </w:p>
    <w:p>
      <w:pPr>
        <w:ind w:left="660" w:right="220" w:hanging="436"/>
        <w:spacing w:after="0" w:line="259"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Selectivity, potency and duration of response. </w:t>
      </w:r>
      <w:r>
        <w:rPr>
          <w:rFonts w:ascii="Arial" w:cs="Arial" w:eastAsia="Arial" w:hAnsi="Arial"/>
          <w:sz w:val="18"/>
          <w:szCs w:val="18"/>
          <w:color w:val="auto"/>
        </w:rPr>
        <w:t>We deliver our therapeutic compounds in a manner that we believe primes the immune system to</w:t>
      </w:r>
      <w:r>
        <w:rPr>
          <w:rFonts w:ascii="Arial" w:cs="Arial" w:eastAsia="Arial" w:hAnsi="Arial"/>
          <w:sz w:val="18"/>
          <w:szCs w:val="18"/>
          <w:i w:val="1"/>
          <w:iCs w:val="1"/>
          <w:color w:val="auto"/>
        </w:rPr>
        <w:t xml:space="preserve"> </w:t>
      </w:r>
      <w:r>
        <w:rPr>
          <w:rFonts w:ascii="Arial" w:cs="Arial" w:eastAsia="Arial" w:hAnsi="Arial"/>
          <w:sz w:val="18"/>
          <w:szCs w:val="18"/>
          <w:color w:val="auto"/>
        </w:rPr>
        <w:t>respond to cancer cells expressing specific epitopes, in much the same way that a chronic infection evokes a progressively increased immune response to invading bacteria. Our administrative regimen is designed to boost the immune response over the course of a treatment cycle so that it becomes increasingly potent and long acting.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Our research and development expenses consist mainly of costs associated with the clinical trials of our product candidates which have not yet received regulatory approval for marketing and for which no alternative future use has been identified. This includes the salaries, benefits and stock-based compensation of research and development personnel, laboratory supplies and materials, facility costs, costs for consultants and related contract research, licensing fees, and depreciation of laboratory equipment. We track research and development costs by the type of cost incurred. We partially offset research and development expenses with the recognition of estimated amounts receivable from the State of Connecticut pursuant to a program under which we can exchange qualified research and development income tax credits for cash.</w:t>
      </w:r>
    </w:p>
    <w:p>
      <w:pPr>
        <w:spacing w:after="0" w:line="70"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Our research and development staff conducts our internal research and development activities, which include research, product development, clinical development, manufacturing and related activities. This staff is located in our facilities in Valencia, California; Paramus, New Jersey; and Danbury, Connecticut. We expense research and development costs as we incur them.</w:t>
      </w:r>
    </w:p>
    <w:p>
      <w:pPr>
        <w:spacing w:after="0" w:line="7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Clinical development timelines, likelihood of success and total costs vary widely. We are focused primarily on advancing the Technosphere Insulin System through Phase 3 clinical trials and regulatory filings. We plan to commercialize our lead product as a treatment for diabetes. Based on the results of preclinical studies, we plan to develop additional applications of our Technosphere technology. Additionally, we anticipate that we will continue to determine which research and development projects to pursue, and how much funding to direct to each project, on an ongoing basis, in response to the scientific and clinical success of each product candidate. We cannot be certain when any revenues from the commercialization of our products will commence.</w:t>
      </w:r>
    </w:p>
    <w:p>
      <w:pPr>
        <w:spacing w:after="0" w:line="5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At this time, due to the risks inherent in the clinical trial process and given the early stage of development of our product candidates other than the Technosphere Insulin System, we are unable to estimate with any certainty the costs we will incur in the continued development of our product candidates for commercialization. The costs required to complete the development of our Technosphere Insulin System will be largely dependent on the scope of our clinical trials, the cost and efficiency of our manufacturing process and discussions with the FDA on its requirements. We anticipate that our research and development expenses, particularly for the Technosphere Insulin System, will increase significantly with the continuation of existing clinical trials, the initiation of new trials, the resulting manufacturing costs associated with producing clinical trial materials, and the expansion, qualification and validation of our commercial manufacturing processes and facilities. Additionally, we expect non-cash stock-based compensation expense resulting from the adoption of SFAS No. 123R, </w:t>
      </w:r>
      <w:r>
        <w:rPr>
          <w:rFonts w:ascii="Arial" w:cs="Arial" w:eastAsia="Arial" w:hAnsi="Arial"/>
          <w:sz w:val="17"/>
          <w:szCs w:val="17"/>
          <w:i w:val="1"/>
          <w:iCs w:val="1"/>
          <w:color w:val="auto"/>
        </w:rPr>
        <w:t>Share-based Payment: an Amendment of FASB Statement 123 and 95 (“SFAS No. 123R”),</w:t>
      </w:r>
      <w:r>
        <w:rPr>
          <w:rFonts w:ascii="Arial" w:cs="Arial" w:eastAsia="Arial" w:hAnsi="Arial"/>
          <w:sz w:val="17"/>
          <w:szCs w:val="17"/>
          <w:color w:val="auto"/>
        </w:rPr>
        <w:t xml:space="preserve"> effective as of January 1, 2006, to be higher in future periods as compared to periods prior to January 1, 2006. See Critical Accounting Policies below and Note 3 — Accounting for Stock-Based Compensation in the notes to our financial statements.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general and administrative expenses consist primarily of salaries, benefits and stock-based compensation for administrative, finance, business development, human resources, legal and information systems support personnel. In addition, general and administrative expenses include business insurance and professional services costs.</w:t>
      </w:r>
    </w:p>
    <w:p>
      <w:pPr>
        <w:spacing w:after="0" w:line="73" w:lineRule="exact"/>
        <w:rPr>
          <w:sz w:val="20"/>
          <w:szCs w:val="20"/>
          <w:color w:val="auto"/>
        </w:rPr>
      </w:pPr>
    </w:p>
    <w:p>
      <w:pPr>
        <w:ind w:right="480"/>
        <w:spacing w:after="0" w:line="279" w:lineRule="auto"/>
        <w:rPr>
          <w:sz w:val="20"/>
          <w:szCs w:val="20"/>
          <w:color w:val="auto"/>
        </w:rPr>
      </w:pPr>
      <w:r>
        <w:rPr>
          <w:rFonts w:ascii="Arial" w:cs="Arial" w:eastAsia="Arial" w:hAnsi="Arial"/>
          <w:sz w:val="17"/>
          <w:szCs w:val="17"/>
          <w:color w:val="auto"/>
        </w:rPr>
        <w:t>We expect general and administrative expenses other than non-cash stock-based compensation expense to increase slightly in the future as a result of increased headcount, public company compliance and establishment of investor relations and marketing programs. We expect overall general and administrative expenses to be higher in future periods as compared to periods prior to the adoption of SFAS No. 123R. See Critical Accounting Policies below and Note 3 — Accounting for Stock-Based Compensation in the notes to our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Other than the adoption of SFAS No. 123R, there have been no material changes to our critical accounting policies as described in Item 7 to our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Prior to January 1, 2006, we accounted for employee stock options and the employee stock purchase plan using the intrinsic value method in accordance with APB No. 25 and adopted the disclosure only alternative of SFAS No. 123. Upon adoption of SFAS No. 123R, we selected the modified prospective transition method whereby we recognized share-based employee costs from the beginning of 2006 as if the fair value accounting method had been used to account for all employee awards granted, modified, or settled after January 1, 2006 and to any awards that were not fully vested as of January 1, 2006. The measurement and attribution of compensation cost for awards that are unvested as of January 1, 2006 are based on the same estimate of the grant-date and the same attribution method used previously under SFAS No. 123. Including the effects of adoption of SFAS No. 123R, we recognized stock-based compensation expense of $7.5 million for the six months ended June 30, 2006. We expect expensing of stock-based compensation will continue to have an impact on our statement of operations. As of June 30, 2006, there was $21.1 million and $6.9 million of unrecognized compensation cost related to options and restricted stock units, respectively, granted by the Company which is expected to be recognized over the weighted average vesting period of 2.7 years.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The discussion and analysis of our financial condition and results of operations for the three months ended June 30, 2006 and 2005 are based upon our consolidated interim financial statements, which have been prepared in accordance with accounting principles generally accepted in the United States of America. The preparation of these consolidated financial statements requires us to make estimates and judgments that affect the reported amount of assets, liabilities, revenues and expenses, and as a result, actual condition or results may differ from our estimates under different assumptions or conditions.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During the six months ended June 30, 2006, we recognized $0.1 million in revenue under a license agreement. There were no revenues recorded for the six months ended June 30, 2005. We do not anticipate sales of any product prior to regulatory approval and commercialization of our Technosphere Insulin System.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provides a comparison of the research and development expense categories for the three and six months ended June 30, 2006 and 2005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6"/>
              </w:rPr>
              <w:t>June 30,</w:t>
            </w: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7"/>
              </w:rPr>
              <w:t>Change</w:t>
            </w:r>
          </w:p>
        </w:tc>
        <w:tc>
          <w:tcPr>
            <w:tcW w:w="680" w:type="dxa"/>
            <w:vAlign w:val="bottom"/>
            <w:vMerge w:val="restart"/>
          </w:tcPr>
          <w:p>
            <w:pPr>
              <w:spacing w:after="0"/>
              <w:rPr>
                <w:sz w:val="14"/>
                <w:szCs w:val="14"/>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2006</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2005</w:t>
            </w:r>
          </w:p>
        </w:tc>
        <w:tc>
          <w:tcPr>
            <w:tcW w:w="68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Clinical</w:t>
            </w:r>
          </w:p>
        </w:tc>
        <w:tc>
          <w:tcPr>
            <w:tcW w:w="2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28,092</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12,768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15,324</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Manufacturing</w:t>
            </w: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8,906</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6,021</w:t>
            </w: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2,885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6,708</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5,350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1,358</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1,615</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2,158</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45,321</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23,596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21,725</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400" w:type="dxa"/>
            <w:vAlign w:val="bottom"/>
            <w:vMerge w:val="restart"/>
          </w:tcPr>
          <w:p>
            <w:pPr>
              <w:jc w:val="right"/>
              <w:ind w:right="650"/>
              <w:spacing w:after="0"/>
              <w:rPr>
                <w:sz w:val="20"/>
                <w:szCs w:val="20"/>
                <w:color w:val="auto"/>
              </w:rPr>
            </w:pPr>
            <w:r>
              <w:rPr>
                <w:rFonts w:ascii="Arial" w:cs="Arial" w:eastAsia="Arial" w:hAnsi="Arial"/>
                <w:sz w:val="18"/>
                <w:szCs w:val="18"/>
                <w:color w:val="auto"/>
              </w:rPr>
              <w:t>20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6"/>
          </w:tcPr>
          <w:p>
            <w:pPr>
              <w:jc w:val="right"/>
              <w:ind w:right="116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6"/>
              </w:rPr>
              <w:t>June 30,</w:t>
            </w: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7"/>
              </w:rPr>
              <w:t>Change</w:t>
            </w:r>
          </w:p>
        </w:tc>
        <w:tc>
          <w:tcPr>
            <w:tcW w:w="680" w:type="dxa"/>
            <w:vAlign w:val="bottom"/>
            <w:vMerge w:val="restart"/>
          </w:tcPr>
          <w:p>
            <w:pPr>
              <w:spacing w:after="0"/>
              <w:rPr>
                <w:sz w:val="14"/>
                <w:szCs w:val="14"/>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2006</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2005</w:t>
            </w:r>
          </w:p>
        </w:tc>
        <w:tc>
          <w:tcPr>
            <w:tcW w:w="68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Clinical</w:t>
            </w:r>
          </w:p>
        </w:tc>
        <w:tc>
          <w:tcPr>
            <w:tcW w:w="2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46,762</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21,596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25,166</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Manufacturing</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18,129</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11,269</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6,860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13,126</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9,937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3,189</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3,254</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3,764</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81,271</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42,292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38,979</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increase in research and development expenses for the three and six months ended June 30, 2006, as compared to the same periods in the prior year was primarily due to ongoing expenses related to the clinical development of our Technosphere Insulin System. The expansion of our Phase 3 clinical trial program for our Technosphere Insulin System and the continuation of other preclinical studies increased our clinical research expenditures in 2006 as compared to the same period in 2005. This also resulted in increased Technosphere Insulin manufacturing costs to supply clinical trial materials. We also continue to expand our qualification and validation of our manufacturing system. Additionally, research activities related to toxicology studies for our Technosphere Insulin System, expanding our proprietary Technosphere platform technology, developing additional applications for the pulmonary delivery of other drugs and the discovery and development of programs primarily focused on cancer therapies resulted in increased research expenditures. We anticipate that our research and development expenses associated with our Technosphere Insulin System, expanding our Technosphere platform technology and the pursuit of cancer therapies will continue to increase in 2006. Specifically, we anticipate increased expenses related to the continuation of existing and initiation of new clinical trials, and the resulting manufacturing costs associated with producing clinical trial materials.</w:t>
      </w:r>
    </w:p>
    <w:p>
      <w:pPr>
        <w:spacing w:after="0" w:line="6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increase in stock-based compensation expense for the three and six months ended June 30, 2006 compared to the same periods in the prior year primarily resulted from the adoption of SFAS No. 123R which requires all share-based payments to employees, including grants of stock options and the compensatory elements of employee stock purchase plans, to be recognized in the income statement based upon the fair value of the awards at the grant date. As described in the Critical Accounting Policies above, we have adopted SFAS No. 123R as of the effective date of January 1, 2006. As a result of our adoption of SFAS No. 123R, we expect non-cash stock-based compensation expense to be higher in future periods as compared to periods prior to January 1, 2006. See Note 3 — Accounting for Stock-Based Compensation in the footnotes to our financial statements.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provides a comparison of the general and administrative expense categories for the three and six months ended June 30, 2006 and 2005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208"/>
              <w:spacing w:after="0"/>
              <w:rPr>
                <w:sz w:val="20"/>
                <w:szCs w:val="20"/>
                <w:color w:val="auto"/>
              </w:rPr>
            </w:pPr>
            <w:r>
              <w:rPr>
                <w:rFonts w:ascii="Arial" w:cs="Arial" w:eastAsia="Arial" w:hAnsi="Arial"/>
                <w:sz w:val="14"/>
                <w:szCs w:val="14"/>
                <w:b w:val="1"/>
                <w:bCs w:val="1"/>
                <w:color w:val="auto"/>
                <w:w w:val="89"/>
              </w:rPr>
              <w:t>June 30,</w:t>
            </w: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5"/>
              </w:rPr>
              <w:t>$ Change</w:t>
            </w:r>
          </w:p>
        </w:tc>
        <w:tc>
          <w:tcPr>
            <w:tcW w:w="680" w:type="dxa"/>
            <w:vAlign w:val="bottom"/>
            <w:gridSpan w:val="3"/>
            <w:vMerge w:val="restart"/>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Borders>
              <w:bottom w:val="single" w:sz="8" w:color="auto"/>
            </w:tcBorders>
            <w:gridSpan w:val="2"/>
          </w:tcPr>
          <w:p>
            <w:pPr>
              <w:jc w:val="right"/>
              <w:ind w:right="108"/>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1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Borders>
              <w:bottom w:val="single" w:sz="8" w:color="auto"/>
            </w:tcBorders>
            <w:gridSpan w:val="3"/>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Salaries, employee related and other general expenses</w:t>
            </w:r>
          </w:p>
        </w:tc>
        <w:tc>
          <w:tcPr>
            <w:tcW w:w="16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  8,285</w:t>
            </w:r>
          </w:p>
        </w:tc>
        <w:tc>
          <w:tcPr>
            <w:tcW w:w="8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5,644</w:t>
            </w:r>
          </w:p>
        </w:tc>
        <w:tc>
          <w:tcPr>
            <w:tcW w:w="5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2,641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860" w:type="dxa"/>
            <w:vAlign w:val="bottom"/>
            <w:gridSpan w:val="2"/>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2,171</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w w:val="91"/>
              </w:rPr>
              <w:t>(1,673)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3,844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6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$ 10,456</w:t>
            </w:r>
          </w:p>
        </w:tc>
        <w:tc>
          <w:tcPr>
            <w:tcW w:w="8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3,971</w:t>
            </w:r>
          </w:p>
        </w:tc>
        <w:tc>
          <w:tcPr>
            <w:tcW w:w="5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6,485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2400" w:type="dxa"/>
            <w:vAlign w:val="bottom"/>
            <w:gridSpan w:val="7"/>
          </w:tcPr>
          <w:p>
            <w:pPr>
              <w:jc w:val="right"/>
              <w:ind w:right="428"/>
              <w:spacing w:after="0"/>
              <w:rPr>
                <w:sz w:val="20"/>
                <w:szCs w:val="20"/>
                <w:color w:val="auto"/>
              </w:rPr>
            </w:pPr>
            <w:r>
              <w:rPr>
                <w:rFonts w:ascii="Arial" w:cs="Arial" w:eastAsia="Arial" w:hAnsi="Arial"/>
                <w:sz w:val="14"/>
                <w:szCs w:val="14"/>
                <w:b w:val="1"/>
                <w:bCs w:val="1"/>
                <w:color w:val="auto"/>
              </w:rPr>
              <w:t>Six months ended</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7"/>
            <w:vMerge w:val="restart"/>
          </w:tcPr>
          <w:p>
            <w:pPr>
              <w:ind w:left="280"/>
              <w:spacing w:after="0"/>
              <w:rPr>
                <w:sz w:val="20"/>
                <w:szCs w:val="20"/>
                <w:color w:val="auto"/>
              </w:rPr>
            </w:pPr>
            <w:r>
              <w:rPr>
                <w:rFonts w:ascii="Arial" w:cs="Arial" w:eastAsia="Arial" w:hAnsi="Arial"/>
                <w:sz w:val="14"/>
                <w:szCs w:val="14"/>
                <w:b w:val="1"/>
                <w:bCs w:val="1"/>
                <w:color w:val="auto"/>
              </w:rPr>
              <w:t>$ Change</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82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rPr>
              <w:t>2006</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8"/>
              <w:spacing w:after="0" w:line="142" w:lineRule="exact"/>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gridSpan w:val="7"/>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Salaries, employee related and other general expenses</w:t>
            </w:r>
          </w:p>
        </w:tc>
        <w:tc>
          <w:tcPr>
            <w:tcW w:w="86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$15,351</w:t>
            </w:r>
          </w:p>
        </w:tc>
        <w:tc>
          <w:tcPr>
            <w:tcW w:w="2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$10,312</w:t>
            </w:r>
          </w:p>
        </w:tc>
        <w:tc>
          <w:tcPr>
            <w:tcW w:w="3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tcBorders>
              <w:top w:val="single" w:sz="8" w:color="auto"/>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$ 5,039</w:t>
            </w: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820" w:type="dxa"/>
            <w:vAlign w:val="bottom"/>
          </w:tcPr>
          <w:p>
            <w:pPr>
              <w:jc w:val="right"/>
              <w:spacing w:after="0"/>
              <w:rPr>
                <w:sz w:val="20"/>
                <w:szCs w:val="20"/>
                <w:color w:val="auto"/>
              </w:rPr>
            </w:pPr>
            <w:r>
              <w:rPr>
                <w:rFonts w:ascii="Arial" w:cs="Arial" w:eastAsia="Arial" w:hAnsi="Arial"/>
                <w:sz w:val="18"/>
                <w:szCs w:val="18"/>
                <w:color w:val="auto"/>
              </w:rPr>
              <w:t>4,243</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3"/>
          </w:tcPr>
          <w:p>
            <w:pPr>
              <w:jc w:val="right"/>
              <w:ind w:right="150"/>
              <w:spacing w:after="0"/>
              <w:rPr>
                <w:sz w:val="20"/>
                <w:szCs w:val="20"/>
                <w:color w:val="auto"/>
              </w:rPr>
            </w:pPr>
            <w:r>
              <w:rPr>
                <w:rFonts w:ascii="Arial" w:cs="Arial" w:eastAsia="Arial" w:hAnsi="Arial"/>
                <w:sz w:val="18"/>
                <w:szCs w:val="18"/>
                <w:color w:val="auto"/>
              </w:rPr>
              <w:t>(2,391)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4"/>
          </w:tcPr>
          <w:p>
            <w:pPr>
              <w:jc w:val="right"/>
              <w:ind w:right="220"/>
              <w:spacing w:after="0"/>
              <w:rPr>
                <w:sz w:val="20"/>
                <w:szCs w:val="20"/>
                <w:color w:val="auto"/>
              </w:rPr>
            </w:pPr>
            <w:r>
              <w:rPr>
                <w:rFonts w:ascii="Arial" w:cs="Arial" w:eastAsia="Arial" w:hAnsi="Arial"/>
                <w:sz w:val="18"/>
                <w:szCs w:val="18"/>
                <w:color w:val="auto"/>
              </w:rPr>
              <w:t>6,635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$19,594</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$ 7,921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$11,673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General and administrative expenses for the three and six months ended June 30, 2006 increased as compared to the same period in the prior year. Increased administrative services resulted in increased headcount, compensation adjustments and other employee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related expenses. Additionally, litigation, public company compliance (including the Sarbanes-Oxley Act) and our establishment of a marketing function in late 2005 increased both professional fees and consulting expenses. Stock-based compensation expense also increased for the three and six months ended June 30, 2006 compared to the three and six months ended June 30, 2005 upon the adoption of SFAS No. 123R. We expect general and administrative expenses other than non-cash stock-based compensation expense to increase slightly in the future as a result of increased headcount, public company compliance and establishment of investor relations and marketing programs. We expect non-cash stock-based compensation expense to be higher in future periods as compared to periods prior to January 1, 2006 as a result of the adoption of SFAS No. 123R. See Critical Accounting Policies above and Note 3 — Accounting for Stock-Based Compensation in the footnotes to our financial statements.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funded our operations primarily through the sale of equity securities. We do not anticipate sales of any product prior to regulatory approval and commercialization of our Technosphere Insulin System. We currently rely on cash resources to maintain adequate working capital levels. At June 30, 2006, we had $50.9 million in cash, cash equivalents and marketable securities, which we believed was sufficient to fund our anticipated cash requirements into the third quarter of 2006.</w:t>
      </w:r>
    </w:p>
    <w:p>
      <w:pPr>
        <w:spacing w:after="0" w:line="7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To help us meet future funding needs, on August 2, 2006 we entered into a loan arrangement with our principal stockholder, Alfred Mann, pursuant to which we are able to borrow up to a total of $150.0 million in one or more advances at any time over the next year should our cash balance fall below our projected cash requirements for the subsequent three month period, provided that each advance be no less than $50.0 million. We borrowed $50.0 million under the loan arrangement on August 2, 2006. Interest accrues on each outstanding advance at a rate equal to the one year LIBOR rate in effect on the day of such advance plus 3% per annum and is payable quarterly in arrears. The loan is unsecured and contains no financial covenants. There are no warrants associated with the loan nor is the loan convertible into our stock. In the event of a default, all unpaid principal and interest becomes immediately due and payable and the interest rate increases to one year LIBOR calculated on the date of the initial advance or in effect on the date of default, whichever is greater, plus 5% per annum. Upon the closing of certain financing events, including equity and debt financings or strategic transactions with third parties, in which we receive cash proceeds of at least $100.0 million, we are required to repay all or a portion of the principal and accrued and unpaid interest under the note equal to the difference between our cash balance immediately following the financing event and our projected cash requirements for the six month period following the financing event. We believe that this loan arrangement with Mr. Mann will enable us to continue funding our operations through the second quarter of 2007.</w:t>
      </w:r>
    </w:p>
    <w:p>
      <w:pPr>
        <w:spacing w:after="0" w:line="6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Notwithstanding our loan arrangement with Mr. Mann, we will require significant additional financing in the future to fund our operations. If adequate funds are not available, we may be required to delay, reduce or eliminate expenditures for certain of our programs, including our Technosphere Insulin System development activities.</w:t>
      </w:r>
    </w:p>
    <w:p>
      <w:pPr>
        <w:spacing w:after="0" w:line="73"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During the six months ended June 30, 2006, we used $84.7 million of cash for our operations. We had a net loss of $98.3 million for the six months ended June 30, 2006, of which $11.6 million consisted of non-cash charges such as depreciation and amortization and stock-based compensation. We expect our negative operating cash flow to continue at least until we obtain regulatory approval and achieve commercialization of our Technosphere Insulin System.</w:t>
      </w:r>
    </w:p>
    <w:p>
      <w:pPr>
        <w:spacing w:after="0" w:line="3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Investing activities provided $54.5 million of cash during the six months ended June 30, 2006. Cash provided by investing activities was from net sales of marketable securities of $65.6 million offset by $11.1 million used to purchase machinery and equipment to expand our manufacturing operations and quality systems in support of our expansion of clinical trials for Technosphere Insulin System. We expect to make significant purchases of equipment in the foreseeable future.</w:t>
      </w:r>
    </w:p>
    <w:p>
      <w:pPr>
        <w:spacing w:after="0" w:line="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financing activities provided cash of $1.3 million for the six months ended June 30, 2006. Cash from financing activities was primarily from the exercise of stock options and warrants.</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intend to use our capital resources to continue the development of our Technosphere Insulin System and to develop additional applications for our proprietary Technosphere platform technology. In addition, portions of our capital resources will be devoted to expanding our other product development programs for the treatment of solid-tumor cancers. We anticipate that we will expend a portion of our capital to scale up our manufacturing capabilities in our Danbury facilities. We also intend to use our capital resources for general corporate purposes, which may include in-licensing or acquiring additional technologies.</w:t>
      </w:r>
    </w:p>
    <w:p>
      <w:pPr>
        <w:spacing w:after="0" w:line="8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have held discussions with a number of pharmaceutical companies concerning a potential strategic business collaboration for our Technosphere Insulin System. We have narrowed the list of potential collaborative partners but are not disclosing the number of potential partners or their identities. To date, we have neither concluded these discussions nor reached an agreement concerning such a collaboration. There can be no assurance that any strategic collaboration will be available to us on a timely basis or on acceptable</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terms, if at all. If we enter into a strategic business collaboration with a pharmaceutical or biotechnology company, we would expect, as part of the transaction, to receive additional capital and reimbursements for a portion of the costs associated with the development, manufacture and commercialization of our Technosphere Insulin System. In addition, we expect to pursue the sale of equity and/or debt securities, or the establishment of other funding facilities.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strategic collaboration, sale of securities or sale or license of assets will be available to us on a timely basis or on acceptable terms, if at all. If we are unable to raise additional capital, we may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7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However, we cannot provide assurances that our plans will not change or that changed circumstances will not result in the depletion of our capital resources more rapidly than we currently anticipate. If planned operating results are not achieved or we are not successful in raising additional equity financing or entering a business collaboration, we may be required to reduce expenses through the delay, reduction or curtailment of our projects, including our Technosphere Insulin System development activities, or further reduction of costs for facilities and administration.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2006, we did not have any off-balance sheet arrangements.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There have been no material changes to our contractual obligations disclosed in Item 7 to our Annual Report other than those in the ordinary course of our business, such as contracts related to the continuation of existing clinical trials, the initiation of new trials and the expansion, qualification and validation of our commercial manufacturing processes and facilities.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not used derivative financial instruments. However, we are exposed to market risk related to changes in interest rates. Our current policy is to maintain a highly liquid short-term investment portfolio consisting mainly of U.S. money market funds and investment-grade corporate, government and municipal debt. Our cash is deposited in and invested through highly rated financial institutions in North America. Our short-term investments are subject to interest rate risk and will fall in value if market interest rates increase. If market interest rates were to increase immediately and uniformly by ten percent from levels at June 30, 2006, we estimate that the fair value of our investment portfolio would decline by an immaterial amount.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under the Securities Exchange Act of 1934, as amended, or Securities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81"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Our chief executive officer and chief financial officer performed an evaluation under the supervision and with the participation of our management, of our disclosure controls and procedures (as defined in Rule 13a-15(b) of the Securities Exchange Act) as of June 30, 2006. Based on that evaluation, our chief executive officer and chief financial officer concluded that our disclosure controls and procedures were effective at the reasonable assurance level.</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fiscal quarter ended June 30, 2006 that has materially affected, or is reasonably likely to materially affect, our internal control over financial reporting.</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As previously disclosed in our Annual Report, in May 2005, our former Chief Medical Officer, Wayman Wendell Cheatham, M.D., filed a complaint against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us in the California Superior Court, County of Los Angeles in the case styled, </w:t>
      </w:r>
      <w:r>
        <w:rPr>
          <w:rFonts w:ascii="Arial" w:cs="Arial" w:eastAsia="Arial" w:hAnsi="Arial"/>
          <w:sz w:val="17"/>
          <w:szCs w:val="17"/>
          <w:i w:val="1"/>
          <w:iCs w:val="1"/>
          <w:color w:val="auto"/>
        </w:rPr>
        <w:t>Wayman Wendell Cheatham, M.D. v. MannKind Corporation</w:t>
      </w:r>
      <w:r>
        <w:rPr>
          <w:rFonts w:ascii="Arial" w:cs="Arial" w:eastAsia="Arial" w:hAnsi="Arial"/>
          <w:sz w:val="17"/>
          <w:szCs w:val="17"/>
          <w:color w:val="auto"/>
        </w:rPr>
        <w:t>, Case No.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BC333845. The complaint alleges causes of action for wrongful termination in violation of public policy, breach of contract and retaliation, in connection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with our termination of Dr. Cheatham’s employment. In the complaint, Dr. Cheatham seeks compensatory, punitive and exemplary damages in excess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 million, as well as reimbursement of attorneys’ fees. In June 2005, we answered the complaint, generally denying each of Dr. Cheatham’s allegations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asserting various defenses. We believe the allegations in the complaint are without merit and intend to vigorously defend against them. We also filed a cross-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complaint against Dr. Cheatham, alleging claims for libel per se, trade libel, breach of contract, breach of the implied covenant of good faith and fair dealing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breach of the duty of loyalty. The libel claims allege that Dr. Cheatham made certain false and malicious statements about us in a letter to the FDA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regard to a request by us to hold a meeting with the FDA. The remaining causes of action in the cross-complaint arise out of our allegations that Dr. Cheatham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had an undisclosed consulting relationship with a competitor during his employment with us, in violation of our agreement. In July 2005, Dr. Cheatham filed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demurrer and motion to strike our cross-complaint under California’s anti-SLAPP statute. On September 28, 2005, the California Superior Court overruled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Dr. Cheatham’s demurrer and denied his motion to strike our cross-complaint. On November 4, 2005, Dr. Cheatham filed a notice of appeal of the Court’s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ruling denying his motion to strike. Discovery as to Dr. Cheatham’s claims against us is proceeding, and this case is currently scheduled for trial to commence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February 2007. We believe that the ultimate resolution of this matter will not have a material impact on our financial position or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i w:val="1"/>
          <w:iCs w:val="1"/>
          <w:color w:val="auto"/>
        </w:rPr>
        <w:t>You should consider carefully the following information about the risks described below, together with the other information contained in this Quarterly Report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with an asterisk (*) next to the title contain changes to the description of the risk factors associated with our business as previously disclosed in Item 1A to our annual report on Form 10-K for the year ended December 31, 2005.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operating losses, we expect to continue to incur losses, and we may never become profitable.*</w:t>
      </w:r>
    </w:p>
    <w:p>
      <w:pPr>
        <w:spacing w:after="0" w:line="12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We are a development stage company with no commercial products. All of our product candidates are still being developed, and all but our Technosphere Insulin System are still in early stages of development. Our product candidates will require significant additional development, clinical trials, regulatory clearances and additional investment before they can be commercialized. We anticipate that our Technosphere Insulin System will not be commercially available for several years, if at all.</w:t>
      </w:r>
    </w:p>
    <w:p>
      <w:pPr>
        <w:spacing w:after="0" w:line="7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have never been profitable, and, as of June 30, 2006, we had an accumulated deficit of $655.6 million. The accumulated deficit has resulted principally from costs incurred in our research and development programs, the write-off of goodwill and general operating expenses. We expect to make substantial expenditures and to incur increasing operating losses in the future in order to further develop and commercialize our product candidates, including costs and expenses to complete clinical trials, seek regulatory approvals and market our product candidates. This accumulated deficit may increase significantly as we expand development and clinical trial efforts.</w:t>
      </w:r>
    </w:p>
    <w:p>
      <w:pPr>
        <w:spacing w:after="0" w:line="8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losses have had, and are expected to continue to have, an adverse impact on our working capital, total assets and stockholders’ equity. Our ability to achieve and sustain profitability depends upon obtaining regulatory approvals for and successfully commercializing our Technosphere Insulin System, either alone or with third parties. We do not currently have the required approvals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to market any of our product candidates, and we may not receive them. We may not be profitable even if we succeed in commercializing any of our product candidates. As a result, we cannot be sure when we will become profitable, if at all.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raise additional capital, our financial condition and business would suffer.*</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It is costly to develop therapeutic products and conduct clinical trials for these products. Although we currently are focusing on our Technosphere Insulin System as our lead product candidate, we may in the future conduct clinical trials for a number of additional product candidates. Our future revenues may not be sufficient to support the expense of these activities.</w:t>
      </w:r>
    </w:p>
    <w:p>
      <w:pPr>
        <w:spacing w:after="0" w:line="7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August 2, 2006, we entered into a loan arrangement with our principal stockholder to borrow up to a total of $150.0 million in one or more advances at any time through August 2, 2007 should our cash balance fall below its projected cash requirements for the subsequent three months, provided that each advance be no less than $50.0 million. We borrowed $50.0 million under the loan arrangement on August 2, 2006. We believe that this loan arrangement with our principal stockholder will enable us to continue funding operations through the second quarter of 2007. However, we cannot assure you that our plans will not change or that changed circumstances will not result in the depletion of our capital resources more rapidly than we currently anticipate. Accordingly, we expect that we will need to raise additional capital, either through the sale of equity and/or debt securities, a strategic business collaboration or the establishment of other funding facilities, in order to continue the development and commercialization of our Technosphere Insulin System and other product candidates and to support our other ongoing activities. The amount of additional funds we need will depend on a number of factors, including:</w:t>
      </w:r>
    </w:p>
    <w:p>
      <w:pPr>
        <w:spacing w:after="0" w:line="58" w:lineRule="exact"/>
        <w:rPr>
          <w:sz w:val="20"/>
          <w:szCs w:val="20"/>
          <w:color w:val="auto"/>
        </w:rPr>
      </w:pPr>
    </w:p>
    <w:p>
      <w:pPr>
        <w:ind w:left="220" w:right="200" w:hanging="212"/>
        <w:spacing w:after="0" w:line="277" w:lineRule="auto"/>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rate of progress and costs of our clinical trials and research and development activities, including costs of procuring clinical materials and expanding our own manufacturing facilities;</w:t>
      </w:r>
    </w:p>
    <w:p>
      <w:pPr>
        <w:spacing w:after="0" w:line="75" w:lineRule="exact"/>
        <w:rPr>
          <w:rFonts w:ascii="Arial" w:cs="Arial" w:eastAsia="Arial" w:hAnsi="Arial"/>
          <w:sz w:val="18"/>
          <w:szCs w:val="18"/>
          <w:b w:val="1"/>
          <w:bCs w:val="1"/>
          <w:color w:val="auto"/>
        </w:rPr>
      </w:pPr>
    </w:p>
    <w:p>
      <w:pPr>
        <w:ind w:left="220" w:right="180" w:hanging="212"/>
        <w:spacing w:after="0" w:line="277" w:lineRule="auto"/>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success in establishing strategic business collaborations and the timing and amount of any payments we might receive from any collaboration we are able to establish;</w:t>
      </w:r>
    </w:p>
    <w:p>
      <w:pPr>
        <w:spacing w:after="0" w:line="75" w:lineRule="exact"/>
        <w:rPr>
          <w:rFonts w:ascii="Arial" w:cs="Arial" w:eastAsia="Arial" w:hAnsi="Arial"/>
          <w:sz w:val="18"/>
          <w:szCs w:val="18"/>
          <w:b w:val="1"/>
          <w:bCs w:val="1"/>
          <w:color w:val="auto"/>
        </w:rPr>
      </w:pPr>
    </w:p>
    <w:p>
      <w:pPr>
        <w:ind w:left="220" w:hanging="212"/>
        <w:spacing w:after="0"/>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actions taken by the FDA and other regulatory authorities affecting our products and competitive products;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degree of success in commercializing our Technosphere Insulin System or our other product candidates;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emergence of competing technologies and products and other adverse market developments;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timing and amount of payments we might receive from potential licensees;</w:t>
      </w:r>
    </w:p>
    <w:p>
      <w:pPr>
        <w:spacing w:after="0" w:line="130" w:lineRule="exact"/>
        <w:rPr>
          <w:rFonts w:ascii="Arial" w:cs="Arial" w:eastAsia="Arial" w:hAnsi="Arial"/>
          <w:sz w:val="18"/>
          <w:szCs w:val="18"/>
          <w:b w:val="1"/>
          <w:bCs w:val="1"/>
          <w:color w:val="auto"/>
        </w:rPr>
      </w:pPr>
    </w:p>
    <w:p>
      <w:pPr>
        <w:ind w:left="220" w:right="320" w:hanging="212"/>
        <w:spacing w:after="0" w:line="277" w:lineRule="auto"/>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 and</w:t>
      </w:r>
    </w:p>
    <w:p>
      <w:pPr>
        <w:spacing w:after="0" w:line="75" w:lineRule="exact"/>
        <w:rPr>
          <w:rFonts w:ascii="Arial" w:cs="Arial" w:eastAsia="Arial" w:hAnsi="Arial"/>
          <w:sz w:val="18"/>
          <w:szCs w:val="18"/>
          <w:b w:val="1"/>
          <w:bCs w:val="1"/>
          <w:color w:val="auto"/>
        </w:rPr>
      </w:pPr>
    </w:p>
    <w:p>
      <w:pPr>
        <w:ind w:left="220" w:hanging="212"/>
        <w:spacing w:after="0"/>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costs of discontinuing projects and technologies or decommissioning existing facilities, if we undertake those activities.</w:t>
      </w:r>
    </w:p>
    <w:p>
      <w:pPr>
        <w:spacing w:after="0" w:line="11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have raised capital in the past primarily through the sale of equity securities. We may in the future pursue the sale of equity and/or debt securities, or the establishment of other funding facilities. Issuances of debt or additional equity could impact your rights as a holder of our common stock, may dilute your ownership percentage and may impose restrictions on our operations. These restrictions could include limitations on additional borrowing and specific restrictions on the use of our assets, as well as prohibitions on our ability to create liens, pay dividends, redeem our stock or make investments.</w:t>
      </w:r>
    </w:p>
    <w:p>
      <w:pPr>
        <w:spacing w:after="0" w:line="4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also may seek to raise additional capital by pursuing opportunities for the licensing, sale or divestiture of certain intellectual property and other assets, including our Technosphere technology platform. We cannot offer assurances, however, that any strategic collaborations, sales of securities or sale or license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8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the event that sufficient additional funds are not obtained through strategic collaboration opportunities, licensing arrangements, sales of securities and/or asset sales on a timely basis, we may be required to reduce expenses through the delay, reduction or curtailment of our projects, including our Technosphere Insulin System development activities, or further reduction of costs for facilities and administration.</w:t>
      </w:r>
    </w:p>
    <w:p>
      <w:pPr>
        <w:spacing w:after="0" w:line="69" w:lineRule="exact"/>
        <w:rPr>
          <w:sz w:val="20"/>
          <w:szCs w:val="20"/>
          <w:color w:val="auto"/>
        </w:rPr>
      </w:pPr>
    </w:p>
    <w:p>
      <w:pPr>
        <w:jc w:val="both"/>
        <w:ind w:right="140"/>
        <w:spacing w:after="0" w:line="282" w:lineRule="auto"/>
        <w:rPr>
          <w:sz w:val="20"/>
          <w:szCs w:val="20"/>
          <w:color w:val="auto"/>
        </w:rPr>
      </w:pPr>
      <w:r>
        <w:rPr>
          <w:rFonts w:ascii="Arial" w:cs="Arial" w:eastAsia="Arial" w:hAnsi="Arial"/>
          <w:sz w:val="18"/>
          <w:szCs w:val="18"/>
          <w:b w:val="1"/>
          <w:bCs w:val="1"/>
          <w:color w:val="auto"/>
        </w:rPr>
        <w:t>We depend heavily on the successful development and commercialization of our lead product candidate, the Technosphere Insulin System, which is still under development, and our other product candidates, which are in preclinical development.*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To date, we have not completed the development of any products through to commercialization. Only our Technosphere Insulin System is currently undergoing clinical trials, while our other product candidates are in research or preclinical development. We anticipate that in the near term our ability to generate revenues will depend solely on the successful development and commercialization of our Technosphere Insulin System.</w:t>
      </w:r>
    </w:p>
    <w:p>
      <w:pPr>
        <w:spacing w:after="0" w:line="3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have expended significant time, money and effort in the development of our lead product candidate, the Technosphere Insulin System, which has not yet received regulatory approval and which may never be commercialized. Before we can market and sell our Technosphere Insulin System, we will need to advance our Technosphere Insulin System through Phase 3 clinical trials and demonstrate in these trials that our Technosphere Insulin System is safe and effective. We initiated an additional major Phase 3 clinical trial this past quarter. Also, we currently anticipate conducting several special population studies which will require additional time and substantial expenditure of resources. We must also receive the necessary approvals from the FDA and similar foreign regulatory agencies before this product can be marketed in the United States or elsewhere. Even if we were to receive regulatory approval, we ultimately may be unable to gain market acceptance of our Technosphere Insulin System for a variety of reasons, including the treatment and dosage regimen, potential adverse effects, the availability of alternative treatments and cost effectiveness. If we fail to commercialize our Technosphere Insulin System, our business, financial condition and results of operations will be materially and adversely affected.</w:t>
      </w:r>
    </w:p>
    <w:p>
      <w:pPr>
        <w:spacing w:after="0" w:line="7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seeking to develop and expand our portfolio of product candidates through our internal research programs and through licensing or otherwise acquiring the rights to therapeutics in the areas of cancer and other areas. All of these product candidates will require additional research and development and significant preclinical, clinical and other testing prior to seeking regulatory approval to market them. Accordingly, these product candidates will not be commercially available for a number of years, if at all.</w:t>
      </w:r>
    </w:p>
    <w:p>
      <w:pPr>
        <w:spacing w:after="0" w:line="7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significant portion of the research that we are conducting involves new and unproven compounds and technologies, including our Technosphere Insulin System, Technosphere platform technology and immunotherapy product candidates. Research programs to identify new product candidates require substantial technical, financial and human resources. Even if our research programs identify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successfully complete the development and commercialization of our Technosphere Insulin System or develop or expand our other product candidates, or are significantly delayed in doing so, our business and results of operations will be harmed and the value of our stock could decline.</w:t>
      </w:r>
    </w:p>
    <w:p>
      <w:pPr>
        <w:spacing w:after="0" w:line="55"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If we do not achieve our projected development goals in the timeframes we announce and expect, our business would be harmed and the market price of our common stock could decline.</w:t>
      </w:r>
    </w:p>
    <w:p>
      <w:pPr>
        <w:spacing w:after="0" w:line="5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publicly announce the expected timing of some of these milestones. All of these milestones are based on a variety of assumptions. The actual timing of the achievement of these milestones can vary dramatically compared to our estimates — in many cases for reasons beyond our control — depending on numerous factors, including:</w:t>
      </w:r>
    </w:p>
    <w:p>
      <w:pPr>
        <w:spacing w:after="0" w:line="80" w:lineRule="exact"/>
        <w:rPr>
          <w:sz w:val="20"/>
          <w:szCs w:val="20"/>
          <w:color w:val="auto"/>
        </w:rPr>
      </w:pPr>
    </w:p>
    <w:p>
      <w:pPr>
        <w:ind w:left="660" w:right="60" w:hanging="436"/>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rate of progress, costs and results of our clinical trial and research and development activities, which will be impacted by the level of proficiency and experience of our clinical staff;</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our ability to identify and enroll patients who meet clinical trial eligibility criteria;</w:t>
      </w:r>
    </w:p>
    <w:p>
      <w:pPr>
        <w:spacing w:after="0" w:line="130" w:lineRule="exact"/>
        <w:rPr>
          <w:rFonts w:ascii="Arial" w:cs="Arial" w:eastAsia="Arial" w:hAnsi="Arial"/>
          <w:sz w:val="18"/>
          <w:szCs w:val="18"/>
          <w:b w:val="1"/>
          <w:bCs w:val="1"/>
          <w:color w:val="auto"/>
        </w:rPr>
      </w:pPr>
    </w:p>
    <w:p>
      <w:pPr>
        <w:ind w:left="660" w:right="180" w:hanging="436"/>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our ability to access sufficient, reliable and affordable supplies of components used in the manufacture of our product candidates, including insulin and other materials for our Technosphere Insulin System;</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costs of expanding and maintaining manufacturing operations, as necessary;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extent of scheduling conflicts with participating clinicians and clinical institutions;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receipt of approvals by our competitors and by us from the FDA and other regulatory agencies; and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other actions by regulators.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if we do not obtain sufficient additional funds through sales of securities, strategic collaborations or the sale or license of our assets on a timely basis, we may be required to reduce expenses by delaying, reducing or curtailing our Technosphere Insulin System or other product development activities, which would impact our ability to meet milestones. If we fail to commence or complete, or experience delays in or are forced to curtail, our proposed clinical programs or otherwise fail to adhere to our projected development goals in the timeframes we announce and expect, our business and results of operations will be harmed and the market price of our common stock may decline.</w:t>
      </w:r>
    </w:p>
    <w:p>
      <w:pPr>
        <w:spacing w:after="0" w:line="76"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We face substantial competition in the development of our product candidates and may not be able to compete successfully, and our product candidates may be rendered obsolete by rapid technological change.*</w:t>
      </w:r>
    </w:p>
    <w:p>
      <w:pPr>
        <w:spacing w:after="0" w:line="5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initially are focusing on the development of the Technosphere Insulin System for the treatment of diabetes, and we face intense competition in this area. In January 2006, the FDA and the European Commission approved Exubera, developed by Pfizer, Inc. in collaboration with Nektar Therapeutics, for the treatment of adults with type 1 and type 2 diabetes. Eli Lilly and Company, in collaboration with Alkermes, Inc., initiated a Phase 3 clinical trial in July 2005, required for registration of their inhaled insulin system. Novo Nordisk A.S. has announced their intention to re-initiate Phase 3 clinical trials of their inhaled insulin product. In addition, a number of established pharmaceutical companies have or are developing technologies for the treatment of diabetes. We also face substantial competition for the development of our other product candidates.</w:t>
      </w:r>
    </w:p>
    <w:p>
      <w:pPr>
        <w:spacing w:after="0" w:line="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Many of our existing or potential competitors have, or have access to, substantially greater financial, research and development, production, and sales and marketing resources than we do and have a greater depth and number of experienced managers. As a result, our competitors may be better equipped than we are to develop, manufacture, market and sell competing products.</w:t>
      </w:r>
    </w:p>
    <w:p>
      <w:pPr>
        <w:spacing w:after="0" w:line="7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rapid rate of scientific discoveries and technological changes could result in one or more of our products becoming obsolete or noncompetitive. Our competitors may develop or introduce new products that render our technology and our Technosphere Insulin System less competitive, uneconomical or obsolete. Pfizer, the first to commercialize an inhaled insulin system, will have an advantage in being able to gain reputation and market share as well as set parameters for the inhaled insulin market, such as pricing and reimbursement strategies. Our future success will depend not only on our ability to develop our products but to improve them and to keep pace with emerging industry developments. We cannot assure you that we will be able to do so.</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expect to face increasing competition from universities and other non-profit research organizations. These institutions carry out a significant amount of research and development in the areas of diabetes and cancer. These institutions are becoming increasingly aware of the commercial value of their findings and are more active in seeking patent and other proprietary rights as well as licensing revenues.</w:t>
      </w:r>
    </w:p>
    <w:p>
      <w:pPr>
        <w:spacing w:after="0" w:line="69"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If we fail to enter into a strategic collaboration with respect to our Technosphere Insulin System, we may not be able to execute on our business model.</w:t>
      </w:r>
    </w:p>
    <w:p>
      <w:pPr>
        <w:spacing w:after="0" w:line="5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are currently evaluating potential collaborations with respect to our Technosphere Insulin System. If we are not able to enter into a collaboration on terms that are favorable to us, we could be required to undertake and fund product development, clinical trials, manufacturing and marketing activities solely at our own expense. We currently estimate that the cost to continue the development of the Technosphere Insulin System over the next 12 months would be up to $200 million. However, this estimate may change based on how the program proceeds. Failure to enter into a collaboration with respect to our Technosphere Insulin System could substantially increase our requirements for capital, which might not be available on favorable terms, if at all. Alternatively, we would have to substantially reduce our development efforts, which would delay or otherwise impede the commercialization of our Technosphere Insulin System.</w:t>
      </w:r>
    </w:p>
    <w:p>
      <w:pPr>
        <w:spacing w:after="0" w:line="5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will face similar challenges as we seek to develop our other product candidates. Our current strategy for developing, manufacturing and commercializing our other product candidates includes evaluating the potential for collaborating with pharmaceutical and biotechnology companies at some point in the drug development process and for these collaborators to undertake the advanced clinical development and commercialization of our product candidates. It may be difficult for us to find third parties that are willing to enter into collaborations on economic terms that are favorable to us, or at all. Failure to enter into a collaboration with respect to any other product candidate could substantially increase our requirements for capital and force us to substantially reduce our development effort.</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we enter into collaborative agreements and if our third-party collaborators do not perform satisfactorily or if our collaborations fail, development or commercialization of our Technosphere Insulin System may be delayed and our business could be harmed.</w:t>
      </w:r>
    </w:p>
    <w:p>
      <w:pPr>
        <w:spacing w:after="0" w:line="58"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We currently rely on clinical research organizations and hospitals to conduct, supervise or monitor some or all aspects of clinical trials involving our Technosphere Insulin System. Further, we may also enter into license agreements, partnerships or other collaborative arrangements to support financing, development and marketing of our Technosphere Insulin System. We may also license technology from others to enhance or supplement our technologies. These various collaborators may enter into arrangements that would make them potential competitors. These various collaborators also may breach their agreements with us and delay our progress or fail to perform under their agreements, which could harm our business.</w:t>
      </w:r>
    </w:p>
    <w:p>
      <w:pPr>
        <w:spacing w:after="0" w:line="50"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If we enter into collaborative arrangements, we will have less control over the timing, planning and other aspects of our clinical trials, and the sale and marketing of our Technosphere Insulin System and our other product candidates. We cannot offer assurances that we will be able to enter into satisfactory arrangements with third parties as contemplated or that any of our existing or future collaborations will be successful.</w:t>
      </w:r>
    </w:p>
    <w:p>
      <w:pPr>
        <w:spacing w:after="0" w:line="5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Testing of our Technosphere Insulin System or another product candidate may not yield successful results, and even if it does, we may still be unable to commercialize that product candidate.</w:t>
      </w:r>
    </w:p>
    <w:p>
      <w:pPr>
        <w:spacing w:after="0" w:line="58"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Our research and development programs are designed to test the safety and efficacy of our Technosphere Insulin System and our other product candidates through extensive preclinical and clinical testing. We may experience numerous unforeseen events during, or as a result of, the testing process that could delay or prevent commercialization of our Technosphere Insulin System or any of our other product candidates, including the following:</w:t>
      </w:r>
    </w:p>
    <w:p>
      <w:pPr>
        <w:spacing w:after="0" w:line="39" w:lineRule="exact"/>
        <w:rPr>
          <w:sz w:val="20"/>
          <w:szCs w:val="20"/>
          <w:color w:val="auto"/>
        </w:rPr>
      </w:pPr>
    </w:p>
    <w:p>
      <w:pPr>
        <w:ind w:left="660" w:right="120" w:hanging="436"/>
        <w:spacing w:after="0" w:line="264"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safety and efficacy results obtained in our preclinical and initial clinical testing may be inconclusive or may not be predictive of results obtained in later-stage clinical trials or following long-term use, and we may as a result be forced to stop developing product candidates that we currently believe are important to our future;</w:t>
      </w:r>
    </w:p>
    <w:p>
      <w:pPr>
        <w:spacing w:after="0" w:line="86"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data collected from clinical trials of our product candidates may not be sufficient to support FDA or other regulatory approval;</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after reviewing test results, we or any potential collaborators may abandon projects that we previously believed were promising; and</w:t>
      </w:r>
    </w:p>
    <w:p>
      <w:pPr>
        <w:spacing w:after="0" w:line="130" w:lineRule="exact"/>
        <w:rPr>
          <w:rFonts w:ascii="Arial" w:cs="Arial" w:eastAsia="Arial" w:hAnsi="Arial"/>
          <w:sz w:val="18"/>
          <w:szCs w:val="18"/>
          <w:b w:val="1"/>
          <w:bCs w:val="1"/>
          <w:color w:val="auto"/>
        </w:rPr>
      </w:pPr>
    </w:p>
    <w:p>
      <w:pPr>
        <w:ind w:left="660" w:right="22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if approved.</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initiated a pivotal Phase 3 safety study of our Technosphere Insulin System to evaluate pulmonary function over a period of two years. Our Technosphere Insulin System is intended for multiple uses per day. Due to the size and timeframe over which existing and planned clinical trials are conducted, the results of clinical trials, including our existing Phase 3 trials, may not be indicative of the effects of the use of our Technosphere Insulin System over longer terms. If long-term use of our Technosphere Insulin System results in adverse health effects or reduced efficacy or both, the FDA or other regulatory agencies may terminate our ability to market and sell our Technosphere Insulin System, may narrow the approved indications for use or otherwise require restrictive product labeling or marketing, or may require further clinical trials, which may be time-consuming and expensive, and may not produce favorable results.</w:t>
      </w:r>
    </w:p>
    <w:p>
      <w:pPr>
        <w:spacing w:after="0" w:line="8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As a result of any of these events, the FDA, other regulatory authorities, any collaborator or we may suspend or terminate clinical trials or marketing of our Technosphere Insulin System at any time. Any suspension or termination of our clinical trials or marketing activities may harm our business and results of operations and the market price of our common stock may decline.</w:t>
      </w:r>
    </w:p>
    <w:p>
      <w:pPr>
        <w:spacing w:after="0" w:line="6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we are unable to transition successfully from an early-stage development company to a company that commercializes therapeutics, our operations would suffer.</w:t>
      </w:r>
    </w:p>
    <w:p>
      <w:pPr>
        <w:spacing w:after="0" w:line="5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are reaching a critical juncture in our development, transitioning from an early-stage development company to one with multiple Phase 3 clinical trials. Phase 3 development of the Technosphere Insulin System is far more complex than the earlier phases. Overall, we plan to support a significant number of studies in the near term. We have not previously implemented the range of studies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contemplated for our Phase 3 clinical program. Moreover, as a company, we have no previous experience in the Phase 3-through-new drug application, or NDA, stage of product development.</w:t>
      </w:r>
    </w:p>
    <w:p>
      <w:pPr>
        <w:spacing w:after="0" w:line="62"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We require a well-structured plan to make this transition. In the past year, we have added a significant number of new executive personnel, particularly in clinical development, regulatory and manufacturing production, including personnel with significant Phase 3-to-commercialization experience. We have aligned our management structure to accommodate the increasing complexity of our operations, and we are implementing the following measures, among others, to accommodate our transition, complete development of our Technosphere Insulin System and successfully implement our commercialization strategy for our Technosphere Insulin System:</w:t>
      </w:r>
    </w:p>
    <w:p>
      <w:pPr>
        <w:spacing w:after="0" w:line="80"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expand our manufacturing capabilities;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develop comprehensive and detailed commercialization, clinical development and regulatory plans;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implement standard operating procedures, including those for protocol development.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If we are unable to accomplish these measures in a timely manner, we would be at considerable risk of failing to:</w:t>
      </w:r>
    </w:p>
    <w:p>
      <w:pPr>
        <w:spacing w:after="0" w:line="117" w:lineRule="exact"/>
        <w:rPr>
          <w:sz w:val="20"/>
          <w:szCs w:val="20"/>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complete our Phase 3 clinical trial program in a deliberate fashion, on time and within budget;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develop through our Phase 3 trials the key clinical data needed to obtain regulatory approval and compete successfully in the marketplace.</w:t>
      </w:r>
    </w:p>
    <w:p>
      <w:pPr>
        <w:spacing w:after="0" w:line="125"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b w:val="1"/>
          <w:bCs w:val="1"/>
          <w:color w:val="auto"/>
        </w:rPr>
        <w:t>If our suppliers fail to deliver materials and services needed for the production of our Technosphere Insulin System in a timely and sufficient manner, or they fail to comply with applicable regulations, our business and results of operations would be harmed and the market price of our common stock could decline.</w:t>
      </w:r>
    </w:p>
    <w:p>
      <w:pPr>
        <w:spacing w:after="0" w:line="7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For our Technosphere Insulin System to be commercially viable, we need access to sufficient, reliable and affordable supplies of insulin, our MedTone inhaler, the related cartridges and other materials. We currently have a long-term supply agreement with Diosynth B.V., an independent supplier of insulin and a subsidiary of Akzo Nobel, which is currently our sole supplier for insulin. We are aware of at least five other suppliers of bulk insulin but to date we have not entered into a commercial relationship with any of the five. Currently we obtain our Technosphere precursor raw material from Degussa AG, a major chemical manufacturer with facilities in Europe and North America. We utilize our in-house chemical manufacturing plant as a back up facility. Degussa AG has the capacity to supply our current clinical and future commercial requirements. We entered into a long-term supply agreement with Vaupell, Inc., the supplier of our MedTone inhaler and cartridges. We must rely on our suppliers to comply with relevant regulatory and other legal requirements, including the production of insulin in accordance with current drug Good Manufacturing Practices, or cGMP, and the production of MedTone inhaler and related cartridges in accordance with device Quality System Regulations, or QSR. The supply of all of these materials may be limited or the manufacturer may not meet relevant regulatory requirements, and if we are unable to obtain these materials in sufficient amounts, in a timely manner and at reasonable prices, or if we should encounter delays or difficulties in our relationships with manufacturers or suppliers, the development or manufacturing of our Technosphere Insulin System may be delayed. Any such events would delay the submission of our Technosphere Insulin System for regulatory approval or market introduction and subsequent sales and, if so, our business and results of operations will be harmed and the market price of our common stock may decline.</w:t>
      </w:r>
    </w:p>
    <w:p>
      <w:pPr>
        <w:spacing w:after="0" w:line="63"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We have never manufactured our Technosphere Insulin System or any other product candidate in commercial quantities, and if we fail to develop an effective manufacturing capability for our product candidates or to engage third-party manufacturers with this capability, we may be unable to commercialize these products.</w:t>
      </w:r>
    </w:p>
    <w:p>
      <w:pPr>
        <w:spacing w:after="0" w:line="7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currently obtain our Technosphere precursor raw material primarily from Degussa AG. We use our Danbury, Connecticut facility to formulate Technosphere Insulin, fill plastic cartridges with Technosphere Insulin and blister package the cartridges for our clinical trials. We presently intend to increase our formulation, fill and finishing capabilities at Danbury in order to accommodate our activities through initial commercialization. This expansion will involve a number of third-party suppliers of equipment and materials as well as engineering and construction services. Our suppliers may not deliver all of the required equipment, materials and services in a timely manner or at reasonable prices. If we encounter difficulties in our relationships with these suppliers, or if a supplier becomes unable to provide us with goods or services at the agreed-upon price, our facilities expansion could be delayed or its costs increased.</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have never manufactured our Technosphere Insulin System or any other product candidate in commercial quantities. As our product candidates move through the regulatory process, we will need to either develop the capability of manufacturing on a commercial scale or engage third-party manufacturers with this capability, and we cannot offer assurances that we will be able to do either successfully.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In addition, before we would be able to produce commercial quantities of Technosphere Insulin at our Danbury facility, it would have to undergo a pre-approval inspection by the FDA. The expansion process and preparation for the FDA’s pre-approval inspection for commercial production at the Danbury facility could take an additional six months or longer. If we use a third-party supplier to formulate Technosphere Insulin or produce raw material, the transition could also require significant start-up time to qualify and implement the manufacturing process. If we engage a third-party manufacturer, our third-party manufacturer may not perform as agreed or may terminate its agreement with us.</w:t>
      </w:r>
    </w:p>
    <w:p>
      <w:pPr>
        <w:spacing w:after="0" w:line="7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Any of these factors could cause us to delay or suspend clinical trials, regulatory submissions, required approvals or commercialization of our product candidates, entail higher costs and result in our being unable to effectively commercialize our products. Furthermore, if we or a third-party manufacturer fail to deliver the required commercial quantities of any product on a timely basis and at commercially reasonable prices, and we were unable to promptly find one or more replacement manufacturers capable of production at a substantially equivalent cost, in substantially equivalent volume and on a timely basis, we would likely be unable to meet demand for such products and we would lose potential revenues.</w:t>
      </w:r>
    </w:p>
    <w:p>
      <w:pPr>
        <w:spacing w:after="0" w:line="60"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We deal with hazardous materials and must comply with environmental laws and regulations, which can be expensive and restrict how we do business.</w:t>
      </w:r>
    </w:p>
    <w:p>
      <w:pPr>
        <w:spacing w:after="0" w:line="5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Our research and development work involves the controlled storage and use of hazardous materials, including chemical, radioactive and biological materials. In addition, our manufacturing operations involve the use of CBZ-lysine, which is stable and non-hazardous under normal storage conditions, but may form an explosive mixture under certain conditions. Our operations also produce hazardous waste products. We are subject to federal, state and local laws and regulations governing how we use, manufacture, store, handle and dispose of these materials.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 million per occurrence and $2 million in the aggregate and is supplemented by an umbrella policy that provides a further $4 million of coverage; however, our insurance policy excludes pollution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w:t>
      </w:r>
    </w:p>
    <w:p>
      <w:pPr>
        <w:spacing w:after="0" w:line="70"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When we purchased the facilities located in Danbury, Connecticut, in 2001 there was a soil cleanup plan in process. As part of the purchase, we obtained an indemnification from the seller related to the remediation of the soil for all known environmental conditions that existed at the time the seller acquired the property. The seller is, in turn, indemnified for these known environmental conditions by the previous owner. We initiated the final stages of the soil cleanup plan which we estimate will cost $1.5 to $2.0 million to complete by the end of 2007. We also received an indemnification from the seller for environmental conditions created during its ownership of the property and for environmental problems unknown at the time that the seller acquired the property. These additional indemnities are limited to the purchase price that we paid for the Danbury facilities. In the event that any cleanup costs are imposed on us and we are unable to collect the full amount of these costs and expenses from the seller or the party responsible for the contamination, we may be required to pay these costs and our business and results of operations may be harmed.</w:t>
      </w:r>
    </w:p>
    <w:p>
      <w:pPr>
        <w:spacing w:after="0" w:line="67"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If we fail to enter into collaborations with third parties, we would be required to establish our own sales, marketing and distribution capabilities, which could impact the commercialization of our products and harm our business.*</w:t>
      </w:r>
    </w:p>
    <w:p>
      <w:pPr>
        <w:spacing w:after="0" w:line="5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 broad base of physicians, including primary care physicians, internists and endocrinologists, treat patients with diabetes. A large sales force will be required in order to educate and support these physicians. Therefore, we may enter into collaborations with one or more pharmaceutical companies to sell, market and distribute our Technosphere Insulin System, if it is approved. If we fail to enter into collaborations, we would be required to establish our own direct sales, marketing and distribution capabilities. Establishing these capabilities can be time-consuming and expensive and we estimate that establishing a specialty sales force would cost more than $35 million. Because of our size, we would be at a disadvantage to our potential competitors, all of which either are or have collaborated with large pharmaceutical companies that have substantially more resources than we do. As a result, we would not initially be able to</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field a sales force as large as our competitors or provide the same degree of market research or marketing support. In addition, our competitors would have a greater ability to devote research resources toward expansion of the indications for their products. We cannot assure you that we will succeed in entering into acceptable collaborations, that any such collaboration will be successful or, if not, that we will successfully develop our own sales, marketing and distribution capabilities.</w:t>
      </w:r>
    </w:p>
    <w:p>
      <w:pPr>
        <w:spacing w:after="0" w:line="75"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If any product that we may develop does not become widely accepted by physicians, patients, third-party payors and the healthcare community, we may be unable to generate significant revenue, if any.</w:t>
      </w:r>
    </w:p>
    <w:p>
      <w:pPr>
        <w:spacing w:after="0" w:line="58"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Technosphere Insulin System and our other product candidates are new and unproven. Even if any of our product candidates obtain regulatory approvals, it may not gain market acceptance among physicians, patients, third-party payors and the healthcare community. Failure to achieve market acceptance would limit our ability to generate revenue and would adversely affect our 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The degree of market acceptance of our Technosphere Insulin System and our other product candidates will depend on many factors, including:</w:t>
      </w:r>
    </w:p>
    <w:p>
      <w:pPr>
        <w:spacing w:after="0" w:line="129" w:lineRule="exact"/>
        <w:rPr>
          <w:sz w:val="20"/>
          <w:szCs w:val="20"/>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claims for which FDA approval can be obtained, including superiority claims;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perceived advantages and disadvantages of competitive products;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willingness and ability of patients and the healthcare community to adopt new technologies;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ability to manufacture the product in sufficient quantities with acceptable quality and at an acceptable cost;</w:t>
      </w:r>
    </w:p>
    <w:p>
      <w:pPr>
        <w:spacing w:after="0" w:line="130" w:lineRule="exact"/>
        <w:rPr>
          <w:rFonts w:ascii="Arial" w:cs="Arial" w:eastAsia="Arial" w:hAnsi="Arial"/>
          <w:sz w:val="18"/>
          <w:szCs w:val="18"/>
          <w:b w:val="1"/>
          <w:bCs w:val="1"/>
          <w:color w:val="auto"/>
        </w:rPr>
      </w:pPr>
    </w:p>
    <w:p>
      <w:pPr>
        <w:ind w:left="660" w:right="46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perception of patients and the healthcare community, including third-party payors, regarding the safety, efficacy and benefits of the product compared to those of competing products or therapies;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convenience and ease of administration of the product relative to existing treatment methods;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pricing and reimbursement of the product relative to existing treatment therapeutics and methods;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marketing and distribution support for the product.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Physicians will not recommend a product until clinical data or other factors demonstrate the safety and efficacy of the product. Even if the clinical safety and efficacy of our product candidates is established, physicians may elect not to recommend these product candidates for a variety of factors, including the reimbursement policies of government and third-party payors and the effectiveness of our competitors in marketing their therapies. Because of these and other factors, any product that we may develop may not gain market acceptance, which would materially harm our business, financial condition and results of operations.</w:t>
      </w:r>
    </w:p>
    <w:p>
      <w:pPr>
        <w:spacing w:after="0" w:line="76"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If third-party payors do not reimburse customers for our products, our products might not be used or purchased, which would adversely affect our revenues.</w:t>
      </w:r>
    </w:p>
    <w:p>
      <w:pPr>
        <w:spacing w:after="0" w:line="58"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color w:val="auto"/>
        </w:rPr>
        <w:t>Our future revenues and potential for profitability may be affected by the continuing efforts of governments and third-party payors to contain or reduce the costs of healthcare through various means. For example, in certain foreign markets the pricing of prescription pharmaceuticals is subject to governmental control. In the United States, there has been, and we expect that there will continue to be, a number of federal and state proposals to implement similar governmental controls. We cannot be certain what legislative proposals will be adopted or what actions federal, state or private payors for healthcare goods and services may take in response to any healthcare reform proposals or legislation. Such reforms may make it difficult to complete the development and testing of our Technosphere Insulin System and our other product candidates, and therefore may limit our ability to generate revenues from sales of our product candidates and achieve profitability. Further, to the extent that such reforms have a material adverse effect on the business, financial condition and profitability of other companies that are prospective collaborators for some of our product candidates, our ability to commercialize our product candidates under development may be adversely affected.</w:t>
      </w:r>
    </w:p>
    <w:p>
      <w:pPr>
        <w:spacing w:after="0" w:line="7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United States and elsewhere, sales of prescription pharmaceuticals still depend in large part on the availability of reimbursement to the consumer from third-party payors, such as governmental and private insurance plans. Third-party payors are increasingly challenging the prices charged for medical products and services. In addition, because each third-party payor individually approves reimbursement, obtaining these approvals is a time-consuming and costly process. We would be required to provide scientific and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clinical support for the use of any product to each third-party payor separately with no assurance that approval would be obtained. This process could delay the market acceptance of any product and could have a negative effect on our future revenues and operating results. Even if we succeed in bringing one or more products to market, we cannot be certain that any such products would be considered cost-effective or that reimbursement to the consumer would be available, in which case our business and results of operations would be harmed and the market price of our common stock could decline.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product liability claims are brought against us, we may incur significant liabilities and suffer damage to our reputation.</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testing, manufacturing, marketing and sale of our Technosphere Insulin System and our other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trial volunteers and loss of revenues. We currently carry worldwide liability insurance in the amount of $5 million. We believe these limits are reasonable to cover us from potential damages arising from current and previous clinical trials of our Technosphere Insulin System. In addition, we carry local policies per trial in each country in which we conduct clinical trials that requires us to carry coverage based on local statutory requirements. We intend to obtain product liability coverage for commercial sales in the future if our Technosphere Insulin System is approved. However, we may not be able to obtain insurance coverage that will be adequate to satisfy any liability that may arise, and because insurance coverage in our industry can be very expensive and difficult to obtain, we cannot assure you that we will be able to obtain sufficient coverage at an acceptable cost, if at all. If losses from such claims exceed our liability insurance coverage, we may ourselves incur substantial liabilities. If we are required to pay a product liability claim, we may not have sufficient financial resources to complete development or commercialization of any of our product candidates and, if so, our business and results of operations would be harmed and the market price of our common stock may decline.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lose any key employees or scientific advisors, our operations and our ability to execute our business strategy could be materially harmed.</w:t>
      </w:r>
    </w:p>
    <w:p>
      <w:pPr>
        <w:spacing w:after="0" w:line="144"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In order to commercialize our product candidates successfully, we will be required to expand our work force, particularly in the areas of manufacturing, clinical trials management, regulatory affairs, business development, and sales and marketing. These activities will require the addition of new personnel, including management, and the development of additional expertise by existing personnel. 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w:t>
      </w:r>
    </w:p>
    <w:p>
      <w:pPr>
        <w:spacing w:after="0" w:line="6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loss of the services of any principal member of our management and scientific staff could significantly delay or prevent the achievement of our scientific and business objectives. All of our employees are “at will” and we currently do not have employment agreements with any of the principal members of our management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our product candidates successfully.</w:t>
      </w:r>
    </w:p>
    <w:p>
      <w:pPr>
        <w:spacing w:after="0" w:line="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our product candidates.</w:t>
      </w:r>
    </w:p>
    <w:p>
      <w:pPr>
        <w:spacing w:after="0" w:line="8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our Chief Executive Officer is unable to devote sufficient time and attention to our business, our operations and our ability to execute our business strategy could be materially harmed.</w:t>
      </w:r>
    </w:p>
    <w:p>
      <w:pPr>
        <w:spacing w:after="0" w:line="58"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Alfred Mann, our Chairman and Chief Executive Officer, is also serving as the Chairman and Co-Chief Executive Officer of Advanced Bionics Corporation, a wholly owned subsidiary of Boston Scientific Corporation. Mr. Mann is involved in many other business and charitable activities. As a result, the time and attention Mr. Mann devotes to the operation of our business varies, and he may not expend the same time or focus on our activities as other, similarly situated chief executive officers. If Mr. Mann is unable to devote the time and attention necessary to running our business, we may not be able to execute our business strategy and our business could be materially harmed.</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We have been sued by our former Chief Medical Officer. As a result of this litigation, we may incur material costs and suffer other consequences, which may adversely affect us.*</w:t>
      </w:r>
    </w:p>
    <w:p>
      <w:pPr>
        <w:spacing w:after="0" w:line="5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May 2005, Dr. Cheatham filed a complaint against us in the California Superior Court. The complaint alleges causes of action for wrongful termination in violation of public policy, breach of contract and retaliation in connection with the termination of Dr. Cheatham’s employment. In the complaint,</w:t>
      </w:r>
    </w:p>
    <w:p>
      <w:pPr>
        <w:spacing w:after="0" w:line="270" w:lineRule="auto"/>
        <w:rPr>
          <w:sz w:val="20"/>
          <w:szCs w:val="20"/>
          <w:color w:val="auto"/>
        </w:rPr>
      </w:pPr>
      <w:r>
        <w:rPr>
          <w:rFonts w:ascii="Arial" w:cs="Arial" w:eastAsia="Arial" w:hAnsi="Arial"/>
          <w:sz w:val="17"/>
          <w:szCs w:val="17"/>
          <w:color w:val="auto"/>
        </w:rPr>
        <w:t>Dr. Cheatham seeks compensatory, punitive and exemplary damages in excess of $2.0 million as well as reimbursement of attorneys’ fees. In June 2005, we answered the complaint and also filed a cross-complaint against Dr. Cheatham, alleging claims for libel per se, trade libel, breach of contract, breach of the implied covenant of good faith and fair dealing and breach of the duty of loyalty. In July 2005, Dr. Cheatham filed a demurrer, and a motion to strike our cross-complaint under California’s anti-SLAPP statute. In September 2005, the California Superior Court overruled Dr. Cheatham’s demurrer and denied his motion to strike the Company’s cross-complaint. Dr. Cheatham has appealed the Court’s ruling denying his motion to strike. Discovery as to Dr. Cheatham’s claims against us is proceeding, and this case is scheduled for trial to commence in February 2007.</w:t>
      </w:r>
    </w:p>
    <w:p>
      <w:pPr>
        <w:spacing w:after="0" w:line="1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litigation will result in costs and divert management’s attention and resources, any of which could adversely affect our business, results of operations or financial position. We are also concerned that, despite the findings by an independent counsel following an investigation and despite the endorsement of the independent counsel’s report by our board of directors, investors could give undue weight to Dr. Cheatham’s allegations, resulting in damage to our reputation, or the FDA could begin an investigation, either of which could adversely affect the trading price of our common stock. To date, we have not been notified of any investigation by the FDA. If we are not successful in this litigation, we could be forced to make a significant settlement or judgment payment to Dr. Cheatham, which could adversely affect our business, results of operations or financial position.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facilities that are located in Southern California may be affected by natural disasters.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headquarters and some of our research and development activities are located in Southern California, where they are subject to an enhanced risk of natural and other disasters such as power and telecommunications failures, mudslides, fires and earthquakes. A fire, earthquake or other catastrophic loss that causes significant damage to our facilities or interruption of our business could harm our business. We do not carry insurance to cover losses caused by earthquakes, and the insurance coverage that we carry for fire damage and for business interruption may be insufficient to compensate us for any losses that we may incur.</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our internal controls over financial reporting are not considered effective, our business and stock price could be adversely affected.*</w:t>
      </w:r>
    </w:p>
    <w:p>
      <w:pPr>
        <w:spacing w:after="0" w:line="13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management’s assessment of our internal controls over financial reporting.</w:t>
      </w:r>
    </w:p>
    <w:p>
      <w:pPr>
        <w:spacing w:after="0" w:line="7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internal controls over financial reporting will prevent all error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and on the market price of our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117"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Our product candidates must undergo rigorous preclinical and clinical testing and we must obtain regulatory approvals, which could be costly and time-consuming and subject us to unanticipated delays or prevent us from marketing any products.*</w:t>
      </w:r>
    </w:p>
    <w:p>
      <w:pPr>
        <w:spacing w:after="0" w:line="5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Our research and development activities, as well as the manufacturing and marketing of our product candidates, including our Technosphere Insulin System, are subject to regulation, including regulation for safety, efficacy and quality, by the FDA in the United States and comparable authorities in other countries. FDA regulations are wide-ranging and govern, among other things: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product design, development, manufacture and testing;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product labeling;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product storage and shipping;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pre-market clearance or approval;</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advertising and promotion;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product sales and distribution.</w:t>
      </w:r>
    </w:p>
    <w:p>
      <w:pPr>
        <w:spacing w:after="0" w:line="117"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Clinical testing can be costly and take many years, and the outcome is uncertain and susceptible to varying interpretations. We expect, based on our discussions with the FDA and on our understanding of the interactions between the FDA and other pharmaceutical companies developing inhaled insulin delivery systems, that we will need safety data covering at least two years from patients treated with our Technosphere Insulin System and that we must complete a two-year carcinogenicity study of Technosphere Insulin in rodents to obtain approval, among other requirements. We cannot be certain when or under what conditions we will undertake further clinical trials. The clinical trials of our product candidates may not be completed on schedule, the FDA or foreign regulatory agencies may order us to stop or modify our research, or these agencies may not ultimately approve any of our product candidates for commercial sale. The data collected from our clinical trials may not be sufficient to support regulatory approval of our various product candidates, including our Technosphere Insulin System. Even if we believe the data collected from our clinical trials are sufficient, the FDA has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6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requirements governing the conduct of clinical trials and manufacturing and marketing of our product candidates, including our Technosphere Insulin System, outside the United States vary widely from country to country. Foreign approvals may take longer to obtain than FDA approvals and can require, among other things, additional testing and different clinical trial designs. Foreign regulatory approval processes include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57"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process of obtaining FDA and other required regulatory approvals, including foreign approvals, is expensive, often takes many years and can vary substantially based upon the type, complexity and novelty of the products involved. We are not aware of any precedent for the successful commercialization of products based on our technology. On January 26, 2006, the FDA approved the first inhaled insulin product, Exubera. This may impact the development and registration of our Technosphere Insulin System in many ways, including: the approval of Exubera may increase the difficulty of enrolling patients in our clinical trials; Exubera may be viewed as standard of care by the FDA and used as a reference for the safety/efficacy evaluations of our Technosphere Insulin System; and the approval standards set for Exubera may be applied to other products that follow including our Technosphere Insulin System. The FDA has advised us that it will regulate our Technosphere Insulin System as a “combination product” because of the complex nature of the system that includes the combination of a new drug (Technosphere Insulin) and a new medical device (the MedTone inhaler used to administer the insulin). The FDA indicated that the review of a future drug marketing application for our Technosphere Insulin System will involve three separate review groups of the FDA: (1) the Metabolic and Endocrine Drug Products Division; (2) the Pulmonary Drug Products Division; and (3) the Center for Devices and Radiological Health within the FDA that reviews medical devices. We currently understand that the Metabolic and Endocrine Drug Products Division will be the lead group and will obtain consulting reviews from the other two FDA groups. The FDA has not made an official final decision in this regard, however, and we can make no assurances at this time about what impact FDA review by multiple groups will have on the review and approval of our product or whether we are correct in our understanding of how the Technosphere Insulin System will be reviewed and approved.</w:t>
      </w:r>
    </w:p>
    <w:p>
      <w:pPr>
        <w:spacing w:after="0" w:line="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Also, questions that have been raised about the safety of marketed drugs generally, including pertaining to the lack of adequate labeling, may result in increased cautiousness by the FDA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 FDA review of our Technosphere Insulin System as a combination product therapy may lengthen the product development and regulatory approval process, increase our development costs and delay or prevent the commercialization of our Technosphere Insulin System.</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are developing our Technosphere Insulin System as a new treatment for diabetes utilizing unique, proprietary components. As a combination product, any changes to either the MedTone inhaler, the Technosphere material or the insulin, including new suppliers, could possibly result in FDA requirements to repeat certain clinical studies. This means, for example, that switching to an alternate delivery system could require us to undertake additional clinical trials and other studies, which could significantly delay the development and commercialization of our Technosphere Insulin System. Our product candidates that are currently in development for the treatment of cancer also face similar obstacles and costs.</w:t>
      </w:r>
    </w:p>
    <w:p>
      <w:pPr>
        <w:spacing w:after="0" w:line="6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currently expect that our inhaler will be reviewed for approval as part of the NDA for our Technosphere Insulin System. No assurances exist that we will not be required to obtain separate device clearances or approval for use of our inhaler with our Technosphere Insulin System. This may result in our being subject to medical device review user fees and to other device requirements to market our inhaler and may result in significant delays in commercialization. Even if the device component is approved as part of our NDA for the Technosphere Insulin System, numerous device regulatory requirements still apply to the device part of the drug-device combination.</w:t>
      </w:r>
    </w:p>
    <w:p>
      <w:pPr>
        <w:spacing w:after="0" w:line="76"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We have only limited experience in filing and pursuing applications necessary to gain regulatory approvals, which may impede our ability to obtain timely approvals from the FDA or foreign regulatory agencies, if at all.</w:t>
      </w:r>
    </w:p>
    <w:p>
      <w:pPr>
        <w:spacing w:after="0" w:line="5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will not be able to commercialize our Technosphere Insulin System and other product candidates until we have obtained regulatory approval. We have no experience as a company in late-stage regulatory filings, such as preparing and submitting NDAs, which may place us at risk of delays, overspending and human resources inefficiencies. Any delay in obtaining, or inability to obtain, regulatory approval could harm our business.</w:t>
      </w:r>
    </w:p>
    <w:p>
      <w:pPr>
        <w:spacing w:after="0" w:line="53" w:lineRule="exact"/>
        <w:rPr>
          <w:sz w:val="20"/>
          <w:szCs w:val="20"/>
          <w:color w:val="auto"/>
        </w:rPr>
      </w:pPr>
    </w:p>
    <w:p>
      <w:pPr>
        <w:jc w:val="both"/>
        <w:ind w:right="500"/>
        <w:spacing w:after="0" w:line="266" w:lineRule="auto"/>
        <w:rPr>
          <w:sz w:val="20"/>
          <w:szCs w:val="20"/>
          <w:color w:val="auto"/>
        </w:rPr>
      </w:pPr>
      <w:r>
        <w:rPr>
          <w:rFonts w:ascii="Arial" w:cs="Arial" w:eastAsia="Arial" w:hAnsi="Arial"/>
          <w:sz w:val="18"/>
          <w:szCs w:val="18"/>
          <w:b w:val="1"/>
          <w:bCs w:val="1"/>
          <w:color w:val="auto"/>
        </w:rPr>
        <w:t>If we do not comply with regulatory requirements at any stage, whether before or after marketing approval is obtained, we may be subject to criminal prosecution, fined or forced to remove a product from the market or experience other adverse consequences, including restrictions or delays in obtaining regulatory marketing approval.</w:t>
      </w:r>
    </w:p>
    <w:p>
      <w:pPr>
        <w:spacing w:after="0" w:line="7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Even if we comply with regulatory requirements, we may not be able to obtain the labeling claims necessary or desirable for product promotion. We may also be required to undertake post-marketing trials. In addition, if we or other parties identify adverse effects after any of our products are on the market, or if manufacturing problems occur, regulatory approval may be withdrawn and a reformulation of our products, additional clinical trials, changes in labeling of, or indications of use for, our products and/or additional marketing applications may be required. If we encounter any of the foregoing problems, our business and results of operations will be harmed and the market price of our common stock may decline.</w:t>
      </w:r>
    </w:p>
    <w:p>
      <w:pPr>
        <w:spacing w:after="0" w:line="60"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Even if we obtain regulatory approval for our product candidates, such approval may be limited and we will be subject to stringent, ongoing government regulation.</w:t>
      </w:r>
    </w:p>
    <w:p>
      <w:pPr>
        <w:spacing w:after="0" w:line="5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Even if regulatory authorities approve any of our product candidates, they could approve less than the full scope of uses or labeling that we seek or otherwise require special warnings or other restrictions on use or marketing. Regulatory authorities may limit the segments of the diabetes population to which we or others may market our Technosphere Insulin System or limit the target population for our other product candidates. Based on currently available clinical studies, we believe that our Technosphere Insulin System may have certain advantages over currently approved insulin products including its approximation of the natural early insulin secretion normally seen in healthy individuals following the beginning of a meal. Nonetheless, there are no assurances that these and other advantages, if any, of the Technosphere Insulin System have clinical significance or can be confirmed in head-to-head clinical trials against appropriate approved comparator insulin drug products. Such comparative clinical trials are required to make these types of superiority claims in labeling or advertising. These aforementioned observations and others may therefore not be capable of substantiation in comparative clinical trials prior to our NDA submission, if at all, or otherwise may not be suitable for inclusion in product labeling or advertising and, as a result, our Technosphere Insulin System may not have competitive advantages when compared to other insulin products.</w:t>
      </w:r>
    </w:p>
    <w:p>
      <w:pPr>
        <w:spacing w:after="0" w:line="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manufacture, marketing and sale of these product candidates will be subject to stringent and ongoing government regulation. The FDA may also withdraw product approvals if problems concerning safety or efficacy of the product occur following approval. In response to questions that have been raised about the safety of certain approved prescription products, including the lack of adequate warnings, the FDA and Congress are currently considering new regulatory and legislative approaches to advertising, monitoring and assessing the safety of marketed drugs, including legislation providing the FDA with authority to mandate labeling changes for approved pharmaceutical products, particularly those related to safety. We also cannot be sure that the current Congressional and FDA initiatives pertaining to ensuring the safety of marketed drugs or other developments pertaining to the pharmaceutical industry will not adversely affect our operations.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If our facilities, or the facilities of our manufacturers or suppliers, cannot pass a preapproval plant inspection, the FDA will not approve the marketing of our product candidates.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and results of operations.</w:t>
      </w:r>
    </w:p>
    <w:p>
      <w:pPr>
        <w:spacing w:after="0" w:line="5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Our insulin supplier does not yet supply human recombinant insulin for an FDA-approved product and will likely be subject to an FDA preapproval inspection before the agency will approve a future marketing application for our Technosphere Insulin System.</w:t>
      </w:r>
    </w:p>
    <w:p>
      <w:pPr>
        <w:spacing w:after="0" w:line="5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insulin supplier sells its product outside of the US, however, we can make no assurances that our insulin supplier will be acceptable to the FDA. If we were required to find a new or additional supplier of insulin, we would be required to evaluate the new supplier’s ability to provide insulin that meets our specifications and quality requirements, which would require significant time and expense and could delay the manufacturing and future commercialization of our Technosphere Insulin System. We also depend on suppliers for other materials that comprise our Technosphere Insulin System, including our MedTone inhaler and cartridges. All of our device suppliers must comply with relevant regulatory requirements including QSR. It also is likely that major suppliers will be subject to FDA preapproval inspections before the agency will approve a future marketing application for our Technosphere Insulin System. At the present time our insulin supplier is certified to the ISO9001:2000 Standard. There can be no assurance, however, that if the FDA were to conduct a preapproval inspection of our insulin supplier or other suppliers, that the agency would find that the supplier substantially comply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6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Any regulatory approvals that we receive for our product candidates may also be subject to limitations on the indicated uses for which the product candidate may be marketed or contain requirements for potentially costly post-marketing follow-up clinical trials.</w:t>
      </w:r>
    </w:p>
    <w:p>
      <w:pPr>
        <w:spacing w:after="0" w:line="58"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Reports of side effects or safety concerns in related technology fields or in other companies’ clinical trials could delay or prevent us from obtaining regulatory approval or negatively impact public perception of our product candidates.</w:t>
      </w:r>
    </w:p>
    <w:p>
      <w:pPr>
        <w:spacing w:after="0" w:line="5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At present, there are a number of clinical trials being conducted by us and other pharmaceutical companies involving insulin delivery systems. If we discover that our product is associated with a significantly increased frequency of adverse events, or if other pharmaceutical companies announce that they observed frequent adverse events in their trials involving the pulmonary delivery of insulin, we could encounter delays in the timing of our clinical trials or difficulties in obtaining the approval of our Technosphere Insulin System. As well, the public perception of our products might be adversely affected, which could harm our business and results of operations and cause the market price of our common stock to decline, even if the concern relates to another company’s product.</w:t>
      </w:r>
    </w:p>
    <w:p>
      <w:pPr>
        <w:spacing w:after="0" w:line="5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For example, in August 2004, an analyst reported that the United Kingdom Committee on the Safety of Medicines had expressed concern that a European application for approval of a drug for the treatment of diabetes was not licensable at the time. Earlier in 2004, sanofi-aventis, on behalf of Pfizer and Nektar, filed for regulatory approval in Europe of Exubera. Although the identity of the drug was not disclosed in the analyst’s report, the news nonetheless triggered temporary but sharp declines in the market prices of Nektar’s common stock as well as our common stock.</w:t>
      </w:r>
    </w:p>
    <w:p>
      <w:pPr>
        <w:spacing w:after="0" w:line="6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There are also a number of clinical trials being conducted by other pharmaceutical companies involving compounds similar to, or competitive with, our other product candidates. Adverse results reported by these other companies in their clinical trials could delay or prevent us from obtaining regulatory approval or negatively impact public perception of our product candidates, which could harm our business and results of operations and cause the market price of our common stock to decline.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protect our proprietary rights, we may not be able to compete effectively, or operate profitably.*</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know-how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similar alternative technologies.</w:t>
      </w:r>
    </w:p>
    <w:p>
      <w:pPr>
        <w:spacing w:after="0" w:line="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Moreover,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re-examinations in the US. If we attempt to enforce our patents, they may be challenged in court where they could be held invalid, unenforceable, or have their breadth narrowed to an extent that would destroy their value.</w:t>
      </w:r>
    </w:p>
    <w:p>
      <w:pPr>
        <w:spacing w:after="0" w:line="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We also execute confidentiality agreements with outside collaborators. There can be no assurance, however, that these agreements will provide meaningful protection for our inventions, trade secrets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8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5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An adverse determination of any litigation or defense proceedings could put one or more of our patents at risk of being invalidated or interpreted narrowly and could put our patent applications at risk of not issuing.</w:t>
      </w:r>
    </w:p>
    <w:p>
      <w:pPr>
        <w:spacing w:after="0" w:line="8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Interference proceedings brought by the US Patent and Trademark Office, or USPTO, may be necessary to determine the priority of inventions with respect to our patent applications or those of our collaborators or licensors. Litigation or interference proceedings may fail and, even if successful, may result in substantial costs and be a distraction to our management. We may not be able, alone or with our collaborators and licensors, to prevent misappropriation of our proprietary rights, particularly in countries where the laws may not protect such rights as fully as in the United States. We may not prevail in any litigation or interference proceeding in which we are involved. Even if we do prevail, these proceedings can be very expensive and distract our management.</w:t>
      </w:r>
    </w:p>
    <w:p>
      <w:pPr>
        <w:spacing w:after="0" w:line="5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75" w:lineRule="exact"/>
        <w:rPr>
          <w:sz w:val="20"/>
          <w:szCs w:val="20"/>
          <w:color w:val="auto"/>
        </w:rPr>
      </w:pPr>
    </w:p>
    <w:p>
      <w:pPr>
        <w:ind w:right="120"/>
        <w:spacing w:after="0" w:line="347" w:lineRule="auto"/>
        <w:rPr>
          <w:sz w:val="20"/>
          <w:szCs w:val="20"/>
          <w:color w:val="auto"/>
        </w:rPr>
      </w:pPr>
      <w:r>
        <w:rPr>
          <w:rFonts w:ascii="Arial" w:cs="Arial" w:eastAsia="Arial" w:hAnsi="Arial"/>
          <w:sz w:val="16"/>
          <w:szCs w:val="16"/>
          <w:b w:val="1"/>
          <w:b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Over the past three decades the number of patents issued to biotechnology companies has expanded dramatically.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7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third party may claim that we are using inventions covered by such third party’s patents and may go to court to stop us from engaging in our normal operations and activities. These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5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Although we own a number of domestic and foreign patents and patent applications relating to our Technosphere Insulin System and cancer vaccine products under development, we have identified certain third-party patents that a court may interpret to restrict our freedom to operate (that is, to cover our products) in the areas of Technosphere formulations, pulmonary insulin delivery and the treatment of cancer. Specifically, we have identified certain third-party patents having claims relating to chemical compositions of matter and pulmonary insulin delivery that may trigger an allegation of infringement upon the commercial manufacture and sale of our Technosphere Insulin System. We have also identified third-party patents disclosing methods of use and compositions of matter related to DNA-based vaccines that also may trigger an allegation of infringement upon the commercial manufacture and sale of our cancer therapy. If a court were to determine that our insulin products or cancer therapies were infringing any of these patent rights, we would have to establish with the court that these patents were invalid or unenforceable in order to avoid legal liability for infringement of these patents. However, proving patent invalidity or unenforceability can be difficult because issued patents are presumed valid. Therefore, in the event that we are unable to prevail in an 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would be harmed and our profitability could be materially adversely impacted.</w:t>
      </w:r>
    </w:p>
    <w:p>
      <w:pPr>
        <w:spacing w:after="0" w:line="6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Patent litigation is costly and time-consuming. Among other things, such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Although patent and intellectual property disputes in the pharmaceutical area have often been settled for licensing or similar arrangements, associated costs may be substantial and could include ongoing royalties. An adverse determination in a judicial or administrative proceeding or failure to obtain necessary licenses could prevent us from manufacturing and selling our products or result in substantial monetary damages, which would adversely affect our business and results of operations and cause the market price of our common stock to decline.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obtain trademark registrations for our potential trade names.*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not selected final trade names for some of our products and product candidates; therefore, we have not filed trademark registrations for our potential trade names for those products in all jurisdictions, nor can we assure that we will be granted registration of those potential trade names for which we have filed. Although we intend to defend any opposition to our trademark registrations, no assurance can be given that any of our trademarks will be registered in the United States or elsewhere or that the use of any of our trademarks will confer a competitive advantage in the marketplace. 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is volatile.</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stock market, particularly in recent years, has experienced significant volatility particularly with respect to pharmaceutical and biotechnology stocks.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57" w:lineRule="exact"/>
        <w:rPr>
          <w:sz w:val="20"/>
          <w:szCs w:val="20"/>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progress and results of our clinical trials;</w:t>
      </w:r>
    </w:p>
    <w:p>
      <w:pPr>
        <w:spacing w:after="0" w:line="130" w:lineRule="exact"/>
        <w:rPr>
          <w:rFonts w:ascii="Arial" w:cs="Arial" w:eastAsia="Arial" w:hAnsi="Arial"/>
          <w:sz w:val="18"/>
          <w:szCs w:val="18"/>
          <w:b w:val="1"/>
          <w:bCs w:val="1"/>
          <w:color w:val="auto"/>
        </w:rPr>
      </w:pPr>
    </w:p>
    <w:p>
      <w:pPr>
        <w:ind w:left="660" w:right="80" w:hanging="436"/>
        <w:spacing w:after="0" w:line="277"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announcements by us or our competitors concerning their clinical trial results, acquisitions, strategic alliances, technological innovations and newly approved commercial products;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the availability of critical materials used in developing and manufacturing our Technosphere Insulin System or other product candidates;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developments concerning our patents, proprietary rights and potential infringement claims;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developments in our litigation with our former Chief Medical Officer;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changes in securities analysts’ estimates of our financial and operating performance;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sales of large blocks of our common stock, including sales by our executive officers, directors and significant stockholders; and</w:t>
      </w:r>
    </w:p>
    <w:p>
      <w:pPr>
        <w:spacing w:after="0" w:line="130"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discussion of our Technosphere Insulin System, our other product candidates, competitors’ products, or our stock price by the financial and scientific press, the healthcare community and online investor communities such as chat rooms.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as well as other factors, could cause the market price of our common stock to decline.</w:t>
      </w:r>
    </w:p>
    <w:p>
      <w:pPr>
        <w:spacing w:after="0" w:line="113"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If other biotechnology and biopharmaceutical companies or the securities markets in general encounter problems, the market price of our common stock could be adversely affected.</w:t>
      </w:r>
    </w:p>
    <w:p>
      <w:pPr>
        <w:spacing w:after="0" w:line="5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Public companies in general and companies included on The Nasdaq National Market in particular have experienced extreme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to decline, regardless of our operating performance. We have no control over this volatility and can only focus our efforts on our own operations, and even these may be affected due to the state of the capital markets.</w:t>
      </w:r>
    </w:p>
    <w:p>
      <w:pPr>
        <w:spacing w:after="0" w:line="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69"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Our Chief Executive Officer and principal stockholder can individually control our direction and policies, and his interests may be adverse to the interests of our other stockholders. After his death, his stock will be left to his funding foundations for distribution to various charities, and we cannot assure you of the manner in which those entities will manage their holdings.*</w:t>
      </w:r>
    </w:p>
    <w:p>
      <w:pPr>
        <w:spacing w:after="0" w:line="7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Mr. Mann has been our primary source of financing to date. At June 30, 2006, Mr. Mann beneficially owned approximately 49.1% of our outstanding shares of capital stock. Members of Mr. Mann’s family beneficially owned at least an additional 2.0% of our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outstanding shares of common stock, although Mr. Mann does not have voting or investment power with respect to these shares. By virtue of his holdings, Mr. Mann can and will continue to be able to effectively control the election of the members of our board of directors, our management and our affairs and prevent corporate transactions such as mergers, consolidations or the sale of all or substantially all of our assets that may be favorable from our standpoint or that of our other stockholders or cause a transaction that we or our other stockholders may view as unfavorable.</w:t>
      </w:r>
    </w:p>
    <w:p>
      <w:pPr>
        <w:spacing w:after="0" w:line="63"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Subject to compliance with federal and state securities laws, Mr. Mann is free to sell the shares of our stock he holds at any time. Upon his death, we have been advised by Mr. Mann that his shares of our capital stock will be left to the Alfred E. Mann Medical Research Organization, or AEMMRO, and AEM Foundation for Biomedical Engineering, or AEMFBE, not-for-profit medical research foundations that serve as funding organizations for Mr. Mann’s various charities, including the Alfred Mann Foundation, or AMF, and the Alfred Mann Institute at the University of Southern California, and that may serve as funding organizations for any other charities that he may establish. The AEMMRO is a membership foundation consisting of six members, including</w:t>
      </w:r>
    </w:p>
    <w:p>
      <w:pPr>
        <w:spacing w:after="0" w:line="2" w:lineRule="exact"/>
        <w:rPr>
          <w:sz w:val="20"/>
          <w:szCs w:val="20"/>
          <w:color w:val="auto"/>
        </w:rPr>
      </w:pPr>
    </w:p>
    <w:p>
      <w:pPr>
        <w:ind w:right="580"/>
        <w:spacing w:after="0" w:line="281" w:lineRule="auto"/>
        <w:rPr>
          <w:sz w:val="20"/>
          <w:szCs w:val="20"/>
          <w:color w:val="auto"/>
        </w:rPr>
      </w:pPr>
      <w:r>
        <w:rPr>
          <w:rFonts w:ascii="Arial" w:cs="Arial" w:eastAsia="Arial" w:hAnsi="Arial"/>
          <w:sz w:val="16"/>
          <w:szCs w:val="16"/>
          <w:color w:val="auto"/>
        </w:rPr>
        <w:t>Mr. Mann, four of his children and Dr. Joseph Schulman, the director of AMF. The AEMFBE is a membership foundation consisting of five members, including Mr. Mann and the same four of his children. Although we understand that the members of AEMMRO and AEMFBE have been advised of</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Mr. Mann’s objectives for these foundations, once Mr. Mann’s shares of our capital stock become the property of the foundations, we cannot assure you as to how those shares will be distributed or how they will be voted.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future sale of our common stock could negatively affect our stock price.*</w:t>
      </w:r>
    </w:p>
    <w:p>
      <w:pPr>
        <w:spacing w:after="0" w:line="12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As of June 30, 2006, we had approximately 49.7 million shares of common stock outstanding. Substantially all of these shares are available for public sale, subject in some cases to volume and other limitations or delivery of a prospectus. If our common stockholders sell substantial amounts of common stock in the public market, or the market perceives that such sales may occur, the market price of our common stock may decline. Furthermore, if we were to include in a company-initiated registration statement shares held by our stockholders pursuant to the exercise of their registrations rights, the sale of those shares could impair our ability to raise needed capital by depressing the price at which we could sell our common stock.</w:t>
      </w:r>
    </w:p>
    <w:p>
      <w:pPr>
        <w:spacing w:after="0" w:line="5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we will need to raise substantial additional capital in the future to fund our operations. If we raise additional funds by issuing equity securities, the market price of our common stock may decline and our existing stockholders may experience significant dilution.</w:t>
      </w:r>
    </w:p>
    <w:p>
      <w:pPr>
        <w:spacing w:after="0" w:line="58" w:lineRule="exact"/>
        <w:rPr>
          <w:sz w:val="20"/>
          <w:szCs w:val="20"/>
          <w:color w:val="auto"/>
        </w:rPr>
      </w:pPr>
    </w:p>
    <w:p>
      <w:pPr>
        <w:ind w:right="680"/>
        <w:spacing w:after="0" w:line="347" w:lineRule="auto"/>
        <w:rPr>
          <w:sz w:val="20"/>
          <w:szCs w:val="20"/>
          <w:color w:val="auto"/>
        </w:rPr>
      </w:pPr>
      <w:r>
        <w:rPr>
          <w:rFonts w:ascii="Arial" w:cs="Arial" w:eastAsia="Arial" w:hAnsi="Arial"/>
          <w:sz w:val="16"/>
          <w:szCs w:val="16"/>
          <w:b w:val="1"/>
          <w:b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2"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Our amended and restated certificate of incorporation and bylaws include anti-takeover provisions, such as a prohibition on stockholder actions by written consent, the authority of our board of directors to issue preferred stock without stockholder approval, and supermajority voting requirements for specified actions. In addition, because we are incorporated in Delaware,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Because we do not expect to pay dividends in the foreseeable future, you must rely on stock appreciation for any return on your investment.</w:t>
      </w:r>
    </w:p>
    <w:p>
      <w:pPr>
        <w:spacing w:after="0" w:line="13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Furthermore, we may in the future become subject to contractual restrictions on, or prohibitions against, the payment of dividends. Accordingly, the success of your investment in our common stock will likely depend entirely upon any future appreciation. There is no guarantee that our common stock will appreciate in value after the offering or even maintain the price at which you purchased your shares, and you may not realize a return on your investment in our common stock.</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2005 Annual Meeting of Stockholders was held on May 25, 2006.</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matters were voted on at our 2006 Annual Meeting of Stockholders:</w:t>
      </w:r>
    </w:p>
    <w:p>
      <w:pPr>
        <w:spacing w:after="0" w:line="117" w:lineRule="exact"/>
        <w:rPr>
          <w:sz w:val="20"/>
          <w:szCs w:val="20"/>
          <w:color w:val="auto"/>
        </w:rPr>
      </w:pPr>
    </w:p>
    <w:p>
      <w:pPr>
        <w:ind w:right="240" w:firstLine="233"/>
        <w:spacing w:after="0" w:line="277" w:lineRule="auto"/>
        <w:tabs>
          <w:tab w:leader="none" w:pos="40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election of nine nominees to serve on our board of directors until the 2007 Annual Meeting of Stockholders. The following nine individuals were re-elected to our board of directors by the votes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Affirmative</w:t>
            </w:r>
          </w:p>
        </w:tc>
        <w:tc>
          <w:tcPr>
            <w:tcW w:w="500" w:type="dxa"/>
            <w:vAlign w:val="bottom"/>
          </w:tcPr>
          <w:p>
            <w:pPr>
              <w:spacing w:after="0"/>
              <w:rPr>
                <w:sz w:val="14"/>
                <w:szCs w:val="14"/>
                <w:color w:val="auto"/>
              </w:rPr>
            </w:pPr>
          </w:p>
        </w:tc>
        <w:tc>
          <w:tcPr>
            <w:tcW w:w="1360" w:type="dxa"/>
            <w:vAlign w:val="bottom"/>
          </w:tcPr>
          <w:p>
            <w:pPr>
              <w:jc w:val="right"/>
              <w:ind w:right="448"/>
              <w:spacing w:after="0"/>
              <w:rPr>
                <w:sz w:val="20"/>
                <w:szCs w:val="20"/>
                <w:color w:val="auto"/>
              </w:rPr>
            </w:pPr>
            <w:r>
              <w:rPr>
                <w:rFonts w:ascii="Arial" w:cs="Arial" w:eastAsia="Arial" w:hAnsi="Arial"/>
                <w:sz w:val="14"/>
                <w:szCs w:val="14"/>
                <w:color w:val="auto"/>
              </w:rPr>
              <w:t>Votes</w:t>
            </w:r>
          </w:p>
        </w:tc>
      </w:tr>
      <w:tr>
        <w:trPr>
          <w:trHeight w:val="167"/>
        </w:trPr>
        <w:tc>
          <w:tcPr>
            <w:tcW w:w="814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Votes</w:t>
            </w:r>
          </w:p>
        </w:tc>
        <w:tc>
          <w:tcPr>
            <w:tcW w:w="500" w:type="dxa"/>
            <w:vAlign w:val="bottom"/>
          </w:tcPr>
          <w:p>
            <w:pPr>
              <w:spacing w:after="0"/>
              <w:rPr>
                <w:sz w:val="14"/>
                <w:szCs w:val="14"/>
                <w:color w:val="auto"/>
              </w:rPr>
            </w:pPr>
          </w:p>
        </w:tc>
        <w:tc>
          <w:tcPr>
            <w:tcW w:w="13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Withheld</w:t>
            </w:r>
          </w:p>
        </w:tc>
      </w:tr>
      <w:tr>
        <w:trPr>
          <w:trHeight w:val="210"/>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Alfred E. Mann</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36,906,878</w:t>
            </w:r>
          </w:p>
        </w:tc>
        <w:tc>
          <w:tcPr>
            <w:tcW w:w="18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73,842</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Hakan S. Edstrom</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36,913,718</w:t>
            </w:r>
          </w:p>
        </w:tc>
        <w:tc>
          <w:tcPr>
            <w:tcW w:w="1860" w:type="dxa"/>
            <w:vAlign w:val="bottom"/>
            <w:gridSpan w:val="2"/>
          </w:tcPr>
          <w:p>
            <w:pPr>
              <w:jc w:val="right"/>
              <w:ind w:right="248"/>
              <w:spacing w:after="0"/>
              <w:rPr>
                <w:sz w:val="20"/>
                <w:szCs w:val="20"/>
                <w:color w:val="auto"/>
              </w:rPr>
            </w:pPr>
            <w:r>
              <w:rPr>
                <w:rFonts w:ascii="Arial" w:cs="Arial" w:eastAsia="Arial" w:hAnsi="Arial"/>
                <w:sz w:val="18"/>
                <w:szCs w:val="18"/>
                <w:color w:val="auto"/>
              </w:rPr>
              <w:t>67,002</w:t>
            </w: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Kathleen Connell, Ph.D.</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36,825,917</w:t>
            </w:r>
          </w:p>
        </w:tc>
        <w:tc>
          <w:tcPr>
            <w:tcW w:w="18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154,803</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Ronald Consiglio</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36,751,747</w:t>
            </w:r>
          </w:p>
        </w:tc>
        <w:tc>
          <w:tcPr>
            <w:tcW w:w="1860" w:type="dxa"/>
            <w:vAlign w:val="bottom"/>
            <w:gridSpan w:val="2"/>
          </w:tcPr>
          <w:p>
            <w:pPr>
              <w:jc w:val="right"/>
              <w:ind w:right="248"/>
              <w:spacing w:after="0"/>
              <w:rPr>
                <w:sz w:val="20"/>
                <w:szCs w:val="20"/>
                <w:color w:val="auto"/>
              </w:rPr>
            </w:pPr>
            <w:r>
              <w:rPr>
                <w:rFonts w:ascii="Arial" w:cs="Arial" w:eastAsia="Arial" w:hAnsi="Arial"/>
                <w:sz w:val="18"/>
                <w:szCs w:val="18"/>
                <w:color w:val="auto"/>
              </w:rPr>
              <w:t>228,973</w:t>
            </w: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Michael Friedman, M.D.</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36,771,732</w:t>
            </w:r>
          </w:p>
        </w:tc>
        <w:tc>
          <w:tcPr>
            <w:tcW w:w="18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208,988</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Llew Keltner, M.D., Ph.D.</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34,666,214</w:t>
            </w:r>
          </w:p>
        </w:tc>
        <w:tc>
          <w:tcPr>
            <w:tcW w:w="1860" w:type="dxa"/>
            <w:vAlign w:val="bottom"/>
            <w:gridSpan w:val="2"/>
          </w:tcPr>
          <w:p>
            <w:pPr>
              <w:jc w:val="right"/>
              <w:ind w:right="248"/>
              <w:spacing w:after="0"/>
              <w:rPr>
                <w:sz w:val="20"/>
                <w:szCs w:val="20"/>
                <w:color w:val="auto"/>
              </w:rPr>
            </w:pPr>
            <w:r>
              <w:rPr>
                <w:rFonts w:ascii="Arial" w:cs="Arial" w:eastAsia="Arial" w:hAnsi="Arial"/>
                <w:sz w:val="18"/>
                <w:szCs w:val="18"/>
                <w:color w:val="auto"/>
              </w:rPr>
              <w:t>2,314,506</w:t>
            </w: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Kent Kresa</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36,771,632</w:t>
            </w:r>
          </w:p>
        </w:tc>
        <w:tc>
          <w:tcPr>
            <w:tcW w:w="18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209,088</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David H. MacCullum</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36,849,408</w:t>
            </w:r>
          </w:p>
        </w:tc>
        <w:tc>
          <w:tcPr>
            <w:tcW w:w="1860" w:type="dxa"/>
            <w:vAlign w:val="bottom"/>
            <w:gridSpan w:val="2"/>
          </w:tcPr>
          <w:p>
            <w:pPr>
              <w:jc w:val="right"/>
              <w:ind w:right="248"/>
              <w:spacing w:after="0"/>
              <w:rPr>
                <w:sz w:val="20"/>
                <w:szCs w:val="20"/>
                <w:color w:val="auto"/>
              </w:rPr>
            </w:pPr>
            <w:r>
              <w:rPr>
                <w:rFonts w:ascii="Arial" w:cs="Arial" w:eastAsia="Arial" w:hAnsi="Arial"/>
                <w:sz w:val="18"/>
                <w:szCs w:val="18"/>
                <w:color w:val="auto"/>
              </w:rPr>
              <w:t>131,312</w:t>
            </w: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Henry L. Nordoff</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36,771,732</w:t>
            </w:r>
          </w:p>
        </w:tc>
        <w:tc>
          <w:tcPr>
            <w:tcW w:w="18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208,988</w:t>
            </w:r>
          </w:p>
        </w:tc>
      </w:tr>
    </w:tbl>
    <w:p>
      <w:pPr>
        <w:spacing w:after="0" w:line="9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2. The increase in the maximum number of shares of our common stock that may be issued under the Company’s 2004 Equity Incentive Plan from</w:t>
      </w:r>
    </w:p>
    <w:p>
      <w:pPr>
        <w:spacing w:after="0" w:line="3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5 million shares to 9 million shares (the “Plan Increase”). The Plan Increase was approved by the following vote: 24,828,888 votes for and 4,183,632 votes against, with 111,017 votes abstaining and 7,587,183 broker non-votes.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On August 2, 2006 the Company entered into a loan arrangement with its principal stockholder to borrow up to a total of $150.0 million in one or more advances at any time through August 2, 2007 that the Company’s cash balance falls below its projected cash requirements for the subsequent three month period, provided that each advance be no less than $50.0 million. The Company borrowed $50.0 million under the loan arrangement on August 2, 2006. Interest accrues on each outstanding advance at a rate equal to the one year LIBOR rate in effect at the time of such advance plus 3% per annum and is payable quarterly in arrears. The loan is unsecured and contains no financial covenants. There are no warrants associated with the loan nor is the loan convertible to the Company's stock. In the event of a default, all unpaid principal and interest becomes immediately due and payable and the interest rate increases to one year LIBOR calculated on the date of the initial advance or in effect at the time of default, whichever is greater, plus 5% per annum. Upon the closing of certain financing events, including equity and debt financings or strategic transactions with third parties, in which the Company receives cash proceeds of at least $100 million, the Company is required to repay all or a portion of the principal and accrued and unpaid interest under the note equal to the difference between the Company’s cash balance immediately following the financing event and its projected cash requirements for the six month period following the financing event.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020" w:type="dxa"/>
            <w:vAlign w:val="bottom"/>
          </w:tcPr>
          <w:p>
            <w:pPr>
              <w:jc w:val="center"/>
              <w:ind w:right="2448"/>
              <w:spacing w:after="0"/>
              <w:rPr>
                <w:sz w:val="20"/>
                <w:szCs w:val="20"/>
                <w:color w:val="auto"/>
              </w:rPr>
            </w:pPr>
            <w:r>
              <w:rPr>
                <w:rFonts w:ascii="Arial" w:cs="Arial" w:eastAsia="Arial" w:hAnsi="Arial"/>
                <w:sz w:val="14"/>
                <w:szCs w:val="14"/>
                <w:b w:val="1"/>
                <w:bCs w:val="1"/>
                <w:color w:val="auto"/>
                <w:w w:val="98"/>
              </w:rPr>
              <w:t>Exhibit</w:t>
            </w:r>
          </w:p>
        </w:tc>
        <w:tc>
          <w:tcPr>
            <w:tcW w:w="3700" w:type="dxa"/>
            <w:vAlign w:val="bottom"/>
            <w:vMerge w:val="restart"/>
          </w:tcPr>
          <w:p>
            <w:pPr>
              <w:ind w:left="2500"/>
              <w:spacing w:after="0"/>
              <w:rPr>
                <w:sz w:val="20"/>
                <w:szCs w:val="20"/>
                <w:color w:val="auto"/>
              </w:rPr>
            </w:pPr>
            <w:r>
              <w:rPr>
                <w:rFonts w:ascii="Arial" w:cs="Arial" w:eastAsia="Arial" w:hAnsi="Arial"/>
                <w:sz w:val="14"/>
                <w:szCs w:val="14"/>
                <w:b w:val="1"/>
                <w:bCs w:val="1"/>
                <w:color w:val="auto"/>
                <w:w w:val="92"/>
              </w:rPr>
              <w:t>Exhibit Description</w:t>
            </w:r>
          </w:p>
        </w:tc>
        <w:tc>
          <w:tcPr>
            <w:tcW w:w="0" w:type="dxa"/>
            <w:vAlign w:val="bottom"/>
          </w:tcPr>
          <w:p>
            <w:pPr>
              <w:spacing w:after="0"/>
              <w:rPr>
                <w:sz w:val="1"/>
                <w:szCs w:val="1"/>
                <w:color w:val="auto"/>
              </w:rPr>
            </w:pPr>
          </w:p>
        </w:tc>
      </w:tr>
      <w:tr>
        <w:trPr>
          <w:trHeight w:val="186"/>
        </w:trPr>
        <w:tc>
          <w:tcPr>
            <w:tcW w:w="3020" w:type="dxa"/>
            <w:vAlign w:val="bottom"/>
          </w:tcPr>
          <w:p>
            <w:pPr>
              <w:jc w:val="center"/>
              <w:ind w:right="2448"/>
              <w:spacing w:after="0"/>
              <w:rPr>
                <w:sz w:val="20"/>
                <w:szCs w:val="20"/>
                <w:color w:val="auto"/>
              </w:rPr>
            </w:pPr>
            <w:r>
              <w:rPr>
                <w:rFonts w:ascii="Arial" w:cs="Arial" w:eastAsia="Arial" w:hAnsi="Arial"/>
                <w:sz w:val="14"/>
                <w:szCs w:val="14"/>
                <w:b w:val="1"/>
                <w:bCs w:val="1"/>
                <w:color w:val="auto"/>
                <w:w w:val="94"/>
              </w:rPr>
              <w:t>Number</w:t>
            </w:r>
          </w:p>
        </w:tc>
        <w:tc>
          <w:tcPr>
            <w:tcW w:w="3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00"/>
        <w:spacing w:after="0"/>
        <w:tabs>
          <w:tab w:leader="none" w:pos="11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Amended and Restated Certificate of Incorporation.</w:t>
      </w:r>
    </w:p>
    <w:p>
      <w:pPr>
        <w:spacing w:after="0" w:line="209"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760" w:type="dxa"/>
            <w:vAlign w:val="bottom"/>
          </w:tcPr>
          <w:p>
            <w:pPr>
              <w:jc w:val="center"/>
              <w:ind w:right="150"/>
              <w:spacing w:after="0"/>
              <w:rPr>
                <w:sz w:val="20"/>
                <w:szCs w:val="20"/>
                <w:color w:val="auto"/>
              </w:rPr>
            </w:pPr>
            <w:r>
              <w:rPr>
                <w:rFonts w:ascii="Arial" w:cs="Arial" w:eastAsia="Arial" w:hAnsi="Arial"/>
                <w:sz w:val="18"/>
                <w:szCs w:val="18"/>
                <w:color w:val="auto"/>
                <w:w w:val="93"/>
              </w:rPr>
              <w:t>3.2(1)</w:t>
            </w:r>
          </w:p>
        </w:tc>
        <w:tc>
          <w:tcPr>
            <w:tcW w:w="10200" w:type="dxa"/>
            <w:vAlign w:val="bottom"/>
          </w:tcPr>
          <w:p>
            <w:pPr>
              <w:ind w:left="240"/>
              <w:spacing w:after="0"/>
              <w:rPr>
                <w:sz w:val="20"/>
                <w:szCs w:val="20"/>
                <w:color w:val="auto"/>
              </w:rPr>
            </w:pPr>
            <w:r>
              <w:rPr>
                <w:rFonts w:ascii="Arial" w:cs="Arial" w:eastAsia="Arial" w:hAnsi="Arial"/>
                <w:sz w:val="18"/>
                <w:szCs w:val="18"/>
                <w:color w:val="auto"/>
              </w:rPr>
              <w:t>Amended and Restated Bylaws.</w:t>
            </w:r>
          </w:p>
        </w:tc>
      </w:tr>
      <w:tr>
        <w:trPr>
          <w:trHeight w:val="432"/>
        </w:trPr>
        <w:tc>
          <w:tcPr>
            <w:tcW w:w="760" w:type="dxa"/>
            <w:vAlign w:val="bottom"/>
          </w:tcPr>
          <w:p>
            <w:pPr>
              <w:jc w:val="center"/>
              <w:ind w:right="150"/>
              <w:spacing w:after="0"/>
              <w:rPr>
                <w:sz w:val="20"/>
                <w:szCs w:val="20"/>
                <w:color w:val="auto"/>
              </w:rPr>
            </w:pPr>
            <w:r>
              <w:rPr>
                <w:rFonts w:ascii="Arial" w:cs="Arial" w:eastAsia="Arial" w:hAnsi="Arial"/>
                <w:sz w:val="18"/>
                <w:szCs w:val="18"/>
                <w:color w:val="auto"/>
                <w:w w:val="93"/>
              </w:rPr>
              <w:t>4.1(1)</w:t>
            </w:r>
          </w:p>
        </w:tc>
        <w:tc>
          <w:tcPr>
            <w:tcW w:w="10200" w:type="dxa"/>
            <w:vAlign w:val="bottom"/>
          </w:tcPr>
          <w:p>
            <w:pPr>
              <w:ind w:left="240"/>
              <w:spacing w:after="0"/>
              <w:rPr>
                <w:sz w:val="20"/>
                <w:szCs w:val="20"/>
                <w:color w:val="auto"/>
              </w:rPr>
            </w:pPr>
            <w:r>
              <w:rPr>
                <w:rFonts w:ascii="Arial" w:cs="Arial" w:eastAsia="Arial" w:hAnsi="Arial"/>
                <w:sz w:val="18"/>
                <w:szCs w:val="18"/>
                <w:color w:val="auto"/>
              </w:rPr>
              <w:t>Form of common stock certificate</w:t>
            </w:r>
          </w:p>
        </w:tc>
      </w:tr>
      <w:tr>
        <w:trPr>
          <w:trHeight w:val="418"/>
        </w:trPr>
        <w:tc>
          <w:tcPr>
            <w:tcW w:w="760" w:type="dxa"/>
            <w:vAlign w:val="bottom"/>
          </w:tcPr>
          <w:p>
            <w:pPr>
              <w:jc w:val="center"/>
              <w:ind w:right="150"/>
              <w:spacing w:after="0"/>
              <w:rPr>
                <w:sz w:val="20"/>
                <w:szCs w:val="20"/>
                <w:color w:val="auto"/>
              </w:rPr>
            </w:pPr>
            <w:r>
              <w:rPr>
                <w:rFonts w:ascii="Arial" w:cs="Arial" w:eastAsia="Arial" w:hAnsi="Arial"/>
                <w:sz w:val="18"/>
                <w:szCs w:val="18"/>
                <w:color w:val="auto"/>
                <w:w w:val="93"/>
              </w:rPr>
              <w:t>4.2(1)</w:t>
            </w:r>
          </w:p>
        </w:tc>
        <w:tc>
          <w:tcPr>
            <w:tcW w:w="10200" w:type="dxa"/>
            <w:vAlign w:val="bottom"/>
          </w:tcPr>
          <w:p>
            <w:pPr>
              <w:ind w:left="240"/>
              <w:spacing w:after="0"/>
              <w:rPr>
                <w:sz w:val="20"/>
                <w:szCs w:val="20"/>
                <w:color w:val="auto"/>
              </w:rPr>
            </w:pPr>
            <w:r>
              <w:rPr>
                <w:rFonts w:ascii="Arial" w:cs="Arial" w:eastAsia="Arial" w:hAnsi="Arial"/>
                <w:sz w:val="18"/>
                <w:szCs w:val="18"/>
                <w:color w:val="auto"/>
                <w:w w:val="93"/>
              </w:rPr>
              <w:t>Registration Rights Agreement, dated October 15, 1998, by and among CTL ImmunoTherapies Corp., Medical Research Group, LLC,</w:t>
            </w:r>
          </w:p>
        </w:tc>
      </w:tr>
      <w:tr>
        <w:trPr>
          <w:trHeight w:val="230"/>
        </w:trPr>
        <w:tc>
          <w:tcPr>
            <w:tcW w:w="760" w:type="dxa"/>
            <w:vAlign w:val="bottom"/>
          </w:tcPr>
          <w:p>
            <w:pPr>
              <w:spacing w:after="0"/>
              <w:rPr>
                <w:sz w:val="20"/>
                <w:szCs w:val="20"/>
                <w:color w:val="auto"/>
              </w:rPr>
            </w:pPr>
          </w:p>
        </w:tc>
        <w:tc>
          <w:tcPr>
            <w:tcW w:w="10200" w:type="dxa"/>
            <w:vAlign w:val="bottom"/>
          </w:tcPr>
          <w:p>
            <w:pPr>
              <w:ind w:left="240"/>
              <w:spacing w:after="0"/>
              <w:rPr>
                <w:sz w:val="20"/>
                <w:szCs w:val="20"/>
                <w:color w:val="auto"/>
              </w:rPr>
            </w:pPr>
            <w:r>
              <w:rPr>
                <w:rFonts w:ascii="Arial" w:cs="Arial" w:eastAsia="Arial" w:hAnsi="Arial"/>
                <w:sz w:val="18"/>
                <w:szCs w:val="18"/>
                <w:color w:val="auto"/>
              </w:rPr>
              <w:t>McLean Watson Advisory Inc. and Alfred E. Mann, as amended.</w:t>
            </w:r>
          </w:p>
        </w:tc>
      </w:tr>
      <w:tr>
        <w:trPr>
          <w:trHeight w:val="432"/>
        </w:trPr>
        <w:tc>
          <w:tcPr>
            <w:tcW w:w="760" w:type="dxa"/>
            <w:vAlign w:val="bottom"/>
          </w:tcPr>
          <w:p>
            <w:pPr>
              <w:jc w:val="center"/>
              <w:ind w:right="150"/>
              <w:spacing w:after="0"/>
              <w:rPr>
                <w:sz w:val="20"/>
                <w:szCs w:val="20"/>
                <w:color w:val="auto"/>
              </w:rPr>
            </w:pPr>
            <w:r>
              <w:rPr>
                <w:rFonts w:ascii="Arial" w:cs="Arial" w:eastAsia="Arial" w:hAnsi="Arial"/>
                <w:sz w:val="18"/>
                <w:szCs w:val="18"/>
                <w:color w:val="auto"/>
                <w:w w:val="91"/>
              </w:rPr>
              <w:t>10.1(2)</w:t>
            </w:r>
          </w:p>
        </w:tc>
        <w:tc>
          <w:tcPr>
            <w:tcW w:w="10200" w:type="dxa"/>
            <w:vAlign w:val="bottom"/>
          </w:tcPr>
          <w:p>
            <w:pPr>
              <w:ind w:left="240"/>
              <w:spacing w:after="0"/>
              <w:rPr>
                <w:sz w:val="20"/>
                <w:szCs w:val="20"/>
                <w:color w:val="auto"/>
              </w:rPr>
            </w:pPr>
            <w:r>
              <w:rPr>
                <w:rFonts w:ascii="Arial" w:cs="Arial" w:eastAsia="Arial" w:hAnsi="Arial"/>
                <w:sz w:val="18"/>
                <w:szCs w:val="18"/>
                <w:color w:val="auto"/>
              </w:rPr>
              <w:t>2004 Equity Incentive Plan</w:t>
            </w:r>
          </w:p>
        </w:tc>
      </w:tr>
      <w:tr>
        <w:trPr>
          <w:trHeight w:val="432"/>
        </w:trPr>
        <w:tc>
          <w:tcPr>
            <w:tcW w:w="760" w:type="dxa"/>
            <w:vAlign w:val="bottom"/>
          </w:tcPr>
          <w:p>
            <w:pPr>
              <w:jc w:val="center"/>
              <w:ind w:right="150"/>
              <w:spacing w:after="0"/>
              <w:rPr>
                <w:sz w:val="20"/>
                <w:szCs w:val="20"/>
                <w:color w:val="auto"/>
              </w:rPr>
            </w:pPr>
            <w:r>
              <w:rPr>
                <w:rFonts w:ascii="Arial" w:cs="Arial" w:eastAsia="Arial" w:hAnsi="Arial"/>
                <w:sz w:val="18"/>
                <w:szCs w:val="18"/>
                <w:color w:val="auto"/>
                <w:w w:val="91"/>
              </w:rPr>
              <w:t>10.2</w:t>
            </w:r>
          </w:p>
        </w:tc>
        <w:tc>
          <w:tcPr>
            <w:tcW w:w="10200" w:type="dxa"/>
            <w:vAlign w:val="bottom"/>
          </w:tcPr>
          <w:p>
            <w:pPr>
              <w:ind w:left="240"/>
              <w:spacing w:after="0"/>
              <w:rPr>
                <w:sz w:val="20"/>
                <w:szCs w:val="20"/>
                <w:color w:val="auto"/>
              </w:rPr>
            </w:pPr>
            <w:r>
              <w:rPr>
                <w:rFonts w:ascii="Arial" w:cs="Arial" w:eastAsia="Arial" w:hAnsi="Arial"/>
                <w:sz w:val="18"/>
                <w:szCs w:val="18"/>
                <w:color w:val="auto"/>
              </w:rPr>
              <w:t>Promissory Note made by MannKind in favor of Alfred E. Mann dated August 2, 2006</w:t>
            </w:r>
          </w:p>
        </w:tc>
      </w:tr>
      <w:tr>
        <w:trPr>
          <w:trHeight w:val="432"/>
        </w:trPr>
        <w:tc>
          <w:tcPr>
            <w:tcW w:w="760" w:type="dxa"/>
            <w:vAlign w:val="bottom"/>
          </w:tcPr>
          <w:p>
            <w:pPr>
              <w:jc w:val="center"/>
              <w:ind w:right="150"/>
              <w:spacing w:after="0"/>
              <w:rPr>
                <w:sz w:val="20"/>
                <w:szCs w:val="20"/>
                <w:color w:val="auto"/>
              </w:rPr>
            </w:pPr>
            <w:r>
              <w:rPr>
                <w:rFonts w:ascii="Arial" w:cs="Arial" w:eastAsia="Arial" w:hAnsi="Arial"/>
                <w:sz w:val="18"/>
                <w:szCs w:val="18"/>
                <w:color w:val="auto"/>
                <w:w w:val="91"/>
              </w:rPr>
              <w:t>31.1</w:t>
            </w:r>
          </w:p>
        </w:tc>
        <w:tc>
          <w:tcPr>
            <w:tcW w:w="10200" w:type="dxa"/>
            <w:vAlign w:val="bottom"/>
          </w:tcPr>
          <w:p>
            <w:pPr>
              <w:ind w:left="240"/>
              <w:spacing w:after="0"/>
              <w:rPr>
                <w:sz w:val="20"/>
                <w:szCs w:val="20"/>
                <w:color w:val="auto"/>
              </w:rPr>
            </w:pPr>
            <w:r>
              <w:rPr>
                <w:rFonts w:ascii="Arial" w:cs="Arial" w:eastAsia="Arial" w:hAnsi="Arial"/>
                <w:sz w:val="18"/>
                <w:szCs w:val="18"/>
                <w:color w:val="auto"/>
                <w:w w:val="90"/>
              </w:rPr>
              <w:t>Certification of the Chief Executive Officer Pursuant to Rules 13a-14(a) or 15d-14(a) of the Securities Exchange Act of 1934, as amended</w:t>
            </w:r>
          </w:p>
        </w:tc>
      </w:tr>
      <w:tr>
        <w:trPr>
          <w:trHeight w:val="432"/>
        </w:trPr>
        <w:tc>
          <w:tcPr>
            <w:tcW w:w="760" w:type="dxa"/>
            <w:vAlign w:val="bottom"/>
          </w:tcPr>
          <w:p>
            <w:pPr>
              <w:jc w:val="center"/>
              <w:ind w:right="150"/>
              <w:spacing w:after="0"/>
              <w:rPr>
                <w:sz w:val="20"/>
                <w:szCs w:val="20"/>
                <w:color w:val="auto"/>
              </w:rPr>
            </w:pPr>
            <w:r>
              <w:rPr>
                <w:rFonts w:ascii="Arial" w:cs="Arial" w:eastAsia="Arial" w:hAnsi="Arial"/>
                <w:sz w:val="18"/>
                <w:szCs w:val="18"/>
                <w:color w:val="auto"/>
                <w:w w:val="91"/>
              </w:rPr>
              <w:t>31.2</w:t>
            </w:r>
          </w:p>
        </w:tc>
        <w:tc>
          <w:tcPr>
            <w:tcW w:w="10200" w:type="dxa"/>
            <w:vAlign w:val="bottom"/>
          </w:tcPr>
          <w:p>
            <w:pPr>
              <w:ind w:left="240"/>
              <w:spacing w:after="0"/>
              <w:rPr>
                <w:sz w:val="20"/>
                <w:szCs w:val="20"/>
                <w:color w:val="auto"/>
              </w:rPr>
            </w:pPr>
            <w:r>
              <w:rPr>
                <w:rFonts w:ascii="Arial" w:cs="Arial" w:eastAsia="Arial" w:hAnsi="Arial"/>
                <w:sz w:val="18"/>
                <w:szCs w:val="18"/>
                <w:color w:val="auto"/>
                <w:w w:val="91"/>
              </w:rPr>
              <w:t>Certification of the Chief Financial Officer Pursuant to Rules 13a-14(a) or 15d-14(a) of the Securities Exchange Act of 1934, as amended</w:t>
            </w:r>
          </w:p>
        </w:tc>
      </w:tr>
    </w:tbl>
    <w:p>
      <w:pPr>
        <w:spacing w:after="0" w:line="175"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020" w:type="dxa"/>
            <w:vAlign w:val="bottom"/>
          </w:tcPr>
          <w:p>
            <w:pPr>
              <w:jc w:val="center"/>
              <w:ind w:right="2448"/>
              <w:spacing w:after="0"/>
              <w:rPr>
                <w:sz w:val="20"/>
                <w:szCs w:val="20"/>
                <w:color w:val="auto"/>
              </w:rPr>
            </w:pPr>
            <w:r>
              <w:rPr>
                <w:rFonts w:ascii="Arial" w:cs="Arial" w:eastAsia="Arial" w:hAnsi="Arial"/>
                <w:sz w:val="14"/>
                <w:szCs w:val="14"/>
                <w:b w:val="1"/>
                <w:bCs w:val="1"/>
                <w:color w:val="auto"/>
                <w:w w:val="98"/>
              </w:rPr>
              <w:t>Exhibit</w:t>
            </w:r>
          </w:p>
        </w:tc>
        <w:tc>
          <w:tcPr>
            <w:tcW w:w="3700" w:type="dxa"/>
            <w:vAlign w:val="bottom"/>
            <w:vMerge w:val="restart"/>
          </w:tcPr>
          <w:p>
            <w:pPr>
              <w:ind w:left="2500"/>
              <w:spacing w:after="0"/>
              <w:rPr>
                <w:sz w:val="20"/>
                <w:szCs w:val="20"/>
                <w:color w:val="auto"/>
              </w:rPr>
            </w:pPr>
            <w:r>
              <w:rPr>
                <w:rFonts w:ascii="Arial" w:cs="Arial" w:eastAsia="Arial" w:hAnsi="Arial"/>
                <w:sz w:val="14"/>
                <w:szCs w:val="14"/>
                <w:b w:val="1"/>
                <w:bCs w:val="1"/>
                <w:color w:val="auto"/>
                <w:w w:val="92"/>
              </w:rPr>
              <w:t>Exhibit Description</w:t>
            </w:r>
          </w:p>
        </w:tc>
        <w:tc>
          <w:tcPr>
            <w:tcW w:w="0" w:type="dxa"/>
            <w:vAlign w:val="bottom"/>
          </w:tcPr>
          <w:p>
            <w:pPr>
              <w:spacing w:after="0"/>
              <w:rPr>
                <w:sz w:val="1"/>
                <w:szCs w:val="1"/>
                <w:color w:val="auto"/>
              </w:rPr>
            </w:pPr>
          </w:p>
        </w:tc>
      </w:tr>
      <w:tr>
        <w:trPr>
          <w:trHeight w:val="186"/>
        </w:trPr>
        <w:tc>
          <w:tcPr>
            <w:tcW w:w="3020" w:type="dxa"/>
            <w:vAlign w:val="bottom"/>
          </w:tcPr>
          <w:p>
            <w:pPr>
              <w:jc w:val="center"/>
              <w:ind w:right="2448"/>
              <w:spacing w:after="0"/>
              <w:rPr>
                <w:sz w:val="20"/>
                <w:szCs w:val="20"/>
                <w:color w:val="auto"/>
              </w:rPr>
            </w:pPr>
            <w:r>
              <w:rPr>
                <w:rFonts w:ascii="Arial" w:cs="Arial" w:eastAsia="Arial" w:hAnsi="Arial"/>
                <w:sz w:val="14"/>
                <w:szCs w:val="14"/>
                <w:b w:val="1"/>
                <w:bCs w:val="1"/>
                <w:color w:val="auto"/>
                <w:w w:val="94"/>
              </w:rPr>
              <w:t>Number</w:t>
            </w:r>
          </w:p>
        </w:tc>
        <w:tc>
          <w:tcPr>
            <w:tcW w:w="3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160" w:hanging="837"/>
        <w:spacing w:after="0" w:line="288" w:lineRule="auto"/>
        <w:tabs>
          <w:tab w:leader="none" w:pos="11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Certifications of the Chief Executive Officer and Chief Financial Officer Pursuant to Rules 13a-14(b) or 15d-14(b) of the Securities Exchange Act of 1934, as amended and Section 1350 of Chapter 63 of Title 18 of the United States Code (18 U.S.C. § 1350)</w:t>
      </w:r>
    </w:p>
    <w:p>
      <w:pPr>
        <w:spacing w:after="0" w:line="325" w:lineRule="exact"/>
        <w:rPr>
          <w:rFonts w:ascii="Arial" w:cs="Arial" w:eastAsia="Arial" w:hAnsi="Arial"/>
          <w:sz w:val="17"/>
          <w:szCs w:val="17"/>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Incorporated by reference to MannKind’s registration statement on Form S-1 (File No. 333-115020), filed with the SEC on April 30, 2004, as amended.</w:t>
      </w:r>
    </w:p>
    <w:p>
      <w:pPr>
        <w:spacing w:after="0" w:line="46"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filed with the SEC on May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13036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tabs>
          <w:tab w:leader="none" w:pos="5220" w:val="left"/>
        </w:tabs>
        <w:rPr>
          <w:sz w:val="20"/>
          <w:szCs w:val="20"/>
          <w:color w:val="auto"/>
        </w:rPr>
      </w:pPr>
      <w:r>
        <w:rPr>
          <w:rFonts w:ascii="Arial" w:cs="Arial" w:eastAsia="Arial" w:hAnsi="Arial"/>
          <w:sz w:val="18"/>
          <w:szCs w:val="18"/>
          <w:color w:val="auto"/>
        </w:rPr>
        <w:t>Dated: August 3, 2006</w:t>
      </w:r>
      <w:r>
        <w:rPr>
          <w:sz w:val="20"/>
          <w:szCs w:val="20"/>
          <w:color w:val="auto"/>
        </w:rPr>
        <w:tab/>
      </w:r>
      <w:r>
        <w:rPr>
          <w:rFonts w:ascii="Arial" w:cs="Arial" w:eastAsia="Arial" w:hAnsi="Arial"/>
          <w:sz w:val="17"/>
          <w:szCs w:val="17"/>
          <w:color w:val="auto"/>
        </w:rPr>
        <w:t>M</w:t>
      </w:r>
      <w:r>
        <w:rPr>
          <w:rFonts w:ascii="Arial" w:cs="Arial" w:eastAsia="Arial" w:hAnsi="Arial"/>
          <w:sz w:val="11"/>
          <w:szCs w:val="11"/>
          <w:color w:val="auto"/>
        </w:rPr>
        <w:t>ANN</w:t>
      </w:r>
      <w:r>
        <w:rPr>
          <w:rFonts w:ascii="Arial" w:cs="Arial" w:eastAsia="Arial" w:hAnsi="Arial"/>
          <w:sz w:val="17"/>
          <w:szCs w:val="17"/>
          <w:color w:val="auto"/>
        </w:rPr>
        <w:t>K</w:t>
      </w:r>
      <w:r>
        <w:rPr>
          <w:rFonts w:ascii="Arial" w:cs="Arial" w:eastAsia="Arial" w:hAnsi="Arial"/>
          <w:sz w:val="11"/>
          <w:szCs w:val="11"/>
          <w:color w:val="auto"/>
        </w:rPr>
        <w:t>IND</w:t>
      </w:r>
      <w:r>
        <w:rPr>
          <w:rFonts w:ascii="Arial" w:cs="Arial" w:eastAsia="Arial" w:hAnsi="Arial"/>
          <w:sz w:val="17"/>
          <w:szCs w:val="17"/>
          <w:color w:val="auto"/>
        </w:rPr>
        <w:t xml:space="preserve"> C</w:t>
      </w:r>
      <w:r>
        <w:rPr>
          <w:rFonts w:ascii="Arial" w:cs="Arial" w:eastAsia="Arial" w:hAnsi="Arial"/>
          <w:sz w:val="11"/>
          <w:szCs w:val="11"/>
          <w:color w:val="auto"/>
        </w:rPr>
        <w:t>ORPORATION</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By:  /s/ Richard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14605</wp:posOffset>
            </wp:positionV>
            <wp:extent cx="32588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Richard L. Anderson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Corporate Vice President and 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19" w:right="4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8500" w:type="dxa"/>
            <w:vAlign w:val="bottom"/>
          </w:tcPr>
          <w:p>
            <w:pPr>
              <w:jc w:val="right"/>
              <w:spacing w:after="0"/>
              <w:rPr>
                <w:sz w:val="20"/>
                <w:szCs w:val="20"/>
                <w:color w:val="auto"/>
              </w:rPr>
            </w:pPr>
            <w:r>
              <w:rPr>
                <w:rFonts w:ascii="Arial" w:cs="Arial" w:eastAsia="Arial" w:hAnsi="Arial"/>
                <w:sz w:val="18"/>
                <w:szCs w:val="18"/>
                <w:b w:val="1"/>
                <w:bCs w:val="1"/>
                <w:color w:val="auto"/>
              </w:rPr>
              <w:t>Exhibit 10.2</w:t>
            </w:r>
          </w:p>
        </w:tc>
      </w:tr>
      <w:tr>
        <w:trPr>
          <w:trHeight w:val="540"/>
        </w:trPr>
        <w:tc>
          <w:tcPr>
            <w:tcW w:w="2920" w:type="dxa"/>
            <w:vAlign w:val="bottom"/>
          </w:tcPr>
          <w:p>
            <w:pPr>
              <w:spacing w:after="0"/>
              <w:rPr>
                <w:sz w:val="24"/>
                <w:szCs w:val="24"/>
                <w:color w:val="auto"/>
              </w:rPr>
            </w:pPr>
          </w:p>
        </w:tc>
        <w:tc>
          <w:tcPr>
            <w:tcW w:w="8500" w:type="dxa"/>
            <w:vAlign w:val="bottom"/>
          </w:tcPr>
          <w:p>
            <w:pPr>
              <w:jc w:val="right"/>
              <w:ind w:right="4730"/>
              <w:spacing w:after="0"/>
              <w:rPr>
                <w:sz w:val="20"/>
                <w:szCs w:val="20"/>
                <w:color w:val="auto"/>
              </w:rPr>
            </w:pPr>
            <w:r>
              <w:rPr>
                <w:rFonts w:ascii="Arial" w:cs="Arial" w:eastAsia="Arial" w:hAnsi="Arial"/>
                <w:sz w:val="18"/>
                <w:szCs w:val="18"/>
                <w:b w:val="1"/>
                <w:bCs w:val="1"/>
                <w:color w:val="auto"/>
              </w:rPr>
              <w:t>PROMISSORY NOTE</w:t>
            </w:r>
          </w:p>
        </w:tc>
      </w:tr>
      <w:tr>
        <w:trPr>
          <w:trHeight w:val="418"/>
        </w:trPr>
        <w:tc>
          <w:tcPr>
            <w:tcW w:w="2920" w:type="dxa"/>
            <w:vAlign w:val="bottom"/>
          </w:tcPr>
          <w:p>
            <w:pPr>
              <w:jc w:val="right"/>
              <w:ind w:right="1830"/>
              <w:spacing w:after="0"/>
              <w:rPr>
                <w:sz w:val="20"/>
                <w:szCs w:val="20"/>
                <w:color w:val="auto"/>
              </w:rPr>
            </w:pPr>
            <w:r>
              <w:rPr>
                <w:rFonts w:ascii="Arial" w:cs="Arial" w:eastAsia="Arial" w:hAnsi="Arial"/>
                <w:sz w:val="18"/>
                <w:szCs w:val="18"/>
                <w:color w:val="auto"/>
                <w:w w:val="88"/>
              </w:rPr>
              <w:t>$150,000,000</w:t>
            </w:r>
          </w:p>
        </w:tc>
        <w:tc>
          <w:tcPr>
            <w:tcW w:w="8500" w:type="dxa"/>
            <w:vAlign w:val="bottom"/>
          </w:tcPr>
          <w:p>
            <w:pPr>
              <w:jc w:val="right"/>
              <w:spacing w:after="0"/>
              <w:rPr>
                <w:sz w:val="20"/>
                <w:szCs w:val="20"/>
                <w:color w:val="auto"/>
              </w:rPr>
            </w:pPr>
            <w:r>
              <w:rPr>
                <w:rFonts w:ascii="Arial" w:cs="Arial" w:eastAsia="Arial" w:hAnsi="Arial"/>
                <w:sz w:val="18"/>
                <w:szCs w:val="18"/>
                <w:color w:val="auto"/>
              </w:rPr>
              <w:t>August 2, 2006</w:t>
            </w:r>
          </w:p>
        </w:tc>
      </w:tr>
      <w:tr>
        <w:trPr>
          <w:trHeight w:val="230"/>
        </w:trPr>
        <w:tc>
          <w:tcPr>
            <w:tcW w:w="2920" w:type="dxa"/>
            <w:vAlign w:val="bottom"/>
          </w:tcPr>
          <w:p>
            <w:pPr>
              <w:spacing w:after="0"/>
              <w:rPr>
                <w:sz w:val="20"/>
                <w:szCs w:val="20"/>
                <w:color w:val="auto"/>
              </w:rPr>
            </w:pPr>
          </w:p>
        </w:tc>
        <w:tc>
          <w:tcPr>
            <w:tcW w:w="8500" w:type="dxa"/>
            <w:vAlign w:val="bottom"/>
          </w:tcPr>
          <w:p>
            <w:pPr>
              <w:jc w:val="right"/>
              <w:spacing w:after="0"/>
              <w:rPr>
                <w:sz w:val="20"/>
                <w:szCs w:val="20"/>
                <w:color w:val="auto"/>
              </w:rPr>
            </w:pPr>
            <w:r>
              <w:rPr>
                <w:rFonts w:ascii="Arial" w:cs="Arial" w:eastAsia="Arial" w:hAnsi="Arial"/>
                <w:sz w:val="18"/>
                <w:szCs w:val="18"/>
                <w:color w:val="auto"/>
              </w:rPr>
              <w:t>Valencia, California</w:t>
            </w:r>
          </w:p>
        </w:tc>
      </w:tr>
    </w:tbl>
    <w:p>
      <w:pPr>
        <w:spacing w:after="0" w:line="306" w:lineRule="exact"/>
        <w:rPr>
          <w:sz w:val="20"/>
          <w:szCs w:val="20"/>
          <w:color w:val="auto"/>
        </w:rPr>
      </w:pPr>
    </w:p>
    <w:p>
      <w:pPr>
        <w:ind w:right="200" w:firstLine="225"/>
        <w:spacing w:after="0" w:line="281" w:lineRule="auto"/>
        <w:rPr>
          <w:sz w:val="20"/>
          <w:szCs w:val="20"/>
          <w:color w:val="auto"/>
        </w:rPr>
      </w:pPr>
      <w:r>
        <w:rPr>
          <w:rFonts w:ascii="Arial" w:cs="Arial" w:eastAsia="Arial" w:hAnsi="Arial"/>
          <w:sz w:val="17"/>
          <w:szCs w:val="17"/>
          <w:b w:val="1"/>
          <w:bCs w:val="1"/>
          <w:color w:val="auto"/>
        </w:rPr>
        <w:t>FOR VALUE RECEIVED</w:t>
      </w:r>
      <w:r>
        <w:rPr>
          <w:rFonts w:ascii="Arial" w:cs="Arial" w:eastAsia="Arial" w:hAnsi="Arial"/>
          <w:sz w:val="17"/>
          <w:szCs w:val="17"/>
          <w:color w:val="auto"/>
        </w:rPr>
        <w:t>,</w:t>
      </w:r>
      <w:r>
        <w:rPr>
          <w:rFonts w:ascii="Arial" w:cs="Arial" w:eastAsia="Arial" w:hAnsi="Arial"/>
          <w:sz w:val="17"/>
          <w:szCs w:val="17"/>
          <w:b w:val="1"/>
          <w:bCs w:val="1"/>
          <w:color w:val="auto"/>
        </w:rPr>
        <w:t xml:space="preserve"> MANNKIND CORPORATION</w:t>
      </w:r>
      <w:r>
        <w:rPr>
          <w:rFonts w:ascii="Arial" w:cs="Arial" w:eastAsia="Arial" w:hAnsi="Arial"/>
          <w:sz w:val="17"/>
          <w:szCs w:val="17"/>
          <w:color w:val="auto"/>
        </w:rPr>
        <w:t>, a Delaware corporation (“</w:t>
      </w:r>
      <w:r>
        <w:rPr>
          <w:rFonts w:ascii="Arial" w:cs="Arial" w:eastAsia="Arial" w:hAnsi="Arial"/>
          <w:sz w:val="17"/>
          <w:szCs w:val="17"/>
          <w:b w:val="1"/>
          <w:bCs w:val="1"/>
          <w:i w:val="1"/>
          <w:iCs w:val="1"/>
          <w:color w:val="auto"/>
        </w:rPr>
        <w:t>Borrower</w:t>
      </w:r>
      <w:r>
        <w:rPr>
          <w:rFonts w:ascii="Arial" w:cs="Arial" w:eastAsia="Arial" w:hAnsi="Arial"/>
          <w:sz w:val="17"/>
          <w:szCs w:val="17"/>
          <w:color w:val="auto"/>
        </w:rPr>
        <w:t>”), hereby promises to pay to the order of</w:t>
      </w:r>
      <w:r>
        <w:rPr>
          <w:rFonts w:ascii="Arial" w:cs="Arial" w:eastAsia="Arial" w:hAnsi="Arial"/>
          <w:sz w:val="17"/>
          <w:szCs w:val="17"/>
          <w:b w:val="1"/>
          <w:bCs w:val="1"/>
          <w:color w:val="auto"/>
        </w:rPr>
        <w:t xml:space="preserve"> ALFRED E. MANN </w:t>
      </w:r>
      <w:r>
        <w:rPr>
          <w:rFonts w:ascii="Arial" w:cs="Arial" w:eastAsia="Arial" w:hAnsi="Arial"/>
          <w:sz w:val="17"/>
          <w:szCs w:val="17"/>
          <w:color w:val="auto"/>
        </w:rPr>
        <w:t>(“</w:t>
      </w:r>
      <w:r>
        <w:rPr>
          <w:rFonts w:ascii="Arial" w:cs="Arial" w:eastAsia="Arial" w:hAnsi="Arial"/>
          <w:sz w:val="17"/>
          <w:szCs w:val="17"/>
          <w:b w:val="1"/>
          <w:bCs w:val="1"/>
          <w:i w:val="1"/>
          <w:iCs w:val="1"/>
          <w:color w:val="auto"/>
        </w:rPr>
        <w:t>Lender</w:t>
      </w:r>
      <w:r>
        <w:rPr>
          <w:rFonts w:ascii="Arial" w:cs="Arial" w:eastAsia="Arial" w:hAnsi="Arial"/>
          <w:sz w:val="17"/>
          <w:szCs w:val="17"/>
          <w:color w:val="auto"/>
        </w:rPr>
        <w:t>”), in lawful money of the United States of America and in immediately available funds, the principal sum of One Hundred and Fifty</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Dollars ($150,000,000) or the aggregate principal amount of all Advances (as defined below) made hereunder, whichever is less (the “</w:t>
      </w:r>
      <w:r>
        <w:rPr>
          <w:rFonts w:ascii="Arial" w:cs="Arial" w:eastAsia="Arial" w:hAnsi="Arial"/>
          <w:sz w:val="17"/>
          <w:szCs w:val="17"/>
          <w:b w:val="1"/>
          <w:bCs w:val="1"/>
          <w:i w:val="1"/>
          <w:iCs w:val="1"/>
          <w:color w:val="auto"/>
        </w:rPr>
        <w:t>Loan</w:t>
      </w:r>
      <w:r>
        <w:rPr>
          <w:rFonts w:ascii="Arial" w:cs="Arial" w:eastAsia="Arial" w:hAnsi="Arial"/>
          <w:sz w:val="17"/>
          <w:szCs w:val="17"/>
          <w:color w:val="auto"/>
        </w:rPr>
        <w:t>”) together with accrued and unpaid interest thereon, each due and payable on the dates and in the manner set forth below.</w:t>
      </w:r>
    </w:p>
    <w:p>
      <w:pPr>
        <w:spacing w:after="0" w:line="57" w:lineRule="exact"/>
        <w:rPr>
          <w:sz w:val="20"/>
          <w:szCs w:val="20"/>
          <w:color w:val="auto"/>
        </w:rPr>
      </w:pPr>
    </w:p>
    <w:p>
      <w:pPr>
        <w:ind w:right="560" w:firstLine="233"/>
        <w:spacing w:after="0" w:line="282" w:lineRule="auto"/>
        <w:tabs>
          <w:tab w:leader="none" w:pos="405"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Principal Repayment. </w:t>
      </w:r>
      <w:r>
        <w:rPr>
          <w:rFonts w:ascii="Arial" w:cs="Arial" w:eastAsia="Arial" w:hAnsi="Arial"/>
          <w:sz w:val="18"/>
          <w:szCs w:val="18"/>
          <w:color w:val="auto"/>
        </w:rPr>
        <w:t>The outstanding principal amount of each Advance together with all accrued and unpaid interest thereon shall be due and</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one year from the date of the Advance (the “</w:t>
      </w:r>
      <w:r>
        <w:rPr>
          <w:rFonts w:ascii="Arial" w:cs="Arial" w:eastAsia="Arial" w:hAnsi="Arial"/>
          <w:sz w:val="18"/>
          <w:szCs w:val="18"/>
          <w:b w:val="1"/>
          <w:bCs w:val="1"/>
          <w:i w:val="1"/>
          <w:iCs w:val="1"/>
          <w:color w:val="auto"/>
        </w:rPr>
        <w:t>Maturity Date</w:t>
      </w:r>
      <w:r>
        <w:rPr>
          <w:rFonts w:ascii="Arial" w:cs="Arial" w:eastAsia="Arial" w:hAnsi="Arial"/>
          <w:sz w:val="18"/>
          <w:szCs w:val="18"/>
          <w:color w:val="auto"/>
        </w:rPr>
        <w:t>”).</w:t>
      </w:r>
    </w:p>
    <w:p>
      <w:pPr>
        <w:spacing w:after="0" w:line="53" w:lineRule="exact"/>
        <w:rPr>
          <w:rFonts w:ascii="Arial" w:cs="Arial" w:eastAsia="Arial" w:hAnsi="Arial"/>
          <w:sz w:val="18"/>
          <w:szCs w:val="18"/>
          <w:b w:val="1"/>
          <w:bCs w:val="1"/>
          <w:color w:val="auto"/>
        </w:rPr>
      </w:pPr>
    </w:p>
    <w:p>
      <w:pPr>
        <w:ind w:right="240" w:firstLine="233"/>
        <w:spacing w:after="0" w:line="255" w:lineRule="auto"/>
        <w:tabs>
          <w:tab w:leader="none" w:pos="405"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 Rate. </w:t>
      </w:r>
      <w:r>
        <w:rPr>
          <w:rFonts w:ascii="Arial" w:cs="Arial" w:eastAsia="Arial" w:hAnsi="Arial"/>
          <w:sz w:val="18"/>
          <w:szCs w:val="18"/>
          <w:color w:val="auto"/>
        </w:rPr>
        <w:t>Borrower further promises to pay interest on the outstanding principal amount of each Advance from the date thereof until payment in</w:t>
      </w:r>
      <w:r>
        <w:rPr>
          <w:rFonts w:ascii="Arial" w:cs="Arial" w:eastAsia="Arial" w:hAnsi="Arial"/>
          <w:sz w:val="18"/>
          <w:szCs w:val="18"/>
          <w:b w:val="1"/>
          <w:bCs w:val="1"/>
          <w:color w:val="auto"/>
        </w:rPr>
        <w:t xml:space="preserve"> </w:t>
      </w:r>
      <w:r>
        <w:rPr>
          <w:rFonts w:ascii="Arial" w:cs="Arial" w:eastAsia="Arial" w:hAnsi="Arial"/>
          <w:sz w:val="18"/>
          <w:szCs w:val="18"/>
          <w:color w:val="auto"/>
        </w:rPr>
        <w:t>full, which interest shall be payable at a rate equal to the one year London Interbank Offered Rate (LIBOR) reported by the Wall Street Journal (or a comparable periodical if such periodical is no longer published) on the day of such Advance plus 3% per annum, or the maximum rate permissible by law (which under the laws of the State of California shall be deemed to be the laws relating to permissible rates of interest on commercial loans), whichever is less. Interest shall be due and payable quarterly in arrears not later than the first day of each calendar quarter for the preceding quarter, commencing on the first day of the calendar quarter following the calendar quarter in which an Advance is made, and shall be calculated on the basis of a 365/366-day year for the actual number of days elapsed.</w:t>
      </w:r>
    </w:p>
    <w:p>
      <w:pPr>
        <w:spacing w:after="0" w:line="81" w:lineRule="exact"/>
        <w:rPr>
          <w:rFonts w:ascii="Arial" w:cs="Arial" w:eastAsia="Arial" w:hAnsi="Arial"/>
          <w:sz w:val="18"/>
          <w:szCs w:val="18"/>
          <w:b w:val="1"/>
          <w:bCs w:val="1"/>
          <w:color w:val="auto"/>
        </w:rPr>
      </w:pPr>
    </w:p>
    <w:p>
      <w:pPr>
        <w:ind w:right="60" w:firstLine="233"/>
        <w:spacing w:after="0" w:line="282" w:lineRule="auto"/>
        <w:tabs>
          <w:tab w:leader="none" w:pos="405"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Place of Payment. </w:t>
      </w:r>
      <w:r>
        <w:rPr>
          <w:rFonts w:ascii="Arial" w:cs="Arial" w:eastAsia="Arial" w:hAnsi="Arial"/>
          <w:sz w:val="18"/>
          <w:szCs w:val="18"/>
          <w:color w:val="auto"/>
        </w:rPr>
        <w:t>All amounts payable hereunder shall be payable in lawful money of the United States of America at the office of Lender, 25129 Rye</w:t>
      </w:r>
      <w:r>
        <w:rPr>
          <w:rFonts w:ascii="Arial" w:cs="Arial" w:eastAsia="Arial" w:hAnsi="Arial"/>
          <w:sz w:val="18"/>
          <w:szCs w:val="18"/>
          <w:b w:val="1"/>
          <w:bCs w:val="1"/>
          <w:color w:val="auto"/>
        </w:rPr>
        <w:t xml:space="preserve"> </w:t>
      </w:r>
      <w:r>
        <w:rPr>
          <w:rFonts w:ascii="Arial" w:cs="Arial" w:eastAsia="Arial" w:hAnsi="Arial"/>
          <w:sz w:val="18"/>
          <w:szCs w:val="18"/>
          <w:color w:val="auto"/>
        </w:rPr>
        <w:t>Canyon Loop, Valencia, California, 91355, unless another place of payment shall be specified in writing by Lender.</w:t>
      </w:r>
    </w:p>
    <w:p>
      <w:pPr>
        <w:spacing w:after="0" w:line="53" w:lineRule="exact"/>
        <w:rPr>
          <w:rFonts w:ascii="Arial" w:cs="Arial" w:eastAsia="Arial" w:hAnsi="Arial"/>
          <w:sz w:val="18"/>
          <w:szCs w:val="18"/>
          <w:b w:val="1"/>
          <w:bCs w:val="1"/>
          <w:color w:val="auto"/>
        </w:rPr>
      </w:pPr>
    </w:p>
    <w:p>
      <w:pPr>
        <w:ind w:left="400" w:hanging="167"/>
        <w:spacing w:after="0"/>
        <w:tabs>
          <w:tab w:leader="none" w:pos="4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Application of Payments; Prepayment.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color w:val="auto"/>
        </w:rPr>
        <w:t>Payment on this Note shall be applied first to accrued interest, and thereafter to the outstanding principal balance hereof.</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color w:val="auto"/>
        </w:rPr>
        <w:t>This Note may be prepaid in whole or in part without penalty or premium.</w:t>
      </w:r>
    </w:p>
    <w:p>
      <w:pPr>
        <w:spacing w:after="0" w:line="117" w:lineRule="exact"/>
        <w:rPr>
          <w:sz w:val="20"/>
          <w:szCs w:val="20"/>
          <w:color w:val="auto"/>
        </w:rPr>
      </w:pPr>
    </w:p>
    <w:p>
      <w:pPr>
        <w:ind w:right="300" w:firstLine="450"/>
        <w:spacing w:after="0" w:line="261"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color w:val="auto"/>
        </w:rPr>
        <w:t>If a Financing Event (as defined below) occurs at any time when there is any principal or interest outstanding under this Note, Borrower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promptly following the closing of such Financing Event, prepay all or a portion of the outstanding principal amount of this Note in an amount equal to the difference between (i) the Borrower’s cash balance immediately following the closing of such Financing Event and (ii) the Borrower’s projected cash requirements (as determined by Borrower in its sole discretion) for the six month period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6" w:name="page47"/>
    <w:bookmarkEnd w:id="46"/>
    <w:p>
      <w:pPr>
        <w:ind w:right="120"/>
        <w:spacing w:after="0" w:line="288" w:lineRule="auto"/>
        <w:rPr>
          <w:sz w:val="20"/>
          <w:szCs w:val="20"/>
          <w:color w:val="auto"/>
        </w:rPr>
      </w:pPr>
      <w:r>
        <w:rPr>
          <w:rFonts w:ascii="Arial" w:cs="Arial" w:eastAsia="Arial" w:hAnsi="Arial"/>
          <w:sz w:val="16"/>
          <w:szCs w:val="16"/>
          <w:color w:val="auto"/>
        </w:rPr>
        <w:t>immediately following the closing of such Financing Event. A “Financing Event” means (i) the closing of an equity or a debt financing, (ii) the entry into a strategic transaction with a third party or third parties, including without limitation, joint ventures, manufacturing, marketing or distribution arrangements, collaborations, partnerships, technology transfer or development arrangements, or (iii) any transaction involving a combination of (i) and (ii), in each case of</w:t>
      </w:r>
    </w:p>
    <w:p>
      <w:pPr>
        <w:ind w:right="540" w:firstLine="8"/>
        <w:spacing w:after="0" w:line="261" w:lineRule="auto"/>
        <w:tabs>
          <w:tab w:leader="none" w:pos="2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through (iii), where the Borrower receives at least $100 million in cash at the closing of such transaction. The closing of a Financing Event shall not terminate Lender’s commitment to make Advances pursuant to Section 5 hereof.</w:t>
      </w:r>
    </w:p>
    <w:p>
      <w:pPr>
        <w:spacing w:after="0" w:line="72" w:lineRule="exact"/>
        <w:rPr>
          <w:sz w:val="20"/>
          <w:szCs w:val="20"/>
          <w:color w:val="auto"/>
        </w:rPr>
      </w:pPr>
    </w:p>
    <w:p>
      <w:pPr>
        <w:ind w:firstLine="450"/>
        <w:spacing w:after="0" w:line="266"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color w:val="auto"/>
        </w:rPr>
        <w:t>Any partial prepayment shall be applied to interest first and then to principal, and shall be applied to the oldest outstanding Advance first. At the</w:t>
      </w:r>
      <w:r>
        <w:rPr>
          <w:rFonts w:ascii="Arial" w:cs="Arial" w:eastAsia="Arial" w:hAnsi="Arial"/>
          <w:sz w:val="18"/>
          <w:szCs w:val="18"/>
          <w:b w:val="1"/>
          <w:bCs w:val="1"/>
          <w:color w:val="auto"/>
        </w:rPr>
        <w:t xml:space="preserve"> </w:t>
      </w:r>
      <w:r>
        <w:rPr>
          <w:rFonts w:ascii="Arial" w:cs="Arial" w:eastAsia="Arial" w:hAnsi="Arial"/>
          <w:sz w:val="18"/>
          <w:szCs w:val="18"/>
          <w:color w:val="auto"/>
        </w:rPr>
        <w:t>time of any prepayment of principal hereunder, Borrower shall also pay all accrued and unpaid interest on the amount prepaid through the date of prepayment. Any amount prepaid may not be reborrowed.</w:t>
      </w:r>
    </w:p>
    <w:p>
      <w:pPr>
        <w:spacing w:after="0" w:line="68" w:lineRule="exact"/>
        <w:rPr>
          <w:sz w:val="20"/>
          <w:szCs w:val="20"/>
          <w:color w:val="auto"/>
        </w:rPr>
      </w:pPr>
    </w:p>
    <w:p>
      <w:pPr>
        <w:ind w:right="80" w:firstLine="233"/>
        <w:spacing w:after="0" w:line="287" w:lineRule="auto"/>
        <w:tabs>
          <w:tab w:leader="none" w:pos="405"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Loan Requests. </w:t>
      </w:r>
      <w:r>
        <w:rPr>
          <w:rFonts w:ascii="Arial" w:cs="Arial" w:eastAsia="Arial" w:hAnsi="Arial"/>
          <w:sz w:val="16"/>
          <w:szCs w:val="16"/>
          <w:color w:val="auto"/>
        </w:rPr>
        <w:t>From the date of this Note and through the first anniversary thereof, Lender shall at all times make available to Borrower the principal</w:t>
      </w:r>
      <w:r>
        <w:rPr>
          <w:rFonts w:ascii="Arial" w:cs="Arial" w:eastAsia="Arial" w:hAnsi="Arial"/>
          <w:sz w:val="16"/>
          <w:szCs w:val="16"/>
          <w:b w:val="1"/>
          <w:bCs w:val="1"/>
          <w:color w:val="auto"/>
        </w:rPr>
        <w:t xml:space="preserve"> </w:t>
      </w:r>
      <w:r>
        <w:rPr>
          <w:rFonts w:ascii="Arial" w:cs="Arial" w:eastAsia="Arial" w:hAnsi="Arial"/>
          <w:sz w:val="16"/>
          <w:szCs w:val="16"/>
          <w:color w:val="auto"/>
        </w:rPr>
        <w:t>amount indicated on the face of this Note for borrowings by Borrower from time to time (each, an “</w:t>
      </w:r>
      <w:r>
        <w:rPr>
          <w:rFonts w:ascii="Arial" w:cs="Arial" w:eastAsia="Arial" w:hAnsi="Arial"/>
          <w:sz w:val="16"/>
          <w:szCs w:val="16"/>
          <w:b w:val="1"/>
          <w:bCs w:val="1"/>
          <w:i w:val="1"/>
          <w:iCs w:val="1"/>
          <w:color w:val="auto"/>
        </w:rPr>
        <w:t>Advance</w:t>
      </w:r>
      <w:r>
        <w:rPr>
          <w:rFonts w:ascii="Arial" w:cs="Arial" w:eastAsia="Arial" w:hAnsi="Arial"/>
          <w:sz w:val="16"/>
          <w:szCs w:val="16"/>
          <w:color w:val="auto"/>
        </w:rPr>
        <w:t>”). Borrower shall be entitled to no further Advances hereunder after the first anniversary date hereof and the total maximum amount of this Note shall be the total amount of the Advances taken by the Borrower as of that date. Each Advance shall be in a minimum principal amount of $50,000,000. The initial Advance shall be made on the date of execution and delivery of this Note. Each subsequent Advance shall be made at any time when Borrower’s cash balance is less than its projected cash requirements for the three month period following such Advance (as determined by Borrower in its sole discretion). Whenever Borrower desires an Advance hereunder, Borrower shall notify Lender by facsimile with a transmission confirmation or by electronic mail as long as a read receipt is requested and received no later than 4:00 p.m. Pacific time, fourteen (14) calendar days prior to the date on which the Advance is requested to be made. At the time of any borrowing under this Note (or at the time of receipt of any payment of principal), Lender shall make or cause to be made, an appropriate notation on the Exhibit A attached hereto reflecting the amount of such borrowing (or the amount of such payment). The outstanding amount of this Note set forth on such Exhibit A shall be prima facie evidence of the principal amount thereof outstanding, but the failure to record, or any error in so recording, shall not limit or otherwise affect the obligations of Borrower to make payments of principal of or interest on this Note when due.</w:t>
      </w:r>
    </w:p>
    <w:p>
      <w:pPr>
        <w:spacing w:after="0" w:line="60" w:lineRule="exact"/>
        <w:rPr>
          <w:rFonts w:ascii="Arial" w:cs="Arial" w:eastAsia="Arial" w:hAnsi="Arial"/>
          <w:sz w:val="16"/>
          <w:szCs w:val="16"/>
          <w:b w:val="1"/>
          <w:bCs w:val="1"/>
          <w:color w:val="auto"/>
        </w:rPr>
      </w:pPr>
    </w:p>
    <w:p>
      <w:pPr>
        <w:ind w:left="420" w:hanging="187"/>
        <w:spacing w:after="0"/>
        <w:tabs>
          <w:tab w:leader="none" w:pos="4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Default. </w:t>
      </w:r>
      <w:r>
        <w:rPr>
          <w:rFonts w:ascii="Arial" w:cs="Arial" w:eastAsia="Arial" w:hAnsi="Arial"/>
          <w:sz w:val="18"/>
          <w:szCs w:val="18"/>
          <w:color w:val="auto"/>
        </w:rPr>
        <w:t>Each of the following events shall be an “</w:t>
      </w:r>
      <w:r>
        <w:rPr>
          <w:rFonts w:ascii="Arial" w:cs="Arial" w:eastAsia="Arial" w:hAnsi="Arial"/>
          <w:sz w:val="18"/>
          <w:szCs w:val="18"/>
          <w:b w:val="1"/>
          <w:bCs w:val="1"/>
          <w:i w:val="1"/>
          <w:iCs w:val="1"/>
          <w:color w:val="auto"/>
        </w:rPr>
        <w:t>Event of Default</w:t>
      </w:r>
      <w:r>
        <w:rPr>
          <w:rFonts w:ascii="Arial" w:cs="Arial" w:eastAsia="Arial" w:hAnsi="Arial"/>
          <w:sz w:val="18"/>
          <w:szCs w:val="18"/>
          <w:color w:val="auto"/>
        </w:rPr>
        <w:t>” hereunder:</w:t>
      </w:r>
    </w:p>
    <w:p>
      <w:pPr>
        <w:spacing w:after="0" w:line="121" w:lineRule="exact"/>
        <w:rPr>
          <w:rFonts w:ascii="Arial" w:cs="Arial" w:eastAsia="Arial" w:hAnsi="Arial"/>
          <w:sz w:val="18"/>
          <w:szCs w:val="18"/>
          <w:b w:val="1"/>
          <w:bCs w:val="1"/>
          <w:color w:val="auto"/>
        </w:rPr>
      </w:pPr>
    </w:p>
    <w:p>
      <w:pPr>
        <w:ind w:right="280" w:firstLine="458"/>
        <w:spacing w:after="0" w:line="277" w:lineRule="auto"/>
        <w:tabs>
          <w:tab w:leader="none" w:pos="705" w:val="left"/>
        </w:tabs>
        <w:numPr>
          <w:ilvl w:val="1"/>
          <w:numId w:val="19"/>
        </w:numPr>
        <w:rPr>
          <w:rFonts w:ascii="Arial" w:cs="Arial" w:eastAsia="Arial" w:hAnsi="Arial"/>
          <w:sz w:val="18"/>
          <w:szCs w:val="18"/>
          <w:b w:val="1"/>
          <w:bCs w:val="1"/>
          <w:color w:val="auto"/>
        </w:rPr>
      </w:pPr>
      <w:r>
        <w:rPr>
          <w:rFonts w:ascii="Arial" w:cs="Arial" w:eastAsia="Arial" w:hAnsi="Arial"/>
          <w:sz w:val="18"/>
          <w:szCs w:val="18"/>
          <w:color w:val="auto"/>
        </w:rPr>
        <w:t>Borrower fails to pay timely any of the principal amount due under this Note or any accrued interest or other amounts due under this Note on the date the same becomes due and payable or within five (5) business days thereafter;</w:t>
      </w:r>
    </w:p>
    <w:p>
      <w:pPr>
        <w:spacing w:after="0" w:line="62" w:lineRule="exact"/>
        <w:rPr>
          <w:rFonts w:ascii="Arial" w:cs="Arial" w:eastAsia="Arial" w:hAnsi="Arial"/>
          <w:sz w:val="18"/>
          <w:szCs w:val="18"/>
          <w:b w:val="1"/>
          <w:bCs w:val="1"/>
          <w:color w:val="auto"/>
        </w:rPr>
      </w:pPr>
    </w:p>
    <w:p>
      <w:pPr>
        <w:ind w:firstLine="458"/>
        <w:spacing w:after="0" w:line="264" w:lineRule="auto"/>
        <w:tabs>
          <w:tab w:leader="none" w:pos="715" w:val="left"/>
        </w:tabs>
        <w:numPr>
          <w:ilvl w:val="1"/>
          <w:numId w:val="19"/>
        </w:numPr>
        <w:rPr>
          <w:rFonts w:ascii="Arial" w:cs="Arial" w:eastAsia="Arial" w:hAnsi="Arial"/>
          <w:sz w:val="18"/>
          <w:szCs w:val="18"/>
          <w:b w:val="1"/>
          <w:bCs w:val="1"/>
          <w:color w:val="auto"/>
        </w:rPr>
      </w:pPr>
      <w:r>
        <w:rPr>
          <w:rFonts w:ascii="Arial" w:cs="Arial" w:eastAsia="Arial" w:hAnsi="Arial"/>
          <w:sz w:val="18"/>
          <w:szCs w:val="18"/>
          <w:color w:val="auto"/>
        </w:rPr>
        <w:t>Borrower files any petition or action for relief under any bankruptcy, reorganization, insolvency or moratorium law or any other law for the relief of, or relating to, debtors, now or hereafter in effect, or makes any assignment for the benefit of creditors or takes any corporate action in furtherance of any of the foregoing; or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7" w:name="page48"/>
    <w:bookmarkEnd w:id="47"/>
    <w:p>
      <w:pPr>
        <w:ind w:right="420" w:firstLine="458"/>
        <w:spacing w:after="0" w:line="264" w:lineRule="auto"/>
        <w:tabs>
          <w:tab w:leader="none" w:pos="695"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An involuntary petition is filed against Borrower (unless such petition is dismissed or discharged within sixty (60) days) under any bankruptcy statute now or hereafter in effect, or a custodian, receiver, trustee, assignee for the benefit of creditors (or other similar official) is appointed to take possession, custody or control of any property of Borrower.</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Upon the occurrence of an Event of Default hereunder, all unpaid principal, accrued interest and other amounts owing hereunder shall, at the option of Lender, and, in the case of an Event of Default pursuant to </w:t>
      </w:r>
      <w:r>
        <w:rPr>
          <w:rFonts w:ascii="Arial" w:cs="Arial" w:eastAsia="Arial" w:hAnsi="Arial"/>
          <w:sz w:val="18"/>
          <w:szCs w:val="18"/>
          <w:b w:val="1"/>
          <w:bCs w:val="1"/>
          <w:color w:val="auto"/>
        </w:rPr>
        <w:t>(b)</w:t>
      </w:r>
      <w:r>
        <w:rPr>
          <w:rFonts w:ascii="Arial" w:cs="Arial" w:eastAsia="Arial" w:hAnsi="Arial"/>
          <w:sz w:val="18"/>
          <w:szCs w:val="18"/>
          <w:color w:val="auto"/>
        </w:rPr>
        <w:t xml:space="preserve"> or </w:t>
      </w:r>
      <w:r>
        <w:rPr>
          <w:rFonts w:ascii="Arial" w:cs="Arial" w:eastAsia="Arial" w:hAnsi="Arial"/>
          <w:sz w:val="18"/>
          <w:szCs w:val="18"/>
          <w:b w:val="1"/>
          <w:bCs w:val="1"/>
          <w:color w:val="auto"/>
        </w:rPr>
        <w:t>(c)</w:t>
      </w:r>
      <w:r>
        <w:rPr>
          <w:rFonts w:ascii="Arial" w:cs="Arial" w:eastAsia="Arial" w:hAnsi="Arial"/>
          <w:sz w:val="18"/>
          <w:szCs w:val="18"/>
          <w:color w:val="auto"/>
        </w:rPr>
        <w:t xml:space="preserve"> above, automatically, be immediately due, payable and collectible by Lender pursuant to applicable law and the interest rate upon an Event of Default shall increase to LIBOR calculated on the date of the initial Advance or the date of the Event of Default (whichever is greater) plus 5% per annum for the period after said Event of Default until payment, or the maximum rate permissible by law as defined above, whichever is less.</w:t>
      </w:r>
    </w:p>
    <w:p>
      <w:pPr>
        <w:spacing w:after="0" w:line="76" w:lineRule="exact"/>
        <w:rPr>
          <w:sz w:val="20"/>
          <w:szCs w:val="20"/>
          <w:color w:val="auto"/>
        </w:rPr>
      </w:pPr>
    </w:p>
    <w:p>
      <w:pPr>
        <w:ind w:right="100" w:firstLine="233"/>
        <w:spacing w:after="0" w:line="282" w:lineRule="auto"/>
        <w:tabs>
          <w:tab w:leader="none" w:pos="402"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Waiver. </w:t>
      </w:r>
      <w:r>
        <w:rPr>
          <w:rFonts w:ascii="Arial" w:cs="Arial" w:eastAsia="Arial" w:hAnsi="Arial"/>
          <w:sz w:val="18"/>
          <w:szCs w:val="18"/>
          <w:color w:val="auto"/>
        </w:rPr>
        <w:t>Borrower waives presentment and demand for payment, notice of dishonor, protest and notice of protest of this Note, and shall pay all costs of</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collection when incurred, including, without limitation, reasonable attorneys’ fees, costs and other expenses.</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right to plead any and all statutes of limitations as a defense to any demands hereunder is hereby waived to the full extent permitted by law.</w:t>
      </w:r>
    </w:p>
    <w:p>
      <w:pPr>
        <w:spacing w:after="0" w:line="125" w:lineRule="exact"/>
        <w:rPr>
          <w:sz w:val="20"/>
          <w:szCs w:val="20"/>
          <w:color w:val="auto"/>
        </w:rPr>
      </w:pPr>
    </w:p>
    <w:p>
      <w:pPr>
        <w:ind w:right="60" w:firstLine="233"/>
        <w:spacing w:after="0" w:line="261" w:lineRule="auto"/>
        <w:tabs>
          <w:tab w:leader="none" w:pos="405"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Note shall be governed by, and construed and enforced in accordance with, the laws of the State of California, excluding conflict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laws principles that would cause the application of laws of any other jurisdiction. Borrower consents to </w:t>
      </w:r>
      <w:r>
        <w:rPr>
          <w:rFonts w:ascii="Arial" w:cs="Arial" w:eastAsia="Arial" w:hAnsi="Arial"/>
          <w:sz w:val="18"/>
          <w:szCs w:val="18"/>
          <w:i w:val="1"/>
          <w:iCs w:val="1"/>
          <w:color w:val="auto"/>
        </w:rPr>
        <w:t>in personam</w:t>
      </w:r>
      <w:r>
        <w:rPr>
          <w:rFonts w:ascii="Arial" w:cs="Arial" w:eastAsia="Arial" w:hAnsi="Arial"/>
          <w:sz w:val="18"/>
          <w:szCs w:val="18"/>
          <w:color w:val="auto"/>
        </w:rPr>
        <w:t xml:space="preserve"> jurisdiction for any legal action or proceeding with respect to this Note in the Los Angeles Superior Court. Borrower, by execution and delivery of this Note, hereby irrevocably accepts in respect of its property, generally and unconditionally, the jurisdiction of the aforesaid court.</w:t>
      </w:r>
    </w:p>
    <w:p>
      <w:pPr>
        <w:spacing w:after="0" w:line="71" w:lineRule="exact"/>
        <w:rPr>
          <w:rFonts w:ascii="Arial" w:cs="Arial" w:eastAsia="Arial" w:hAnsi="Arial"/>
          <w:sz w:val="18"/>
          <w:szCs w:val="18"/>
          <w:b w:val="1"/>
          <w:bCs w:val="1"/>
          <w:color w:val="auto"/>
        </w:rPr>
      </w:pPr>
    </w:p>
    <w:p>
      <w:pPr>
        <w:ind w:firstLine="233"/>
        <w:spacing w:after="0" w:line="266" w:lineRule="auto"/>
        <w:tabs>
          <w:tab w:leader="none" w:pos="405"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Successors and Assigns</w:t>
      </w:r>
      <w:r>
        <w:rPr>
          <w:rFonts w:ascii="Arial" w:cs="Arial" w:eastAsia="Arial" w:hAnsi="Arial"/>
          <w:sz w:val="18"/>
          <w:szCs w:val="18"/>
          <w:color w:val="auto"/>
        </w:rPr>
        <w:t>. This Note shall be binding upon and inure to the benefit of the Borrower and Lender and their respective successors and</w:t>
      </w:r>
      <w:r>
        <w:rPr>
          <w:rFonts w:ascii="Arial" w:cs="Arial" w:eastAsia="Arial" w:hAnsi="Arial"/>
          <w:sz w:val="18"/>
          <w:szCs w:val="18"/>
          <w:b w:val="1"/>
          <w:bCs w:val="1"/>
          <w:color w:val="auto"/>
        </w:rPr>
        <w:t xml:space="preserve"> </w:t>
      </w:r>
      <w:r>
        <w:rPr>
          <w:rFonts w:ascii="Arial" w:cs="Arial" w:eastAsia="Arial" w:hAnsi="Arial"/>
          <w:sz w:val="18"/>
          <w:szCs w:val="18"/>
          <w:color w:val="auto"/>
        </w:rPr>
        <w:t>assigns. Lender may assign to one or more other persons all or a portion of its rights (but not his obligations) under this Note with respect to all or a portion of the Advances made by him.</w:t>
      </w:r>
    </w:p>
    <w:p>
      <w:pPr>
        <w:spacing w:after="0" w:line="68" w:lineRule="exact"/>
        <w:rPr>
          <w:rFonts w:ascii="Arial" w:cs="Arial" w:eastAsia="Arial" w:hAnsi="Arial"/>
          <w:sz w:val="18"/>
          <w:szCs w:val="18"/>
          <w:b w:val="1"/>
          <w:bCs w:val="1"/>
          <w:color w:val="auto"/>
        </w:rPr>
      </w:pPr>
    </w:p>
    <w:p>
      <w:pPr>
        <w:ind w:right="880" w:firstLine="233"/>
        <w:spacing w:after="0" w:line="282" w:lineRule="auto"/>
        <w:tabs>
          <w:tab w:leader="none" w:pos="495"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Integration</w:t>
      </w:r>
      <w:r>
        <w:rPr>
          <w:rFonts w:ascii="Arial" w:cs="Arial" w:eastAsia="Arial" w:hAnsi="Arial"/>
          <w:sz w:val="18"/>
          <w:szCs w:val="18"/>
          <w:color w:val="auto"/>
        </w:rPr>
        <w:t>. This Note reflects the entire understanding of the parties with respect to the transactions contemplated hereby and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contradicted or qualified by any other agreement or instrument, oral or written, before the date hereof.</w:t>
      </w:r>
    </w:p>
    <w:p>
      <w:pPr>
        <w:spacing w:after="0" w:line="53" w:lineRule="exact"/>
        <w:rPr>
          <w:rFonts w:ascii="Arial" w:cs="Arial" w:eastAsia="Arial" w:hAnsi="Arial"/>
          <w:sz w:val="18"/>
          <w:szCs w:val="18"/>
          <w:b w:val="1"/>
          <w:bCs w:val="1"/>
          <w:color w:val="auto"/>
        </w:rPr>
      </w:pPr>
    </w:p>
    <w:p>
      <w:pPr>
        <w:ind w:right="60" w:firstLine="233"/>
        <w:spacing w:after="0" w:line="289" w:lineRule="auto"/>
        <w:tabs>
          <w:tab w:leader="none" w:pos="475"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Amendments, Modification, Etc</w:t>
      </w:r>
      <w:r>
        <w:rPr>
          <w:rFonts w:ascii="Arial" w:cs="Arial" w:eastAsia="Arial" w:hAnsi="Arial"/>
          <w:sz w:val="17"/>
          <w:szCs w:val="17"/>
          <w:color w:val="auto"/>
        </w:rPr>
        <w:t>. No amendment, modification or waiver of any provision of this Note, and no consent to any departure by Lender or</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and their assigns therefrom, shall in any event be effective unless the same shall be in writing and signed by the Lender and Borrower, and then such waiver or consent shall be effective only in the specific instance and for the specific purpose for which given.</w:t>
      </w:r>
    </w:p>
    <w:p>
      <w:pPr>
        <w:spacing w:after="0" w:line="50" w:lineRule="exact"/>
        <w:rPr>
          <w:rFonts w:ascii="Arial" w:cs="Arial" w:eastAsia="Arial" w:hAnsi="Arial"/>
          <w:sz w:val="17"/>
          <w:szCs w:val="17"/>
          <w:b w:val="1"/>
          <w:bCs w:val="1"/>
          <w:color w:val="auto"/>
        </w:rPr>
      </w:pPr>
    </w:p>
    <w:p>
      <w:pPr>
        <w:ind w:right="40" w:firstLine="233"/>
        <w:spacing w:after="0" w:line="266" w:lineRule="auto"/>
        <w:tabs>
          <w:tab w:leader="none" w:pos="495"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No Waiver</w:t>
      </w:r>
      <w:r>
        <w:rPr>
          <w:rFonts w:ascii="Arial" w:cs="Arial" w:eastAsia="Arial" w:hAnsi="Arial"/>
          <w:sz w:val="18"/>
          <w:szCs w:val="18"/>
          <w:color w:val="auto"/>
        </w:rPr>
        <w:t>. No failure on the part of the Lender to exercise, and no delay in exercising, any right hereunder shall operate as a waiver thereof; nor shall</w:t>
      </w:r>
      <w:r>
        <w:rPr>
          <w:rFonts w:ascii="Arial" w:cs="Arial" w:eastAsia="Arial" w:hAnsi="Arial"/>
          <w:sz w:val="18"/>
          <w:szCs w:val="18"/>
          <w:b w:val="1"/>
          <w:bCs w:val="1"/>
          <w:color w:val="auto"/>
        </w:rPr>
        <w:t xml:space="preserve"> </w:t>
      </w:r>
      <w:r>
        <w:rPr>
          <w:rFonts w:ascii="Arial" w:cs="Arial" w:eastAsia="Arial" w:hAnsi="Arial"/>
          <w:sz w:val="18"/>
          <w:szCs w:val="18"/>
          <w:color w:val="auto"/>
        </w:rPr>
        <w:t>any single or partial exercise of any right under this Note preclude any other or further exercise thereof or the exercise of any other right. The rights of the Lender under this Note against Borrower are not</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conditional or contingent on any attempt by the Lender to exercise any of his rights under this Note against Borrower or any other person.</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20"/>
                <w:szCs w:val="20"/>
                <w:color w:val="auto"/>
              </w:rPr>
            </w:pPr>
            <w:r>
              <w:rPr>
                <w:rFonts w:ascii="Arial" w:cs="Arial" w:eastAsia="Arial" w:hAnsi="Arial"/>
                <w:sz w:val="18"/>
                <w:szCs w:val="18"/>
                <w:b w:val="1"/>
                <w:bCs w:val="1"/>
                <w:color w:val="auto"/>
              </w:rPr>
              <w:t>BORROWER</w:t>
            </w:r>
          </w:p>
        </w:tc>
        <w:tc>
          <w:tcPr>
            <w:tcW w:w="3080" w:type="dxa"/>
            <w:vAlign w:val="bottom"/>
          </w:tcPr>
          <w:p>
            <w:pPr>
              <w:ind w:left="1720"/>
              <w:spacing w:after="0"/>
              <w:rPr>
                <w:sz w:val="20"/>
                <w:szCs w:val="20"/>
                <w:color w:val="auto"/>
              </w:rPr>
            </w:pPr>
            <w:r>
              <w:rPr>
                <w:rFonts w:ascii="Arial" w:cs="Arial" w:eastAsia="Arial" w:hAnsi="Arial"/>
                <w:sz w:val="18"/>
                <w:szCs w:val="18"/>
                <w:b w:val="1"/>
                <w:bCs w:val="1"/>
                <w:color w:val="auto"/>
              </w:rPr>
              <w:t>MANNKIND</w:t>
            </w:r>
          </w:p>
        </w:tc>
        <w:tc>
          <w:tcPr>
            <w:tcW w:w="4580" w:type="dxa"/>
            <w:vAlign w:val="bottom"/>
          </w:tcPr>
          <w:p>
            <w:pPr>
              <w:spacing w:after="0"/>
              <w:rPr>
                <w:sz w:val="18"/>
                <w:szCs w:val="18"/>
                <w:color w:val="auto"/>
              </w:rPr>
            </w:pPr>
          </w:p>
        </w:tc>
      </w:tr>
      <w:tr>
        <w:trPr>
          <w:trHeight w:val="234"/>
        </w:trPr>
        <w:tc>
          <w:tcPr>
            <w:tcW w:w="3760" w:type="dxa"/>
            <w:vAlign w:val="bottom"/>
          </w:tcPr>
          <w:p>
            <w:pPr>
              <w:spacing w:after="0"/>
              <w:rPr>
                <w:sz w:val="20"/>
                <w:szCs w:val="20"/>
                <w:color w:val="auto"/>
              </w:rPr>
            </w:pPr>
          </w:p>
        </w:tc>
        <w:tc>
          <w:tcPr>
            <w:tcW w:w="3080" w:type="dxa"/>
            <w:vAlign w:val="bottom"/>
          </w:tcPr>
          <w:p>
            <w:pPr>
              <w:ind w:left="1720"/>
              <w:spacing w:after="0"/>
              <w:rPr>
                <w:sz w:val="20"/>
                <w:szCs w:val="20"/>
                <w:color w:val="auto"/>
              </w:rPr>
            </w:pPr>
            <w:r>
              <w:rPr>
                <w:rFonts w:ascii="Arial" w:cs="Arial" w:eastAsia="Arial" w:hAnsi="Arial"/>
                <w:sz w:val="18"/>
                <w:szCs w:val="18"/>
                <w:b w:val="1"/>
                <w:bCs w:val="1"/>
                <w:color w:val="auto"/>
                <w:w w:val="99"/>
              </w:rPr>
              <w:t>CORPORATION</w:t>
            </w:r>
          </w:p>
        </w:tc>
        <w:tc>
          <w:tcPr>
            <w:tcW w:w="4580" w:type="dxa"/>
            <w:vAlign w:val="bottom"/>
          </w:tcPr>
          <w:p>
            <w:pPr>
              <w:spacing w:after="0"/>
              <w:rPr>
                <w:sz w:val="20"/>
                <w:szCs w:val="20"/>
                <w:color w:val="auto"/>
              </w:rPr>
            </w:pPr>
          </w:p>
        </w:tc>
      </w:tr>
      <w:tr>
        <w:trPr>
          <w:trHeight w:val="648"/>
        </w:trPr>
        <w:tc>
          <w:tcPr>
            <w:tcW w:w="3760" w:type="dxa"/>
            <w:vAlign w:val="bottom"/>
          </w:tcPr>
          <w:p>
            <w:pPr>
              <w:spacing w:after="0"/>
              <w:rPr>
                <w:sz w:val="24"/>
                <w:szCs w:val="24"/>
                <w:color w:val="auto"/>
              </w:rPr>
            </w:pPr>
          </w:p>
        </w:tc>
        <w:tc>
          <w:tcPr>
            <w:tcW w:w="3080" w:type="dxa"/>
            <w:vAlign w:val="bottom"/>
          </w:tcPr>
          <w:p>
            <w:pPr>
              <w:ind w:left="1720"/>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ANDERSON</w:t>
            </w:r>
          </w:p>
        </w:tc>
      </w:tr>
      <w:tr>
        <w:trPr>
          <w:trHeight w:val="439"/>
        </w:trPr>
        <w:tc>
          <w:tcPr>
            <w:tcW w:w="3760" w:type="dxa"/>
            <w:vAlign w:val="bottom"/>
          </w:tcPr>
          <w:p>
            <w:pPr>
              <w:spacing w:after="0"/>
              <w:rPr>
                <w:sz w:val="24"/>
                <w:szCs w:val="24"/>
                <w:color w:val="auto"/>
              </w:rPr>
            </w:pPr>
          </w:p>
        </w:tc>
        <w:tc>
          <w:tcPr>
            <w:tcW w:w="3080" w:type="dxa"/>
            <w:vAlign w:val="bottom"/>
          </w:tcPr>
          <w:p>
            <w:pPr>
              <w:ind w:left="1720"/>
              <w:spacing w:after="0"/>
              <w:rPr>
                <w:sz w:val="20"/>
                <w:szCs w:val="20"/>
                <w:color w:val="auto"/>
              </w:rPr>
            </w:pPr>
            <w:r>
              <w:rPr>
                <w:rFonts w:ascii="Arial" w:cs="Arial" w:eastAsia="Arial" w:hAnsi="Arial"/>
                <w:sz w:val="18"/>
                <w:szCs w:val="18"/>
                <w:color w:val="auto"/>
              </w:rPr>
              <w:t>Printed Name:</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Richard Anderson</w:t>
            </w:r>
          </w:p>
        </w:tc>
      </w:tr>
      <w:tr>
        <w:trPr>
          <w:trHeight w:val="439"/>
        </w:trPr>
        <w:tc>
          <w:tcPr>
            <w:tcW w:w="3760" w:type="dxa"/>
            <w:vAlign w:val="bottom"/>
          </w:tcPr>
          <w:p>
            <w:pPr>
              <w:spacing w:after="0"/>
              <w:rPr>
                <w:sz w:val="24"/>
                <w:szCs w:val="24"/>
                <w:color w:val="auto"/>
              </w:rPr>
            </w:pPr>
          </w:p>
        </w:tc>
        <w:tc>
          <w:tcPr>
            <w:tcW w:w="3080" w:type="dxa"/>
            <w:vAlign w:val="bottom"/>
          </w:tcPr>
          <w:p>
            <w:pPr>
              <w:ind w:left="1720"/>
              <w:spacing w:after="0"/>
              <w:rPr>
                <w:sz w:val="20"/>
                <w:szCs w:val="20"/>
                <w:color w:val="auto"/>
              </w:rPr>
            </w:pPr>
            <w:r>
              <w:rPr>
                <w:rFonts w:ascii="Arial" w:cs="Arial" w:eastAsia="Arial" w:hAnsi="Arial"/>
                <w:sz w:val="18"/>
                <w:szCs w:val="18"/>
                <w:color w:val="auto"/>
              </w:rPr>
              <w:t>Title:</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Financial Officer</w:t>
            </w:r>
          </w:p>
        </w:tc>
      </w:tr>
      <w:tr>
        <w:trPr>
          <w:trHeight w:val="439"/>
        </w:trPr>
        <w:tc>
          <w:tcPr>
            <w:tcW w:w="3760" w:type="dxa"/>
            <w:vAlign w:val="bottom"/>
          </w:tcPr>
          <w:p>
            <w:pPr>
              <w:spacing w:after="0"/>
              <w:rPr>
                <w:sz w:val="20"/>
                <w:szCs w:val="20"/>
                <w:color w:val="auto"/>
              </w:rPr>
            </w:pPr>
            <w:r>
              <w:rPr>
                <w:rFonts w:ascii="Arial" w:cs="Arial" w:eastAsia="Arial" w:hAnsi="Arial"/>
                <w:sz w:val="18"/>
                <w:szCs w:val="18"/>
                <w:color w:val="auto"/>
              </w:rPr>
              <w:t>Acknowledged and Agreed:</w:t>
            </w:r>
          </w:p>
        </w:tc>
        <w:tc>
          <w:tcPr>
            <w:tcW w:w="3080" w:type="dxa"/>
            <w:vAlign w:val="bottom"/>
          </w:tcPr>
          <w:p>
            <w:pPr>
              <w:spacing w:after="0"/>
              <w:rPr>
                <w:sz w:val="24"/>
                <w:szCs w:val="24"/>
                <w:color w:val="auto"/>
              </w:rPr>
            </w:pPr>
          </w:p>
        </w:tc>
        <w:tc>
          <w:tcPr>
            <w:tcW w:w="45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 ALFRED E.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1800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ALFRED E. MANN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22"/>
          <w:szCs w:val="22"/>
          <w:b w:val="1"/>
          <w:bCs w:val="1"/>
          <w:color w:val="auto"/>
        </w:rPr>
        <w:t>EXHIBIT A</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w:t>
      </w:r>
      <w:r>
        <w:rPr>
          <w:rFonts w:ascii="Arial" w:cs="Arial" w:eastAsia="Arial" w:hAnsi="Arial"/>
          <w:sz w:val="14"/>
          <w:szCs w:val="14"/>
          <w:b w:val="1"/>
          <w:bCs w:val="1"/>
          <w:color w:val="auto"/>
        </w:rPr>
        <w:t>RINCIPAL</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ORROWINGS</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CHEDULE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640" w:type="dxa"/>
            <w:vAlign w:val="bottom"/>
            <w:tcBorders>
              <w:top w:val="single" w:sz="8" w:color="auto"/>
              <w:left w:val="single" w:sz="8" w:color="auto"/>
              <w:bottom w:val="single" w:sz="8" w:color="auto"/>
              <w:right w:val="single" w:sz="8" w:color="auto"/>
            </w:tcBorders>
          </w:tcPr>
          <w:p>
            <w:pPr>
              <w:ind w:left="104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ATE</w:t>
            </w:r>
          </w:p>
        </w:tc>
        <w:tc>
          <w:tcPr>
            <w:tcW w:w="2860" w:type="dxa"/>
            <w:vAlign w:val="bottom"/>
            <w:tcBorders>
              <w:top w:val="single" w:sz="8" w:color="auto"/>
              <w:bottom w:val="single" w:sz="8" w:color="auto"/>
              <w:right w:val="single" w:sz="8" w:color="auto"/>
            </w:tcBorders>
          </w:tcPr>
          <w:p>
            <w:pPr>
              <w:ind w:left="102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ORROWING</w:t>
            </w:r>
          </w:p>
        </w:tc>
        <w:tc>
          <w:tcPr>
            <w:tcW w:w="2860" w:type="dxa"/>
            <w:vAlign w:val="bottom"/>
            <w:tcBorders>
              <w:top w:val="single" w:sz="8" w:color="auto"/>
              <w:bottom w:val="single" w:sz="8" w:color="auto"/>
              <w:right w:val="single" w:sz="8" w:color="auto"/>
            </w:tcBorders>
          </w:tcPr>
          <w:p>
            <w:pPr>
              <w:ind w:left="104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EPAYMENT</w:t>
            </w:r>
          </w:p>
        </w:tc>
        <w:tc>
          <w:tcPr>
            <w:tcW w:w="3060" w:type="dxa"/>
            <w:vAlign w:val="bottom"/>
            <w:tcBorders>
              <w:top w:val="single" w:sz="8" w:color="auto"/>
              <w:bottom w:val="single" w:sz="8" w:color="auto"/>
              <w:right w:val="single" w:sz="8" w:color="auto"/>
            </w:tcBorders>
          </w:tcPr>
          <w:p>
            <w:pPr>
              <w:ind w:left="72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RINCIPAL</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ALANCE</w:t>
            </w:r>
          </w:p>
        </w:tc>
      </w:tr>
      <w:tr>
        <w:trPr>
          <w:trHeight w:val="358"/>
        </w:trPr>
        <w:tc>
          <w:tcPr>
            <w:tcW w:w="2640" w:type="dxa"/>
            <w:vAlign w:val="bottom"/>
            <w:tcBorders>
              <w:left w:val="single" w:sz="8" w:color="auto"/>
              <w:bottom w:val="single" w:sz="8" w:color="auto"/>
              <w:right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spacing w:after="0"/>
              <w:rPr>
                <w:sz w:val="24"/>
                <w:szCs w:val="24"/>
                <w:color w:val="auto"/>
              </w:rPr>
            </w:pPr>
          </w:p>
        </w:tc>
      </w:tr>
      <w:tr>
        <w:trPr>
          <w:trHeight w:val="358"/>
        </w:trPr>
        <w:tc>
          <w:tcPr>
            <w:tcW w:w="2640" w:type="dxa"/>
            <w:vAlign w:val="bottom"/>
            <w:tcBorders>
              <w:left w:val="single" w:sz="8" w:color="auto"/>
              <w:bottom w:val="single" w:sz="8" w:color="auto"/>
              <w:right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spacing w:after="0"/>
              <w:rPr>
                <w:sz w:val="24"/>
                <w:szCs w:val="24"/>
                <w:color w:val="auto"/>
              </w:rPr>
            </w:pPr>
          </w:p>
        </w:tc>
      </w:tr>
      <w:tr>
        <w:trPr>
          <w:trHeight w:val="358"/>
        </w:trPr>
        <w:tc>
          <w:tcPr>
            <w:tcW w:w="2640" w:type="dxa"/>
            <w:vAlign w:val="bottom"/>
            <w:tcBorders>
              <w:left w:val="single" w:sz="8" w:color="auto"/>
              <w:bottom w:val="single" w:sz="8" w:color="auto"/>
              <w:right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spacing w:after="0"/>
              <w:rPr>
                <w:sz w:val="24"/>
                <w:szCs w:val="24"/>
                <w:color w:val="auto"/>
              </w:rPr>
            </w:pPr>
          </w:p>
        </w:tc>
      </w:tr>
      <w:tr>
        <w:trPr>
          <w:trHeight w:val="358"/>
        </w:trPr>
        <w:tc>
          <w:tcPr>
            <w:tcW w:w="2640" w:type="dxa"/>
            <w:vAlign w:val="bottom"/>
            <w:tcBorders>
              <w:left w:val="single" w:sz="8" w:color="auto"/>
              <w:bottom w:val="single" w:sz="8" w:color="auto"/>
              <w:right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spacing w:after="0"/>
              <w:rPr>
                <w:sz w:val="24"/>
                <w:szCs w:val="24"/>
                <w:color w:val="auto"/>
              </w:rPr>
            </w:pPr>
          </w:p>
        </w:tc>
      </w:tr>
      <w:tr>
        <w:trPr>
          <w:trHeight w:val="358"/>
        </w:trPr>
        <w:tc>
          <w:tcPr>
            <w:tcW w:w="2640" w:type="dxa"/>
            <w:vAlign w:val="bottom"/>
            <w:tcBorders>
              <w:left w:val="single" w:sz="8" w:color="auto"/>
              <w:bottom w:val="single" w:sz="8" w:color="auto"/>
              <w:right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spacing w:after="0"/>
              <w:rPr>
                <w:sz w:val="24"/>
                <w:szCs w:val="24"/>
                <w:color w:val="auto"/>
              </w:rPr>
            </w:pPr>
          </w:p>
        </w:tc>
      </w:tr>
      <w:tr>
        <w:trPr>
          <w:trHeight w:val="358"/>
        </w:trPr>
        <w:tc>
          <w:tcPr>
            <w:tcW w:w="2640" w:type="dxa"/>
            <w:vAlign w:val="bottom"/>
            <w:tcBorders>
              <w:left w:val="single" w:sz="8" w:color="auto"/>
              <w:bottom w:val="single" w:sz="8" w:color="auto"/>
              <w:right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spacing w:after="0"/>
              <w:rPr>
                <w:sz w:val="24"/>
                <w:szCs w:val="24"/>
                <w:color w:val="auto"/>
              </w:rPr>
            </w:pPr>
          </w:p>
        </w:tc>
      </w:tr>
      <w:tr>
        <w:trPr>
          <w:trHeight w:val="365"/>
        </w:trPr>
        <w:tc>
          <w:tcPr>
            <w:tcW w:w="2640" w:type="dxa"/>
            <w:vAlign w:val="bottom"/>
            <w:tcBorders>
              <w:left w:val="single" w:sz="8" w:color="auto"/>
              <w:bottom w:val="single" w:sz="8" w:color="auto"/>
              <w:right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420"/>
          </w:cols>
          <w:pgMar w:left="240" w:top="949"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333" w:lineRule="exact"/>
        <w:rPr>
          <w:sz w:val="20"/>
          <w:szCs w:val="20"/>
          <w:color w:val="auto"/>
        </w:rPr>
      </w:pPr>
    </w:p>
    <w:p>
      <w:pPr>
        <w:ind w:right="1320" w:firstLine="1325"/>
        <w:spacing w:after="0" w:line="375" w:lineRule="auto"/>
        <w:rPr>
          <w:sz w:val="20"/>
          <w:szCs w:val="20"/>
          <w:color w:val="auto"/>
        </w:rPr>
      </w:pPr>
      <w:r>
        <w:rPr>
          <w:rFonts w:ascii="Arial" w:cs="Arial" w:eastAsia="Arial" w:hAnsi="Arial"/>
          <w:sz w:val="18"/>
          <w:szCs w:val="18"/>
          <w:color w:val="auto"/>
        </w:rPr>
        <w:t>PURSUANT TO RULES 13a-14(a) OR 15d-14(a) OF THE SECURITIES EXCHANGE ACT OF 1934, AS AMENDED I, Alfred E. Mann, certify that:</w:t>
      </w:r>
    </w:p>
    <w:p>
      <w:pPr>
        <w:spacing w:after="0" w:line="1"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three months ended June 30, 2006 of MannKind Corporation;</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360" w:right="340" w:firstLine="215"/>
        <w:spacing w:after="0" w:line="264" w:lineRule="auto"/>
        <w:tabs>
          <w:tab w:leader="none" w:pos="83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360" w:right="540" w:firstLine="215"/>
        <w:spacing w:after="0" w:line="264" w:lineRule="auto"/>
        <w:tabs>
          <w:tab w:leader="none" w:pos="8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360" w:right="900" w:firstLine="215"/>
        <w:spacing w:after="0" w:line="342" w:lineRule="auto"/>
        <w:tabs>
          <w:tab w:leader="none" w:pos="83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360" w:right="80" w:firstLine="215"/>
        <w:spacing w:after="0" w:line="264" w:lineRule="auto"/>
        <w:tabs>
          <w:tab w:leader="none" w:pos="8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360" w:right="280" w:firstLine="215"/>
        <w:spacing w:after="0" w:line="277" w:lineRule="auto"/>
        <w:tabs>
          <w:tab w:leader="none" w:pos="83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360" w:right="240" w:firstLine="215"/>
        <w:spacing w:after="0" w:line="277" w:lineRule="auto"/>
        <w:tabs>
          <w:tab w:leader="none" w:pos="8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6180" w:val="left"/>
        </w:tabs>
        <w:rPr>
          <w:sz w:val="20"/>
          <w:szCs w:val="20"/>
          <w:color w:val="auto"/>
        </w:rPr>
      </w:pPr>
      <w:r>
        <w:rPr>
          <w:rFonts w:ascii="Arial" w:cs="Arial" w:eastAsia="Arial" w:hAnsi="Arial"/>
          <w:sz w:val="18"/>
          <w:szCs w:val="18"/>
          <w:color w:val="auto"/>
        </w:rPr>
        <w:t>Date: August 3, 2006</w:t>
      </w:r>
      <w:r>
        <w:rPr>
          <w:sz w:val="20"/>
          <w:szCs w:val="20"/>
          <w:color w:val="auto"/>
        </w:rPr>
        <w:tab/>
      </w:r>
      <w:r>
        <w:rPr>
          <w:rFonts w:ascii="Arial" w:cs="Arial" w:eastAsia="Arial" w:hAnsi="Arial"/>
          <w:sz w:val="16"/>
          <w:szCs w:val="16"/>
          <w:color w:val="auto"/>
        </w:rPr>
        <w:t>/s/ Alfred E.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14605</wp:posOffset>
            </wp:positionV>
            <wp:extent cx="25298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Alfred E. Mann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936"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333" w:lineRule="exact"/>
        <w:rPr>
          <w:sz w:val="20"/>
          <w:szCs w:val="20"/>
          <w:color w:val="auto"/>
        </w:rPr>
      </w:pPr>
    </w:p>
    <w:p>
      <w:pPr>
        <w:ind w:right="1320" w:firstLine="1325"/>
        <w:spacing w:after="0" w:line="375" w:lineRule="auto"/>
        <w:rPr>
          <w:sz w:val="20"/>
          <w:szCs w:val="20"/>
          <w:color w:val="auto"/>
        </w:rPr>
      </w:pPr>
      <w:r>
        <w:rPr>
          <w:rFonts w:ascii="Arial" w:cs="Arial" w:eastAsia="Arial" w:hAnsi="Arial"/>
          <w:sz w:val="18"/>
          <w:szCs w:val="18"/>
          <w:color w:val="auto"/>
        </w:rPr>
        <w:t>PURSUANT TO RULES 13a-14(a) OR 15d-14(a) OF THE SECURITIES EXCHANGE ACT OF 1934, AS AMENDED I, Richard L. Anderson, certify that:</w:t>
      </w:r>
    </w:p>
    <w:p>
      <w:pPr>
        <w:spacing w:after="0" w:line="1"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three months ended June 30, 2006 of MannKind Corporation;</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360" w:right="340" w:firstLine="215"/>
        <w:spacing w:after="0" w:line="264" w:lineRule="auto"/>
        <w:tabs>
          <w:tab w:leader="none" w:pos="83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360" w:right="540" w:firstLine="215"/>
        <w:spacing w:after="0" w:line="264" w:lineRule="auto"/>
        <w:tabs>
          <w:tab w:leader="none" w:pos="8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360" w:right="900" w:firstLine="215"/>
        <w:spacing w:after="0" w:line="342" w:lineRule="auto"/>
        <w:tabs>
          <w:tab w:leader="none" w:pos="83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360" w:right="80" w:firstLine="215"/>
        <w:spacing w:after="0" w:line="264" w:lineRule="auto"/>
        <w:tabs>
          <w:tab w:leader="none" w:pos="8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360" w:right="280" w:firstLine="215"/>
        <w:spacing w:after="0" w:line="277" w:lineRule="auto"/>
        <w:tabs>
          <w:tab w:leader="none" w:pos="83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360" w:right="240" w:firstLine="215"/>
        <w:spacing w:after="0" w:line="277" w:lineRule="auto"/>
        <w:tabs>
          <w:tab w:leader="none" w:pos="8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6180" w:val="left"/>
        </w:tabs>
        <w:rPr>
          <w:sz w:val="20"/>
          <w:szCs w:val="20"/>
          <w:color w:val="auto"/>
        </w:rPr>
      </w:pPr>
      <w:r>
        <w:rPr>
          <w:rFonts w:ascii="Arial" w:cs="Arial" w:eastAsia="Arial" w:hAnsi="Arial"/>
          <w:sz w:val="18"/>
          <w:szCs w:val="18"/>
          <w:color w:val="auto"/>
        </w:rPr>
        <w:t>Date: August 3, 2006</w:t>
      </w:r>
      <w:r>
        <w:rPr>
          <w:sz w:val="20"/>
          <w:szCs w:val="20"/>
          <w:color w:val="auto"/>
        </w:rPr>
        <w:tab/>
      </w:r>
      <w:r>
        <w:rPr>
          <w:rFonts w:ascii="Arial" w:cs="Arial" w:eastAsia="Arial" w:hAnsi="Arial"/>
          <w:sz w:val="16"/>
          <w:szCs w:val="16"/>
          <w:color w:val="auto"/>
        </w:rPr>
        <w:t>/s/ Richard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14605</wp:posOffset>
            </wp:positionV>
            <wp:extent cx="252984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Richard L. Anderson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3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EXHIBIT 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RULES 13a-14(b) OR 15d-14(b) OF THE SECURITIES EXCHANGE ACT OF 1934, AS AMENDED AND SECTION 1350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CHAPTER 63 OF TITLE 18 OF THE UNITED STATES CODE (18 U.S.C. § 1350)</w:t>
      </w:r>
    </w:p>
    <w:p>
      <w:pPr>
        <w:spacing w:after="0" w:line="10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filing of the quarterly report of MannKind Corporation (the “Company”) on Form 10Q for the period ended June 30, 2006, as filed with the Securities and Exchange Commission on or about the date hereof (the “Report”) and pursuant to the requirement set forth in Rule 13a-14(b) of the Securities Exchange Act of 1934, as amended (the “Exchange Act”), and Section 1350 of Chapter 63 of Title 18 of the United States Code (18 U.S.C. §1350), Alfred E. Mann, Chief Executive Officer of MannKind Corporation (the “Company”), and Richard L. Anderson, Chief Financial Officer of the Company, each hereby certifies to the best of his knowledge that:</w:t>
      </w:r>
    </w:p>
    <w:p>
      <w:pPr>
        <w:spacing w:after="0" w:line="80" w:lineRule="exact"/>
        <w:rPr>
          <w:sz w:val="20"/>
          <w:szCs w:val="20"/>
          <w:color w:val="auto"/>
        </w:rPr>
      </w:pPr>
    </w:p>
    <w:p>
      <w:pPr>
        <w:ind w:left="400" w:hanging="167"/>
        <w:spacing w:after="0"/>
        <w:tabs>
          <w:tab w:leader="none" w:pos="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17" w:lineRule="exact"/>
        <w:rPr>
          <w:rFonts w:ascii="Arial" w:cs="Arial" w:eastAsia="Arial" w:hAnsi="Arial"/>
          <w:sz w:val="18"/>
          <w:szCs w:val="18"/>
          <w:color w:val="auto"/>
        </w:rPr>
      </w:pPr>
    </w:p>
    <w:p>
      <w:pPr>
        <w:ind w:right="80" w:firstLine="233"/>
        <w:spacing w:after="0" w:line="277" w:lineRule="auto"/>
        <w:tabs>
          <w:tab w:leader="none" w:pos="40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 covered by the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2006</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/s/ Alfred E. Mann</w:t>
            </w:r>
          </w:p>
        </w:tc>
        <w:tc>
          <w:tcPr>
            <w:tcW w:w="6280" w:type="dxa"/>
            <w:vAlign w:val="bottom"/>
            <w:gridSpan w:val="2"/>
          </w:tcPr>
          <w:p>
            <w:pPr>
              <w:ind w:left="2300"/>
              <w:spacing w:after="0"/>
              <w:rPr>
                <w:sz w:val="20"/>
                <w:szCs w:val="20"/>
                <w:color w:val="auto"/>
              </w:rPr>
            </w:pPr>
            <w:r>
              <w:rPr>
                <w:rFonts w:ascii="Arial" w:cs="Arial" w:eastAsia="Arial" w:hAnsi="Arial"/>
                <w:sz w:val="18"/>
                <w:szCs w:val="18"/>
                <w:color w:val="auto"/>
              </w:rPr>
              <w:t>/s/ Richard L. Anderson</w:t>
            </w:r>
          </w:p>
        </w:tc>
      </w:tr>
      <w:tr>
        <w:trPr>
          <w:trHeight w:val="209"/>
        </w:trPr>
        <w:tc>
          <w:tcPr>
            <w:tcW w:w="4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Alfred E. Mann</w:t>
            </w:r>
          </w:p>
        </w:tc>
        <w:tc>
          <w:tcPr>
            <w:tcW w:w="2300" w:type="dxa"/>
            <w:vAlign w:val="bottom"/>
          </w:tcPr>
          <w:p>
            <w:pPr>
              <w:spacing w:after="0"/>
              <w:rPr>
                <w:sz w:val="18"/>
                <w:szCs w:val="18"/>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L. Anderson</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6280" w:type="dxa"/>
            <w:vAlign w:val="bottom"/>
            <w:gridSpan w:val="2"/>
          </w:tcPr>
          <w:p>
            <w:pPr>
              <w:ind w:left="2300"/>
              <w:spacing w:after="0"/>
              <w:rPr>
                <w:sz w:val="20"/>
                <w:szCs w:val="20"/>
                <w:color w:val="auto"/>
              </w:rPr>
            </w:pPr>
            <w:r>
              <w:rPr>
                <w:rFonts w:ascii="Arial" w:cs="Arial" w:eastAsia="Arial" w:hAnsi="Arial"/>
                <w:sz w:val="18"/>
                <w:szCs w:val="18"/>
                <w:color w:val="auto"/>
              </w:rPr>
              <w:t>Chief Financial Officer</w:t>
            </w:r>
          </w:p>
        </w:tc>
      </w:tr>
    </w:tbl>
    <w:p>
      <w:pPr>
        <w:spacing w:after="0" w:line="9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These certifications are being furnished solely to accompany this Quarterly Report on Form 10-Q pursuant to 18 U.S.C. Section 1350, and shall not be deemed filed for purposes of Section 18 of the Securities Exchange Act of 1934 into any filing of MannKind Corporation, whether made before or after the date hereof, regardless of any general incorporation language in such filing.</w:t>
      </w:r>
    </w:p>
    <w:sectPr>
      <w:pgSz w:w="11900" w:h="16838" w:orient="portrait"/>
      <w:cols w:equalWidth="0" w:num="1">
        <w:col w:w="11420"/>
      </w:cols>
      <w:pgMar w:left="240" w:top="9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o"/>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lvl w:ilvl="1">
      <w:lvlJc w:val="left"/>
      <w:lvlText w:val="%2"/>
      <w:numFmt w:val="decimal"/>
      <w:start w:val="32"/>
    </w:lvl>
  </w:abstractNum>
  <w:abstractNum w:abstractNumId="15">
    <w:nsid w:val="436C6125"/>
    <w:multiLevelType w:val="hybridMultilevel"/>
    <w:lvl w:ilvl="0">
      <w:lvlJc w:val="left"/>
      <w:lvlText w:val="(%1)"/>
      <w:numFmt w:val="decimal"/>
      <w:start w:val="1"/>
    </w:lvl>
    <w:lvl w:ilvl="1">
      <w:lvlJc w:val="left"/>
      <w:lvlText w:val="%2"/>
      <w:numFmt w:val="decimal"/>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lowerRoman"/>
      <w:start w:val="1"/>
    </w:lvl>
  </w:abstractNum>
  <w:abstractNum w:abstractNumId="18">
    <w:nsid w:val="721DA317"/>
    <w:multiLevelType w:val="hybridMultilevel"/>
    <w:lvl w:ilvl="0">
      <w:lvlJc w:val="left"/>
      <w:lvlText w:val="%1."/>
      <w:numFmt w:val="decimal"/>
      <w:start w:val="5"/>
    </w:lvl>
    <w:lvl w:ilvl="1">
      <w:lvlJc w:val="left"/>
      <w:lvlText w:val="(%2)"/>
      <w:numFmt w:val="lowerLetter"/>
      <w:start w:val="1"/>
    </w:lvl>
  </w:abstractNum>
  <w:abstractNum w:abstractNumId="19">
    <w:nsid w:val="2443A858"/>
    <w:multiLevelType w:val="hybridMultilevel"/>
    <w:lvl w:ilvl="0">
      <w:lvlJc w:val="left"/>
      <w:lvlText w:val="(%1)"/>
      <w:numFmt w:val="lowerLetter"/>
      <w:start w:val="3"/>
    </w:lvl>
  </w:abstractNum>
  <w:abstractNum w:abstractNumId="20">
    <w:nsid w:val="2D1D5AE9"/>
    <w:multiLevelType w:val="hybridMultilevel"/>
    <w:lvl w:ilvl="0">
      <w:lvlJc w:val="left"/>
      <w:lvlText w:val="%1."/>
      <w:numFmt w:val="decimal"/>
      <w:start w:val="7"/>
    </w:lvl>
  </w:abstractNum>
  <w:abstractNum w:abstractNumId="21">
    <w:nsid w:val="6763845E"/>
    <w:multiLevelType w:val="hybridMultilevel"/>
    <w:lvl w:ilvl="0">
      <w:lvlJc w:val="left"/>
      <w:lvlText w:val="%1."/>
      <w:numFmt w:val="decimal"/>
      <w:start w:val="8"/>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2019-12-14T00:54:29Z</dcterms:created>
  <dcterms:modified xsi:type="dcterms:W3CDTF">2019-12-14T00:54:29Z</dcterms:modified>
</cp:coreProperties>
</file>