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7" w:lineRule="exact"/>
        <w:rPr>
          <w:sz w:val="24"/>
          <w:szCs w:val="24"/>
          <w:color w:val="auto"/>
        </w:rPr>
      </w:pPr>
    </w:p>
    <w:p>
      <w:pPr>
        <w:ind w:left="3860" w:right="1700" w:hanging="3852"/>
        <w:spacing w:after="0" w:line="328" w:lineRule="auto"/>
        <w:tabs>
          <w:tab w:leader="none" w:pos="36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680" w:val="left"/>
          <w:tab w:leader="none" w:pos="75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3763010</wp:posOffset>
            </wp:positionH>
            <wp:positionV relativeFrom="paragraph">
              <wp:posOffset>-5080</wp:posOffset>
            </wp:positionV>
            <wp:extent cx="10661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MannKind Corporation</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Times New Roman" w:cs="Times New Roman" w:eastAsia="Times New Roman" w:hAnsi="Times New Roman"/>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88"/>
        </w:trPr>
        <w:tc>
          <w:tcPr>
            <w:tcW w:w="4500" w:type="dxa"/>
            <w:vAlign w:val="bottom"/>
            <w:gridSpan w:val="2"/>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1 Casper Street</w:t>
            </w: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500" w:type="dxa"/>
            <w:vAlign w:val="bottom"/>
            <w:gridSpan w:val="2"/>
          </w:tcPr>
          <w:p>
            <w:pPr>
              <w:jc w:val="center"/>
              <w:ind w:left="1057"/>
              <w:spacing w:after="0"/>
              <w:rPr>
                <w:sz w:val="20"/>
                <w:szCs w:val="20"/>
                <w:color w:val="auto"/>
              </w:rPr>
            </w:pPr>
            <w:r>
              <w:rPr>
                <w:rFonts w:ascii="Times New Roman" w:cs="Times New Roman" w:eastAsia="Times New Roman" w:hAnsi="Times New Roman"/>
                <w:sz w:val="18"/>
                <w:szCs w:val="18"/>
                <w:b w:val="1"/>
                <w:bCs w:val="1"/>
                <w:color w:val="auto"/>
              </w:rPr>
              <w:t>Danbury, Connecticut</w:t>
            </w:r>
          </w:p>
        </w:tc>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Times New Roman" w:cs="Times New Roman" w:eastAsia="Times New Roman" w:hAnsi="Times New Roman"/>
                <w:sz w:val="18"/>
                <w:szCs w:val="18"/>
                <w:b w:val="1"/>
                <w:bCs w:val="1"/>
                <w:color w:val="auto"/>
              </w:rPr>
              <w:t>06810</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jc w:val="right"/>
              <w:ind w:right="504"/>
              <w:spacing w:after="0"/>
              <w:rPr>
                <w:sz w:val="20"/>
                <w:szCs w:val="20"/>
                <w:color w:val="auto"/>
              </w:rPr>
            </w:pPr>
            <w:r>
              <w:rPr>
                <w:rFonts w:ascii="Times New Roman" w:cs="Times New Roman" w:eastAsia="Times New Roman" w:hAnsi="Times New Roman"/>
                <w:sz w:val="18"/>
                <w:szCs w:val="18"/>
                <w:b w:val="1"/>
                <w:bCs w:val="1"/>
                <w:color w:val="auto"/>
              </w:rPr>
              <w:t>(818) 661-5000</w:t>
            </w: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7600" w:type="dxa"/>
            <w:vAlign w:val="bottom"/>
            <w:gridSpan w:val="7"/>
          </w:tcPr>
          <w:p>
            <w:pPr>
              <w:jc w:val="center"/>
              <w:ind w:left="3537"/>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620" w:type="dxa"/>
            <w:vAlign w:val="bottom"/>
            <w:vMerge w:val="restart"/>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256"/>
        </w:trPr>
        <w:tc>
          <w:tcPr>
            <w:tcW w:w="7600" w:type="dxa"/>
            <w:vAlign w:val="bottom"/>
            <w:gridSpan w:val="7"/>
          </w:tcPr>
          <w:p>
            <w:pPr>
              <w:jc w:val="center"/>
              <w:ind w:left="3577"/>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40" w:type="dxa"/>
            <w:vAlign w:val="bottom"/>
            <w:vMerge w:val="restart"/>
          </w:tcPr>
          <w:p>
            <w:pPr>
              <w:jc w:val="center"/>
              <w:ind w:right="556"/>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80" w:type="dxa"/>
            <w:vAlign w:val="bottom"/>
            <w:gridSpan w:val="4"/>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w w:val="98"/>
              </w:rPr>
              <w:t>MNKD</w:t>
            </w:r>
          </w:p>
        </w:tc>
        <w:tc>
          <w:tcPr>
            <w:tcW w:w="22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5"/>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60"/>
        <w:spacing w:after="0" w:line="25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25, 2025, there were 306,828,335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905510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7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760" w:type="dxa"/>
            <w:vAlign w:val="bottom"/>
            <w:gridSpan w:val="20"/>
            <w:vMerge w:val="continue"/>
          </w:tcPr>
          <w:p>
            <w:pPr>
              <w:spacing w:after="0"/>
              <w:rPr>
                <w:sz w:val="14"/>
                <w:szCs w:val="14"/>
                <w:color w:val="auto"/>
              </w:rPr>
            </w:pPr>
          </w:p>
        </w:tc>
        <w:tc>
          <w:tcPr>
            <w:tcW w:w="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Three and six months ended June 30,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 Three and six months ended June 30,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June 30, 2025 and December 31,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Deficit: Three and six months ended June 30, 2025 and 2024</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3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Six months ended June 30, 2025 and 2024</w:t>
            </w:r>
          </w:p>
        </w:tc>
        <w:tc>
          <w:tcPr>
            <w:tcW w:w="2460" w:type="dxa"/>
            <w:vAlign w:val="bottom"/>
            <w:gridSpan w:val="2"/>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86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900" w:type="dxa"/>
            <w:vAlign w:val="bottom"/>
            <w:gridSpan w:val="5"/>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492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3740" w:type="dxa"/>
            <w:vAlign w:val="bottom"/>
            <w:gridSpan w:val="4"/>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Controls and Procedures</w:t>
            </w:r>
          </w:p>
        </w:tc>
        <w:tc>
          <w:tcPr>
            <w:tcW w:w="20" w:type="dxa"/>
            <w:vAlign w:val="bottom"/>
            <w:tcBorders>
              <w:bottom w:val="single" w:sz="8" w:color="0000EE"/>
            </w:tcBorders>
          </w:tcPr>
          <w:p>
            <w:pPr>
              <w:spacing w:after="0"/>
              <w:rPr>
                <w:sz w:val="17"/>
                <w:szCs w:val="17"/>
                <w:color w:val="auto"/>
              </w:rPr>
            </w:pPr>
          </w:p>
        </w:tc>
        <w:tc>
          <w:tcPr>
            <w:tcW w:w="8400" w:type="dxa"/>
            <w:vAlign w:val="bottom"/>
            <w:gridSpan w:val="13"/>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PART II: OTHER INFORMATION</w:t>
            </w:r>
          </w:p>
        </w:tc>
        <w:tc>
          <w:tcPr>
            <w:tcW w:w="8120" w:type="dxa"/>
            <w:vAlign w:val="bottom"/>
            <w:gridSpan w:val="12"/>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8860" w:type="dxa"/>
            <w:vAlign w:val="bottom"/>
            <w:gridSpan w:val="15"/>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9160" w:type="dxa"/>
            <w:vAlign w:val="bottom"/>
            <w:gridSpan w:val="17"/>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490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5860" w:type="dxa"/>
            <w:vAlign w:val="bottom"/>
            <w:gridSpan w:val="8"/>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Item 4. Mine Safety Disclosures</w:t>
            </w:r>
          </w:p>
        </w:tc>
        <w:tc>
          <w:tcPr>
            <w:tcW w:w="600" w:type="dxa"/>
            <w:vAlign w:val="bottom"/>
            <w:tcBorders>
              <w:top w:val="single" w:sz="8" w:color="0000FF"/>
            </w:tcBorders>
            <w:gridSpan w:val="3"/>
          </w:tcPr>
          <w:p>
            <w:pPr>
              <w:spacing w:after="0"/>
              <w:rPr>
                <w:sz w:val="17"/>
                <w:szCs w:val="17"/>
                <w:color w:val="auto"/>
              </w:rPr>
            </w:pPr>
          </w:p>
        </w:tc>
        <w:tc>
          <w:tcPr>
            <w:tcW w:w="7820" w:type="dxa"/>
            <w:vAlign w:val="bottom"/>
            <w:gridSpan w:val="11"/>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880" w:type="dxa"/>
            <w:vAlign w:val="bottom"/>
            <w:gridSpan w:val="16"/>
          </w:tcPr>
          <w:p>
            <w:pPr>
              <w:spacing w:after="0"/>
              <w:rPr>
                <w:sz w:val="17"/>
                <w:szCs w:val="17"/>
                <w:color w:val="auto"/>
              </w:rPr>
            </w:pP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076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Item 6. Exhibits</w:t>
            </w:r>
          </w:p>
        </w:tc>
        <w:tc>
          <w:tcPr>
            <w:tcW w:w="5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18"/>
        </w:trPr>
        <w:tc>
          <w:tcPr>
            <w:tcW w:w="1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600" w:type="dxa"/>
            <w:vAlign w:val="bottom"/>
            <w:gridSpan w:val="18"/>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6"/>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160" w:type="dxa"/>
            <w:vAlign w:val="bottom"/>
          </w:tcPr>
          <w:p>
            <w:pPr>
              <w:spacing w:after="0"/>
              <w:rPr>
                <w:sz w:val="18"/>
                <w:szCs w:val="18"/>
                <w:color w:val="auto"/>
              </w:rPr>
            </w:pP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24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76,527</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154,881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0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7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55,776</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(6,051)</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(8,618)</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(3,473)</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(4,383)</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(7,050)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(8,631)</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(4,891)</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(7,050)</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(7,050)</w:t>
            </w:r>
          </w:p>
        </w:tc>
        <w:tc>
          <w:tcPr>
            <w:tcW w:w="0" w:type="dxa"/>
            <w:vAlign w:val="bottom"/>
          </w:tcPr>
          <w:p>
            <w:pPr>
              <w:spacing w:after="0"/>
              <w:rPr>
                <w:sz w:val="1"/>
                <w:szCs w:val="1"/>
                <w:color w:val="auto"/>
              </w:rPr>
            </w:pPr>
          </w:p>
        </w:tc>
      </w:tr>
      <w:tr>
        <w:trPr>
          <w:trHeight w:val="216"/>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(4,359)</w:t>
            </w: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(18,301)</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(13,035)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(24,129)</w:t>
            </w: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(1,691)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8"/>
                <w:szCs w:val="18"/>
                <w:color w:val="auto"/>
              </w:rPr>
            </w:pPr>
          </w:p>
        </w:tc>
        <w:tc>
          <w:tcPr>
            <w:tcW w:w="4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basic</w:t>
            </w:r>
          </w:p>
        </w:tc>
        <w:tc>
          <w:tcPr>
            <w:tcW w:w="10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0.05</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7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304,954</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304,222</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271,706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basic</w:t>
            </w: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0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6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right"/>
              <w:ind w:right="22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08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shares used to compute net income (loss)</w:t>
            </w:r>
          </w:p>
        </w:tc>
        <w:tc>
          <w:tcPr>
            <w:tcW w:w="7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311,484</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312,381</w:t>
            </w:r>
          </w:p>
        </w:tc>
        <w:tc>
          <w:tcPr>
            <w:tcW w:w="1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279,358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08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per share – diluted</w:t>
            </w: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-3565525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-3565525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-3565525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-3565525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4406900</wp:posOffset>
            </wp:positionH>
            <wp:positionV relativeFrom="paragraph">
              <wp:posOffset>-2746375</wp:posOffset>
            </wp:positionV>
            <wp:extent cx="9398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-2746375</wp:posOffset>
            </wp:positionV>
            <wp:extent cx="9398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-2746375</wp:posOffset>
            </wp:positionV>
            <wp:extent cx="9398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-2746375</wp:posOffset>
            </wp:positionV>
            <wp:extent cx="9398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-2442210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-2442210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-2442210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-1327785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-1327785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-1327785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-736600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-719455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-736600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-719455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-736600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-719455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-736600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-299720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-281940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-299720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-281940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-299720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-281940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COMPREHENSIVE INCOME (LOSS) (Unaudited)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shd w:val="clear" w:color="auto" w:fill="CFF0FC"/>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(2,014)</w:t>
            </w:r>
          </w:p>
        </w:tc>
        <w:tc>
          <w:tcPr>
            <w:tcW w:w="3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17"/>
        </w:trPr>
        <w:tc>
          <w:tcPr>
            <w:tcW w:w="7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2160" w:type="dxa"/>
            <w:vAlign w:val="bottom"/>
            <w:gridSpan w:val="4"/>
          </w:tcPr>
          <w:p>
            <w:pPr>
              <w:jc w:val="right"/>
              <w:ind w:right="1151"/>
              <w:spacing w:after="0" w:line="118" w:lineRule="exact"/>
              <w:rPr>
                <w:sz w:val="20"/>
                <w:szCs w:val="20"/>
                <w:color w:val="auto"/>
              </w:rPr>
            </w:pPr>
            <w:r>
              <w:rPr>
                <w:rFonts w:ascii="Times New Roman" w:cs="Times New Roman" w:eastAsia="Times New Roman" w:hAnsi="Times New Roman"/>
                <w:sz w:val="13"/>
                <w:szCs w:val="13"/>
                <w:b w:val="1"/>
                <w:bCs w:val="1"/>
                <w:color w:val="auto"/>
              </w:rPr>
              <w:t>except share</w:t>
            </w:r>
          </w:p>
        </w:tc>
        <w:tc>
          <w:tcPr>
            <w:tcW w:w="100" w:type="dxa"/>
            <w:vAlign w:val="bottom"/>
          </w:tcPr>
          <w:p>
            <w:pPr>
              <w:spacing w:after="0"/>
              <w:rPr>
                <w:sz w:val="10"/>
                <w:szCs w:val="10"/>
                <w:color w:val="auto"/>
              </w:rPr>
            </w:pPr>
          </w:p>
        </w:tc>
      </w:tr>
      <w:tr>
        <w:trPr>
          <w:trHeight w:val="173"/>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60" w:type="dxa"/>
            <w:vAlign w:val="bottom"/>
            <w:gridSpan w:val="6"/>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and per share data)</w:t>
            </w:r>
          </w:p>
        </w:tc>
      </w:tr>
      <w:tr>
        <w:trPr>
          <w:trHeight w:val="216"/>
        </w:trPr>
        <w:tc>
          <w:tcPr>
            <w:tcW w:w="7060" w:type="dxa"/>
            <w:vAlign w:val="bottom"/>
            <w:shd w:val="clear" w:color="auto" w:fill="CFF0FC"/>
          </w:tcPr>
          <w:p>
            <w:pPr>
              <w:ind w:left="3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57,006</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150,917</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Pr>
          <w:p>
            <w:pPr>
              <w:spacing w:after="0"/>
              <w:rPr>
                <w:sz w:val="18"/>
                <w:szCs w:val="18"/>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268,306</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26,757</w:t>
            </w:r>
          </w:p>
        </w:tc>
        <w:tc>
          <w:tcPr>
            <w:tcW w:w="100" w:type="dxa"/>
            <w:vAlign w:val="bottom"/>
          </w:tcPr>
          <w:p>
            <w:pPr>
              <w:spacing w:after="0"/>
              <w:rPr>
                <w:sz w:val="18"/>
                <w:szCs w:val="18"/>
                <w:color w:val="auto"/>
              </w:rPr>
            </w:pPr>
          </w:p>
        </w:tc>
      </w:tr>
      <w:tr>
        <w:trPr>
          <w:trHeight w:val="249"/>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411,697</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100" w:type="dxa"/>
            <w:vAlign w:val="bottom"/>
            <w:shd w:val="clear" w:color="auto" w:fill="CFF0FC"/>
          </w:tcPr>
          <w:p>
            <w:pPr>
              <w:spacing w:after="0"/>
              <w:rPr>
                <w:sz w:val="21"/>
                <w:szCs w:val="21"/>
                <w:color w:val="auto"/>
              </w:rPr>
            </w:pPr>
          </w:p>
        </w:tc>
      </w:tr>
      <w:tr>
        <w:trPr>
          <w:trHeight w:val="197"/>
        </w:trPr>
        <w:tc>
          <w:tcPr>
            <w:tcW w:w="70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06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Senior convertible notes – current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for sale of future royalties – current</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 liability – current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10,954</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tcBorders>
              <w:bottom w:val="single" w:sz="8" w:color="CFF0FC"/>
            </w:tcBorders>
          </w:tcPr>
          <w:p>
            <w:pPr>
              <w:spacing w:after="0"/>
              <w:rPr>
                <w:sz w:val="18"/>
                <w:szCs w:val="18"/>
                <w:color w:val="auto"/>
              </w:rPr>
            </w:pPr>
          </w:p>
        </w:tc>
      </w:tr>
      <w:tr>
        <w:trPr>
          <w:trHeight w:val="21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81,837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Liability for sale of future royalties – long term</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137,362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liability – long term</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long term</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51,160</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Recognized loss on purchase commitments – long term</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58,204</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Milestone liabilities</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320" w:type="dxa"/>
            <w:vAlign w:val="bottom"/>
          </w:tcPr>
          <w:p>
            <w:pPr>
              <w:spacing w:after="0"/>
              <w:rPr>
                <w:sz w:val="18"/>
                <w:szCs w:val="18"/>
                <w:color w:val="auto"/>
              </w:rPr>
            </w:pPr>
          </w:p>
        </w:tc>
        <w:tc>
          <w:tcPr>
            <w:tcW w:w="176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36,051</w:t>
            </w:r>
          </w:p>
        </w:tc>
        <w:tc>
          <w:tcPr>
            <w:tcW w:w="100" w:type="dxa"/>
            <w:vAlign w:val="bottom"/>
          </w:tcPr>
          <w:p>
            <w:pPr>
              <w:spacing w:after="0"/>
              <w:rPr>
                <w:sz w:val="18"/>
                <w:szCs w:val="18"/>
                <w:color w:val="auto"/>
              </w:rPr>
            </w:pPr>
          </w:p>
        </w:tc>
      </w:tr>
      <w:tr>
        <w:trPr>
          <w:trHeight w:val="210"/>
        </w:trPr>
        <w:tc>
          <w:tcPr>
            <w:tcW w:w="7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466,739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472,659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Undesignated preferred stock, $0.01 par value – 10,000,000 shares authorized;</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shares issued or outstanding as of June 30, 2025 or December 31, 2024</w:t>
            </w:r>
          </w:p>
        </w:tc>
        <w:tc>
          <w:tcPr>
            <w:tcW w:w="320" w:type="dxa"/>
            <w:vAlign w:val="bottom"/>
          </w:tcPr>
          <w:p>
            <w:pPr>
              <w:spacing w:after="0"/>
              <w:rPr>
                <w:sz w:val="20"/>
                <w:szCs w:val="20"/>
                <w:color w:val="auto"/>
              </w:rPr>
            </w:pPr>
          </w:p>
        </w:tc>
        <w:tc>
          <w:tcPr>
            <w:tcW w:w="176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0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 800,000,000 shares authorized;</w:t>
            </w:r>
          </w:p>
        </w:tc>
        <w:tc>
          <w:tcPr>
            <w:tcW w:w="32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306,332,133 and 302,959,782 shares issued and outstanding as of</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0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June 30, 2025 and December 31, 2024, respectively</w:t>
            </w:r>
          </w:p>
        </w:tc>
        <w:tc>
          <w:tcPr>
            <w:tcW w:w="3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3,118,865</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7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(3,187,993)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(3,201,819)</w:t>
            </w:r>
          </w:p>
        </w:tc>
      </w:tr>
      <w:tr>
        <w:trPr>
          <w:trHeight w:val="20"/>
        </w:trPr>
        <w:tc>
          <w:tcPr>
            <w:tcW w:w="7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(78,816)</w:t>
            </w:r>
          </w:p>
        </w:tc>
      </w:tr>
      <w:tr>
        <w:trPr>
          <w:trHeight w:val="20"/>
        </w:trPr>
        <w:tc>
          <w:tcPr>
            <w:tcW w:w="7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411,697</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393,843</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-5322570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-5322570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-4208145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-4191000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-2948305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-2948305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-1855470</wp:posOffset>
            </wp:positionV>
            <wp:extent cx="9398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-1855470</wp:posOffset>
            </wp:positionV>
            <wp:extent cx="9398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CONDENSED CONSOLIDATED STATEMENTS OF STOCKHOLDERS’ DEFICIT (Unaudited)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spacing w:after="0"/>
              <w:rPr>
                <w:sz w:val="13"/>
                <w:szCs w:val="13"/>
                <w:color w:val="auto"/>
              </w:rPr>
            </w:pPr>
          </w:p>
        </w:tc>
        <w:tc>
          <w:tcPr>
            <w:tcW w:w="21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2024</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270,034</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2,700</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2,980,539</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(3,229,407)</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(246,168)</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263</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convertible note interest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2024</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270,802</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2,703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2,986,104</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(3,218,777)</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(229,970)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4580" w:type="dxa"/>
            <w:vAlign w:val="bottom"/>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1,855</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color w:val="auto"/>
              </w:rPr>
              <w:t>(4,952)</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(4,933)</w:t>
            </w: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the Mann Group</w:t>
            </w: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convertible note principal and interest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3,735</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18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JUNE 30, 2024</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274,467</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2,740</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2,992,271</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(3,220,791)</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(225,780)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4580" w:type="dxa"/>
            <w:vAlign w:val="bottom"/>
          </w:tcPr>
          <w:p>
            <w:pPr>
              <w:spacing w:after="0"/>
              <w:rPr>
                <w:sz w:val="24"/>
                <w:szCs w:val="24"/>
                <w:color w:val="auto"/>
              </w:rPr>
            </w:pPr>
          </w:p>
        </w:tc>
        <w:tc>
          <w:tcPr>
            <w:tcW w:w="210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317"/>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13"/>
                <w:szCs w:val="13"/>
                <w:color w:val="auto"/>
              </w:rPr>
            </w:pPr>
          </w:p>
        </w:tc>
        <w:tc>
          <w:tcPr>
            <w:tcW w:w="9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1120" w:type="dxa"/>
            <w:vAlign w:val="bottom"/>
            <w:gridSpan w:val="3"/>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72"/>
              </w:rPr>
              <w:t>thousands)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BALANCE, JANUARY 1, 2025</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302,960</w:t>
            </w:r>
          </w:p>
        </w:tc>
        <w:tc>
          <w:tcPr>
            <w:tcW w:w="400" w:type="dxa"/>
            <w:vAlign w:val="bottom"/>
            <w:gridSpan w:val="2"/>
            <w:shd w:val="clear" w:color="auto" w:fill="CFF0FC"/>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3,029</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3,118,865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1,109</w:t>
            </w:r>
          </w:p>
        </w:tc>
        <w:tc>
          <w:tcPr>
            <w:tcW w:w="2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(3,201,819)</w:t>
            </w:r>
          </w:p>
        </w:tc>
        <w:tc>
          <w:tcPr>
            <w:tcW w:w="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(78,816)</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Net issuance of common stock associated</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2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5,385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loss on available-for-sale</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13,158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580" w:type="dxa"/>
            <w:vAlign w:val="bottom"/>
            <w:tcBorders>
              <w:top w:val="single" w:sz="8" w:color="CFF0FC"/>
              <w:bottom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BALANCE, MARCH 31, 2025</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303,919</w:t>
            </w:r>
          </w:p>
        </w:tc>
        <w:tc>
          <w:tcPr>
            <w:tcW w:w="260" w:type="dxa"/>
            <w:vAlign w:val="bottom"/>
            <w:tcBorders>
              <w:top w:val="single" w:sz="8" w:color="CFF0FC"/>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3,039</w:t>
            </w:r>
          </w:p>
        </w:tc>
        <w:tc>
          <w:tcPr>
            <w:tcW w:w="220" w:type="dxa"/>
            <w:vAlign w:val="bottom"/>
            <w:tcBorders>
              <w:top w:val="single" w:sz="8" w:color="CFF0FC"/>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3,125,830</w:t>
            </w:r>
          </w:p>
        </w:tc>
        <w:tc>
          <w:tcPr>
            <w:tcW w:w="220" w:type="dxa"/>
            <w:vAlign w:val="bottom"/>
            <w:tcBorders>
              <w:top w:val="single" w:sz="8" w:color="CFF0FC"/>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1,174</w:t>
            </w:r>
          </w:p>
        </w:tc>
        <w:tc>
          <w:tcPr>
            <w:tcW w:w="200" w:type="dxa"/>
            <w:vAlign w:val="bottom"/>
            <w:tcBorders>
              <w:top w:val="single" w:sz="8" w:color="CFF0FC"/>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(3,188,661)</w:t>
            </w:r>
          </w:p>
        </w:tc>
        <w:tc>
          <w:tcPr>
            <w:tcW w:w="220" w:type="dxa"/>
            <w:vAlign w:val="bottom"/>
            <w:tcBorders>
              <w:top w:val="single" w:sz="8" w:color="CFF0FC"/>
              <w:bottom w:val="single" w:sz="8" w:color="CFF0FC"/>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color w:val="auto"/>
              </w:rPr>
              <w:t>(58,618)</w:t>
            </w:r>
          </w:p>
        </w:tc>
        <w:tc>
          <w:tcPr>
            <w:tcW w:w="100" w:type="dxa"/>
            <w:vAlign w:val="bottom"/>
            <w:tcBorders>
              <w:top w:val="single" w:sz="8" w:color="CFF0FC"/>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4580" w:type="dxa"/>
            <w:vAlign w:val="bottom"/>
            <w:shd w:val="clear" w:color="auto" w:fill="CFF0FC"/>
          </w:tcPr>
          <w:p>
            <w:pPr>
              <w:ind w:left="80"/>
              <w:spacing w:after="0" w:line="98" w:lineRule="exact"/>
              <w:rPr>
                <w:sz w:val="20"/>
                <w:szCs w:val="20"/>
                <w:color w:val="auto"/>
              </w:rPr>
            </w:pPr>
            <w:r>
              <w:rPr>
                <w:rFonts w:ascii="Times New Roman" w:cs="Times New Roman" w:eastAsia="Times New Roman" w:hAnsi="Times New Roman"/>
                <w:sz w:val="10"/>
                <w:szCs w:val="10"/>
                <w:color w:val="auto"/>
              </w:rPr>
              <w:t>Net issuance of common stock associated</w:t>
            </w:r>
          </w:p>
        </w:tc>
        <w:tc>
          <w:tcPr>
            <w:tcW w:w="9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8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8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with stock options and restricted stock units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2,040</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17"/>
              <w:spacing w:after="0"/>
              <w:rPr>
                <w:sz w:val="20"/>
                <w:szCs w:val="20"/>
                <w:color w:val="auto"/>
              </w:rPr>
            </w:pPr>
            <w:r>
              <w:rPr>
                <w:rFonts w:ascii="Times New Roman" w:cs="Times New Roman" w:eastAsia="Times New Roman" w:hAnsi="Times New Roman"/>
                <w:sz w:val="13"/>
                <w:szCs w:val="13"/>
                <w:color w:val="auto"/>
              </w:rPr>
              <w:t>(6,003)</w:t>
            </w: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(5,983)</w:t>
            </w:r>
          </w:p>
        </w:tc>
        <w:tc>
          <w:tcPr>
            <w:tcW w:w="0" w:type="dxa"/>
            <w:vAlign w:val="bottom"/>
          </w:tcPr>
          <w:p>
            <w:pPr>
              <w:spacing w:after="0"/>
              <w:rPr>
                <w:sz w:val="1"/>
                <w:szCs w:val="1"/>
                <w:color w:val="auto"/>
              </w:rPr>
            </w:pPr>
          </w:p>
        </w:tc>
      </w:tr>
      <w:tr>
        <w:trPr>
          <w:trHeight w:val="117"/>
        </w:trPr>
        <w:tc>
          <w:tcPr>
            <w:tcW w:w="458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under</w:t>
            </w: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employee stock purchase plan</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Issuance of common stock from market</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price stock purchase plan</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2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580" w:type="dxa"/>
            <w:vAlign w:val="bottom"/>
            <w:shd w:val="clear" w:color="auto" w:fill="CFF0FC"/>
          </w:tcPr>
          <w:p>
            <w:pPr>
              <w:ind w:left="80"/>
              <w:spacing w:after="0" w:line="117"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94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securities</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58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58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BALANCE, JUNE 30, 2025</w:t>
            </w:r>
          </w:p>
        </w:tc>
        <w:tc>
          <w:tcPr>
            <w:tcW w:w="9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306,332</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3,063</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3,128,631</w:t>
            </w: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1,257</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(3,187,993)</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(55,042)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-3291205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-3274060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-3291205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-3274060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-3291205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-3274060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-3291205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-3274060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-3291205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-3274060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-3291205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-2399665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-2382520</wp:posOffset>
            </wp:positionV>
            <wp:extent cx="7683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-2399665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-2382520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-2399665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-2382520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-2399665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-2382520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-2399665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-2382520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-1096645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-1096645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-1096645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-1096645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-1096645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MANNKIND CORPORATION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r>
      <w:tr>
        <w:trPr>
          <w:trHeight w:val="128"/>
        </w:trPr>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880" w:type="dxa"/>
            <w:vAlign w:val="bottom"/>
            <w:gridSpan w:val="3"/>
          </w:tcPr>
          <w:p>
            <w:pPr>
              <w:jc w:val="right"/>
              <w:ind w:right="380"/>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77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gridSpan w:val="2"/>
          </w:tcPr>
          <w:p>
            <w:pPr>
              <w:jc w:val="right"/>
              <w:ind w:right="817"/>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13,826</w:t>
            </w:r>
          </w:p>
        </w:tc>
        <w:tc>
          <w:tcPr>
            <w:tcW w:w="120" w:type="dxa"/>
            <w:vAlign w:val="bottom"/>
          </w:tcPr>
          <w:p>
            <w:pPr>
              <w:spacing w:after="0"/>
              <w:rPr>
                <w:sz w:val="12"/>
                <w:szCs w:val="12"/>
                <w:color w:val="auto"/>
              </w:rPr>
            </w:pPr>
          </w:p>
        </w:tc>
        <w:tc>
          <w:tcPr>
            <w:tcW w:w="7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8,616</w:t>
            </w:r>
          </w:p>
        </w:tc>
        <w:tc>
          <w:tcPr>
            <w:tcW w:w="100" w:type="dxa"/>
            <w:vAlign w:val="bottom"/>
          </w:tcPr>
          <w:p>
            <w:pPr>
              <w:spacing w:after="0"/>
              <w:rPr>
                <w:sz w:val="12"/>
                <w:szCs w:val="12"/>
                <w:color w:val="auto"/>
              </w:rPr>
            </w:pPr>
          </w:p>
        </w:tc>
      </w:tr>
      <w:tr>
        <w:trPr>
          <w:trHeight w:val="126"/>
        </w:trPr>
        <w:tc>
          <w:tcPr>
            <w:tcW w:w="774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Adjustments to reconcile net income to net cash (used in) provided by</w:t>
            </w:r>
          </w:p>
        </w:tc>
        <w:tc>
          <w:tcPr>
            <w:tcW w:w="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71"/>
        </w:trPr>
        <w:tc>
          <w:tcPr>
            <w:tcW w:w="7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operating activities:</w:t>
            </w:r>
          </w:p>
        </w:tc>
        <w:tc>
          <w:tcPr>
            <w:tcW w:w="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10,313</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settlement of debt</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7,050</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(gain) on foreign currency transaction</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7,872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(1,928)</w:t>
            </w: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Write-off of inventory</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w:t>
            </w:r>
          </w:p>
        </w:tc>
        <w:tc>
          <w:tcPr>
            <w:tcW w:w="100" w:type="dxa"/>
            <w:vAlign w:val="bottom"/>
          </w:tcPr>
          <w:p>
            <w:pPr>
              <w:spacing w:after="0"/>
              <w:rPr>
                <w:sz w:val="12"/>
                <w:szCs w:val="12"/>
                <w:color w:val="auto"/>
              </w:rPr>
            </w:pPr>
          </w:p>
        </w:tc>
      </w:tr>
      <w:tr>
        <w:trPr>
          <w:trHeight w:val="149"/>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liability for sale of future royalties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7,052</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8,631</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Sold portion of royalty revenue</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(6,123)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(4,824)</w:t>
            </w: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accretion of investments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(1,678)</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(2,109)</w:t>
            </w: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available-for-sale securities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tcPr>
          <w:p>
            <w:pPr>
              <w:spacing w:after="0"/>
              <w:rPr>
                <w:sz w:val="12"/>
                <w:szCs w:val="12"/>
                <w:color w:val="auto"/>
              </w:rPr>
            </w:pPr>
          </w:p>
        </w:tc>
      </w:tr>
      <w:tr>
        <w:trPr>
          <w:trHeight w:val="149"/>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Loss on estimated returns of acquired product</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1,444</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Interest on Mann Group convertible note</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(15,338)</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(8,890)</w:t>
            </w:r>
          </w:p>
        </w:tc>
      </w:tr>
      <w:tr>
        <w:trPr>
          <w:trHeight w:val="149"/>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(5,663)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2,174</w:t>
            </w:r>
          </w:p>
        </w:tc>
        <w:tc>
          <w:tcPr>
            <w:tcW w:w="100" w:type="dxa"/>
            <w:vAlign w:val="bottom"/>
          </w:tcPr>
          <w:p>
            <w:pPr>
              <w:spacing w:after="0"/>
              <w:rPr>
                <w:sz w:val="12"/>
                <w:szCs w:val="12"/>
                <w:color w:val="auto"/>
              </w:rPr>
            </w:pP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(5,371)</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(5,294)</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(1,525)</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(2,209)</w:t>
            </w: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(24)</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(9,333)</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(1,763)</w:t>
            </w:r>
          </w:p>
        </w:tc>
      </w:tr>
      <w:tr>
        <w:trPr>
          <w:trHeight w:val="149"/>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(7,141)</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(5,343)</w:t>
            </w:r>
          </w:p>
        </w:tc>
      </w:tr>
      <w:tr>
        <w:trPr>
          <w:trHeight w:val="148"/>
        </w:trPr>
        <w:tc>
          <w:tcPr>
            <w:tcW w:w="77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Recognized loss on purchase commitments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(2,690)</w:t>
            </w:r>
          </w:p>
        </w:tc>
      </w:tr>
      <w:tr>
        <w:trPr>
          <w:trHeight w:val="148"/>
        </w:trPr>
        <w:tc>
          <w:tcPr>
            <w:tcW w:w="7740" w:type="dxa"/>
            <w:vAlign w:val="bottom"/>
            <w:shd w:val="clear" w:color="auto" w:fill="CFF0FC"/>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(919)</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(546)</w:t>
            </w:r>
          </w:p>
        </w:tc>
      </w:tr>
      <w:tr>
        <w:trPr>
          <w:trHeight w:val="128"/>
        </w:trPr>
        <w:tc>
          <w:tcPr>
            <w:tcW w:w="77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 w:type="dxa"/>
            <w:vAlign w:val="bottom"/>
          </w:tcPr>
          <w:p>
            <w:pPr>
              <w:spacing w:after="0"/>
              <w:rPr>
                <w:sz w:val="11"/>
                <w:szCs w:val="11"/>
                <w:color w:val="auto"/>
              </w:rPr>
            </w:pPr>
          </w:p>
        </w:tc>
        <w:tc>
          <w:tcPr>
            <w:tcW w:w="92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2,573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10,536</w:t>
            </w:r>
          </w:p>
        </w:tc>
        <w:tc>
          <w:tcPr>
            <w:tcW w:w="100" w:type="dxa"/>
            <w:vAlign w:val="bottom"/>
          </w:tcPr>
          <w:p>
            <w:pPr>
              <w:spacing w:after="0"/>
              <w:rPr>
                <w:sz w:val="11"/>
                <w:szCs w:val="11"/>
                <w:color w:val="auto"/>
              </w:rPr>
            </w:pPr>
          </w:p>
        </w:tc>
      </w:tr>
      <w:tr>
        <w:trPr>
          <w:trHeight w:val="142"/>
        </w:trPr>
        <w:tc>
          <w:tcPr>
            <w:tcW w:w="7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available-for-sale securities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9"/>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(88,127)</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(1,447)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(5,380)</w:t>
            </w: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(187,447)</w:t>
            </w:r>
          </w:p>
        </w:tc>
      </w:tr>
      <w:tr>
        <w:trPr>
          <w:trHeight w:val="149"/>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maturities of held-to-maturity securities</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88,814</w:t>
            </w:r>
          </w:p>
        </w:tc>
        <w:tc>
          <w:tcPr>
            <w:tcW w:w="100" w:type="dxa"/>
            <w:vAlign w:val="bottom"/>
          </w:tcPr>
          <w:p>
            <w:pPr>
              <w:spacing w:after="0"/>
              <w:rPr>
                <w:sz w:val="12"/>
                <w:szCs w:val="12"/>
                <w:color w:val="auto"/>
              </w:rPr>
            </w:pPr>
          </w:p>
        </w:tc>
      </w:tr>
      <w:tr>
        <w:trPr>
          <w:trHeight w:val="135"/>
        </w:trPr>
        <w:tc>
          <w:tcPr>
            <w:tcW w:w="774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4"/>
                <w:szCs w:val="14"/>
                <w:color w:val="auto"/>
              </w:rPr>
              <w:t>Proceeds from insurance claim</w:t>
            </w:r>
          </w:p>
        </w:tc>
        <w:tc>
          <w:tcPr>
            <w:tcW w:w="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auto"/>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396</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740" w:type="dxa"/>
            <w:vAlign w:val="bottom"/>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12,218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(103,617)</w:t>
            </w:r>
          </w:p>
        </w:tc>
      </w:tr>
      <w:tr>
        <w:trPr>
          <w:trHeight w:val="142"/>
        </w:trPr>
        <w:tc>
          <w:tcPr>
            <w:tcW w:w="77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2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9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26"/>
        </w:trPr>
        <w:tc>
          <w:tcPr>
            <w:tcW w:w="774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Payments for taxes related to net issuance of common stock associated with</w:t>
            </w: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77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restricted stock units and stock options</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(4,393)</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(4,667)</w:t>
            </w:r>
          </w:p>
        </w:tc>
      </w:tr>
      <w:tr>
        <w:trPr>
          <w:trHeight w:val="148"/>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liability</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(376)</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(203)</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market price stock purchase plan and employee stock purchase plan</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2,320</w:t>
            </w:r>
          </w:p>
        </w:tc>
        <w:tc>
          <w:tcPr>
            <w:tcW w:w="100" w:type="dxa"/>
            <w:vAlign w:val="bottom"/>
          </w:tcPr>
          <w:p>
            <w:pPr>
              <w:spacing w:after="0"/>
              <w:rPr>
                <w:sz w:val="12"/>
                <w:szCs w:val="12"/>
                <w:color w:val="auto"/>
              </w:rPr>
            </w:pPr>
          </w:p>
        </w:tc>
      </w:tr>
      <w:tr>
        <w:trPr>
          <w:trHeight w:val="149"/>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Milestone payment</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(639)</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payments on financing lease liability</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r>
      <w:tr>
        <w:trPr>
          <w:trHeight w:val="149"/>
        </w:trPr>
        <w:tc>
          <w:tcPr>
            <w:tcW w:w="77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MidCap credit facility</w:t>
            </w:r>
          </w:p>
        </w:tc>
        <w:tc>
          <w:tcPr>
            <w:tcW w:w="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(36,617)</w:t>
            </w:r>
          </w:p>
        </w:tc>
      </w:tr>
      <w:tr>
        <w:trPr>
          <w:trHeight w:val="148"/>
        </w:trPr>
        <w:tc>
          <w:tcPr>
            <w:tcW w:w="77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Principal and early extinguishment payments on Mann Group convertible note</w:t>
            </w: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(8,854)</w:t>
            </w:r>
          </w:p>
        </w:tc>
      </w:tr>
      <w:tr>
        <w:trPr>
          <w:trHeight w:val="128"/>
        </w:trPr>
        <w:tc>
          <w:tcPr>
            <w:tcW w:w="7740" w:type="dxa"/>
            <w:vAlign w:val="bottom"/>
            <w:tcBorders>
              <w:top w:val="single" w:sz="8" w:color="CFF0FC"/>
              <w:bottom w:val="single" w:sz="8" w:color="CFF0FC"/>
            </w:tcBorders>
            <w:shd w:val="clear" w:color="auto" w:fill="CFF0FC"/>
          </w:tcPr>
          <w:p>
            <w:pPr>
              <w:ind w:left="560"/>
              <w:spacing w:after="0" w:line="129"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0" w:type="dxa"/>
            <w:vAlign w:val="bottom"/>
            <w:tcBorders>
              <w:top w:val="single" w:sz="8" w:color="CFF0FC"/>
              <w:bottom w:val="single" w:sz="8" w:color="CFF0FC"/>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(4,120)</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(48,024)</w:t>
            </w: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r>
      <w:tr>
        <w:trPr>
          <w:trHeight w:val="129"/>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10,671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(141,105)</w:t>
            </w:r>
          </w:p>
        </w:tc>
      </w:tr>
      <w:tr>
        <w:trPr>
          <w:trHeight w:val="128"/>
        </w:trPr>
        <w:tc>
          <w:tcPr>
            <w:tcW w:w="77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PERIOD</w:t>
            </w:r>
          </w:p>
        </w:tc>
        <w:tc>
          <w:tcPr>
            <w:tcW w:w="20" w:type="dxa"/>
            <w:vAlign w:val="bottom"/>
            <w:tcBorders>
              <w:bottom w:val="single" w:sz="8" w:color="CFF0FC"/>
            </w:tcBorders>
            <w:shd w:val="clear" w:color="auto" w:fill="CFF0FC"/>
          </w:tcPr>
          <w:p>
            <w:pPr>
              <w:spacing w:after="0"/>
              <w:rPr>
                <w:sz w:val="11"/>
                <w:szCs w:val="11"/>
                <w:color w:val="auto"/>
              </w:rPr>
            </w:pPr>
          </w:p>
        </w:tc>
        <w:tc>
          <w:tcPr>
            <w:tcW w:w="920" w:type="dxa"/>
            <w:vAlign w:val="bottom"/>
            <w:tcBorders>
              <w:top w:val="single" w:sz="8" w:color="auto"/>
              <w:bottom w:val="single" w:sz="8" w:color="auto"/>
            </w:tcBorders>
            <w:shd w:val="clear" w:color="auto" w:fill="CFF0FC"/>
          </w:tcPr>
          <w:p>
            <w:pPr>
              <w:spacing w:after="0"/>
              <w:rPr>
                <w:sz w:val="11"/>
                <w:szCs w:val="11"/>
                <w:color w:val="auto"/>
              </w:rPr>
            </w:pPr>
          </w:p>
        </w:tc>
        <w:tc>
          <w:tcPr>
            <w:tcW w:w="6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47,076</w:t>
            </w:r>
          </w:p>
        </w:tc>
        <w:tc>
          <w:tcPr>
            <w:tcW w:w="12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top w:val="single" w:sz="8" w:color="auto"/>
              <w:bottom w:val="single" w:sz="8" w:color="auto"/>
            </w:tcBorders>
            <w:shd w:val="clear" w:color="auto" w:fill="CFF0FC"/>
          </w:tcPr>
          <w:p>
            <w:pPr>
              <w:spacing w:after="0"/>
              <w:rPr>
                <w:sz w:val="11"/>
                <w:szCs w:val="11"/>
                <w:color w:val="auto"/>
              </w:rPr>
            </w:pPr>
          </w:p>
        </w:tc>
        <w:tc>
          <w:tcPr>
            <w:tcW w:w="9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238,480</w:t>
            </w:r>
          </w:p>
        </w:tc>
        <w:tc>
          <w:tcPr>
            <w:tcW w:w="100" w:type="dxa"/>
            <w:vAlign w:val="bottom"/>
            <w:tcBorders>
              <w:bottom w:val="single" w:sz="8" w:color="CFF0FC"/>
            </w:tcBorders>
            <w:shd w:val="clear" w:color="auto" w:fill="CFF0FC"/>
          </w:tcPr>
          <w:p>
            <w:pPr>
              <w:spacing w:after="0"/>
              <w:rPr>
                <w:sz w:val="11"/>
                <w:szCs w:val="11"/>
                <w:color w:val="auto"/>
              </w:rPr>
            </w:pPr>
          </w:p>
        </w:tc>
      </w:tr>
      <w:tr>
        <w:trPr>
          <w:trHeight w:val="128"/>
        </w:trPr>
        <w:tc>
          <w:tcPr>
            <w:tcW w:w="77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940" w:type="dxa"/>
            <w:vAlign w:val="bottom"/>
            <w:tcBorders>
              <w:bottom w:val="single" w:sz="8" w:color="auto"/>
            </w:tcBorders>
            <w:gridSpan w:val="2"/>
          </w:tcPr>
          <w:p>
            <w:pPr>
              <w:jc w:val="right"/>
              <w:ind w:right="817"/>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57,747</w:t>
            </w:r>
          </w:p>
        </w:tc>
        <w:tc>
          <w:tcPr>
            <w:tcW w:w="120" w:type="dxa"/>
            <w:vAlign w:val="bottom"/>
          </w:tcPr>
          <w:p>
            <w:pPr>
              <w:spacing w:after="0"/>
              <w:rPr>
                <w:sz w:val="11"/>
                <w:szCs w:val="11"/>
                <w:color w:val="auto"/>
              </w:rPr>
            </w:pPr>
          </w:p>
        </w:tc>
        <w:tc>
          <w:tcPr>
            <w:tcW w:w="760" w:type="dxa"/>
            <w:vAlign w:val="bottom"/>
            <w:tcBorders>
              <w:bottom w:val="single" w:sz="8" w:color="auto"/>
            </w:tcBorders>
            <w:gridSpan w:val="2"/>
          </w:tcPr>
          <w:p>
            <w:pPr>
              <w:jc w:val="right"/>
              <w:ind w:right="5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97,375</w:t>
            </w:r>
          </w:p>
        </w:tc>
        <w:tc>
          <w:tcPr>
            <w:tcW w:w="100" w:type="dxa"/>
            <w:vAlign w:val="bottom"/>
          </w:tcPr>
          <w:p>
            <w:pPr>
              <w:spacing w:after="0"/>
              <w:rPr>
                <w:sz w:val="11"/>
                <w:szCs w:val="1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-2120900</wp:posOffset>
            </wp:positionV>
            <wp:extent cx="93980" cy="1282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-2120900</wp:posOffset>
            </wp:positionV>
            <wp:extent cx="93980"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-1353820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-415290</wp:posOffset>
            </wp:positionV>
            <wp:extent cx="93980" cy="1282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-415290</wp:posOffset>
            </wp:positionV>
            <wp:extent cx="93980"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-119380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55"/>
        </w:trPr>
        <w:tc>
          <w:tcPr>
            <w:tcW w:w="6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5"/>
              </w:rPr>
              <w:t>Six Months Ended June 30,</w:t>
            </w:r>
          </w:p>
        </w:tc>
        <w:tc>
          <w:tcPr>
            <w:tcW w:w="9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6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00" w:type="dxa"/>
            <w:vAlign w:val="bottom"/>
          </w:tcPr>
          <w:p>
            <w:pPr>
              <w:spacing w:after="0"/>
              <w:rPr>
                <w:sz w:val="11"/>
                <w:szCs w:val="11"/>
                <w:color w:val="auto"/>
              </w:rPr>
            </w:pPr>
          </w:p>
        </w:tc>
      </w:tr>
      <w:tr>
        <w:trPr>
          <w:trHeight w:val="142"/>
        </w:trPr>
        <w:tc>
          <w:tcPr>
            <w:tcW w:w="6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(In</w:t>
            </w:r>
          </w:p>
        </w:tc>
        <w:tc>
          <w:tcPr>
            <w:tcW w:w="88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CASH FLOWS DISCLOSURES:</w:t>
            </w:r>
          </w:p>
        </w:tc>
        <w:tc>
          <w:tcPr>
            <w:tcW w:w="14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paid in cash</w:t>
            </w:r>
          </w:p>
        </w:tc>
        <w:tc>
          <w:tcPr>
            <w:tcW w:w="2420" w:type="dxa"/>
            <w:vAlign w:val="bottom"/>
            <w:gridSpan w:val="2"/>
          </w:tcPr>
          <w:p>
            <w:pPr>
              <w:jc w:val="right"/>
              <w:ind w:right="817"/>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5,569</w:t>
            </w:r>
          </w:p>
        </w:tc>
        <w:tc>
          <w:tcPr>
            <w:tcW w:w="88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8,324</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taxes paid in cash</w:t>
            </w:r>
          </w:p>
        </w:tc>
        <w:tc>
          <w:tcPr>
            <w:tcW w:w="14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1,725</w:t>
            </w:r>
          </w:p>
        </w:tc>
        <w:tc>
          <w:tcPr>
            <w:tcW w:w="100" w:type="dxa"/>
            <w:vAlign w:val="bottom"/>
            <w:shd w:val="clear" w:color="auto" w:fill="CFF0FC"/>
          </w:tcPr>
          <w:p>
            <w:pPr>
              <w:spacing w:after="0"/>
              <w:rPr>
                <w:sz w:val="12"/>
                <w:szCs w:val="12"/>
                <w:color w:val="auto"/>
              </w:rPr>
            </w:pPr>
          </w:p>
        </w:tc>
      </w:tr>
      <w:tr>
        <w:trPr>
          <w:trHeight w:val="149"/>
        </w:trPr>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Payments of Mann Group principal and interest through common stock issuances</w:t>
            </w:r>
          </w:p>
        </w:tc>
        <w:tc>
          <w:tcPr>
            <w:tcW w:w="14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3,806</w:t>
            </w:r>
          </w:p>
        </w:tc>
        <w:tc>
          <w:tcPr>
            <w:tcW w:w="100" w:type="dxa"/>
            <w:vAlign w:val="bottom"/>
            <w:shd w:val="clear" w:color="auto" w:fill="CFF0FC"/>
          </w:tcPr>
          <w:p>
            <w:pPr>
              <w:spacing w:after="0"/>
              <w:rPr>
                <w:sz w:val="12"/>
                <w:szCs w:val="12"/>
                <w:color w:val="auto"/>
              </w:rPr>
            </w:pPr>
          </w:p>
        </w:tc>
      </w:tr>
      <w:tr>
        <w:trPr>
          <w:trHeight w:val="148"/>
        </w:trPr>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liability for sale of future royalties</w:t>
            </w:r>
          </w:p>
        </w:tc>
        <w:tc>
          <w:tcPr>
            <w:tcW w:w="1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w:t>
            </w:r>
          </w:p>
        </w:tc>
        <w:tc>
          <w:tcPr>
            <w:tcW w:w="100" w:type="dxa"/>
            <w:vAlign w:val="bottom"/>
          </w:tcPr>
          <w:p>
            <w:pPr>
              <w:spacing w:after="0"/>
              <w:rPr>
                <w:sz w:val="12"/>
                <w:szCs w:val="12"/>
                <w:color w:val="auto"/>
              </w:rPr>
            </w:pPr>
          </w:p>
        </w:tc>
      </w:tr>
      <w:tr>
        <w:trPr>
          <w:trHeight w:val="148"/>
        </w:trPr>
        <w:tc>
          <w:tcPr>
            <w:tcW w:w="626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Non-cash construction-in-progress, property and equipment</w:t>
            </w:r>
          </w:p>
        </w:tc>
        <w:tc>
          <w:tcPr>
            <w:tcW w:w="14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1,404</w:t>
            </w:r>
          </w:p>
        </w:tc>
        <w:tc>
          <w:tcPr>
            <w:tcW w:w="100" w:type="dxa"/>
            <w:vAlign w:val="bottom"/>
            <w:shd w:val="clear" w:color="auto" w:fill="CFF0FC"/>
          </w:tcPr>
          <w:p>
            <w:pPr>
              <w:spacing w:after="0"/>
              <w:rPr>
                <w:sz w:val="12"/>
                <w:szCs w:val="12"/>
                <w:color w:val="auto"/>
              </w:rPr>
            </w:pPr>
          </w:p>
        </w:tc>
      </w:tr>
      <w:tr>
        <w:trPr>
          <w:trHeight w:val="188"/>
        </w:trPr>
        <w:tc>
          <w:tcPr>
            <w:tcW w:w="6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Addition of right-of-use-asset and lease liability</w:t>
            </w: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6"/>
                <w:szCs w:val="16"/>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8" w:name="page9"/>
    <w:bookmarkEnd w:id="8"/>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MANNKIND CORPORATION AND SUBSIDIARIES NOTES TO CONDENSED CONSOLIDATED FINANCIAL STATEMENTS (Unaudited)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Significant Accounting Policies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MannKind Corporation and its subsidiaries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2024, filed with the SEC on February 26, 2025 (the “Annual Report”).</w:t>
      </w:r>
    </w:p>
    <w:p>
      <w:pPr>
        <w:spacing w:after="0" w:line="18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2025 may not be indicative of the results that may be expected for the full year.</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Financial Statement Estimates </w:t>
      </w:r>
      <w:r>
        <w:rPr>
          <w:rFonts w:ascii="Times New Roman" w:cs="Times New Roman" w:eastAsia="Times New Roman" w:hAnsi="Times New Roman"/>
          <w:sz w:val="18"/>
          <w:szCs w:val="18"/>
          <w:color w:val="auto"/>
        </w:rPr>
        <w:t>— The preparation of financial statements in conformity with GAAP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that affect the amounts reported in the financial statements and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These effects could have a material impact on the estimates and assumptions used in the preparation of the condensed consolidated financial statements. The more significant estimates include revenue recognition, including gross-to-net adjustments, stand-alone selling price considerations for recognition of collaboration revenue, clinical trial expenses, inventory costing, stock-based compensation, the determination of the provision for income taxes and corresponding deferred tax assets and liabilities, the valuation allowance recorded against net deferred tax assets, and expected cash flows from royalties received in connection with United Therapeutics' ("UT's") net revenue for the sale of Tyvaso DPI.</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 MannKind is a biopharmaceutical company focused on the development and commercialization of innovative therapeutic products and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address serious unmet medical needs for those living with endocrine and orphan lung diseases. The Company’s signature technologies—Technosphere dry-powder formulations and Dreamboat inhalation devices—offer rapid and convenient delivery of medicines to the deep lung where they can exert an effect locally or enter the systemic circulation. The Company is currently commercializing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the orphan lung disease pipeline, Tyvaso DPI (treprostinil) inhalation powder, received approval from the U.S. Food and Drug Administration (“FDA”) in May 2022 for the treatment of pulmonary arterial hypertension (“PAH”) and for the treatment of pulmonary hypertension associated with interstitial lung disease (“PH-ILD”). The Company's development and marketing partner, UT, began commercializing Tyvaso DPI in June 2022 and is obligated to pay a 10% royalty on net sales of the product, of which 9% is allocated to the Company and 1% to another party as detailed in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 Company also receives a margin on supplies of Tyvaso DPI that it manufactures for UT.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 The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 condensed consolidated financial statements include the accounts of the Company and its wholly-owned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Intercompany balances and transactions have been eliminated.</w:t>
      </w:r>
    </w:p>
    <w:p>
      <w:pPr>
        <w:spacing w:after="0" w:line="205" w:lineRule="exact"/>
        <w:rPr>
          <w:sz w:val="20"/>
          <w:szCs w:val="20"/>
          <w:color w:val="auto"/>
        </w:rPr>
      </w:pPr>
    </w:p>
    <w:p>
      <w:pPr>
        <w:ind w:right="5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Reclassifications </w:t>
      </w:r>
      <w:r>
        <w:rPr>
          <w:rFonts w:ascii="Times New Roman" w:cs="Times New Roman" w:eastAsia="Times New Roman" w:hAnsi="Times New Roman"/>
          <w:sz w:val="18"/>
          <w:szCs w:val="18"/>
          <w:color w:val="auto"/>
        </w:rPr>
        <w:t>— Certain amounts reported in prior years have been reclassified to conform with the current year presentation.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selling expenses with general and administrative expenses as selling, general and administrative expenses in the condensed consolidated statements of operations.</w:t>
      </w:r>
    </w:p>
    <w:p>
      <w:pPr>
        <w:spacing w:after="0" w:line="17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Segment Information </w:t>
      </w:r>
      <w:r>
        <w:rPr>
          <w:rFonts w:ascii="Times New Roman" w:cs="Times New Roman" w:eastAsia="Times New Roman" w:hAnsi="Times New Roman"/>
          <w:sz w:val="18"/>
          <w:szCs w:val="18"/>
          <w:color w:val="auto"/>
        </w:rPr>
        <w:t>— Operating segments are identified as components of an enterprise about which separate discrete financial information is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evaluation by the chief operating decision-maker (the "CODM") in making decisions regarding resource allocation and assessing performance. To date, the Company has viewed its operations and manages its business as one segment operating in the United States of America ("U.S.").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manufactures products using the Technosphere technology for commercial distribution and continues to pursue other product candidates through collaboration and internal research and development of its pipeline. The business and accounting policies of the Company's single reportable segment are further explained below. The measure of segment assets is reported as total assets in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condensed consolidated balance sheets. No intra-entity sales or transfers are transacted within the Company.</w:t>
      </w:r>
    </w:p>
    <w:p>
      <w:pPr>
        <w:spacing w:after="0" w:line="225"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18"/>
          <w:szCs w:val="18"/>
          <w:color w:val="auto"/>
        </w:rPr>
        <w:t>The key metric utilized by the CODM to assess resource allocation and performance is the Company’s segment net income, which is the same as the consolidated net income reported in the condensed consolidated statements of operations. The CODM also analyzes the Company's consolidated net income to evaluate its return on segment assets and to establish budgets and forecasts. The table below shows the details of the Company’s segment revenues and significant expense categories regularly provided to and reviewed by the CODM as well as other significant segment items included in consolidated net income in the condensed consolidated statements of operations: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Afrezza</w:t>
            </w:r>
          </w:p>
        </w:tc>
        <w:tc>
          <w:tcPr>
            <w:tcW w:w="1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33,216</w:t>
            </w:r>
          </w:p>
        </w:tc>
        <w:tc>
          <w:tcPr>
            <w:tcW w:w="1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V-Go</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154,881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segment expenses (income):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16,744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net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(3,177)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(6,611)</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1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8,603</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tcPr>
          <w:p>
            <w:pPr>
              <w:spacing w:after="0"/>
              <w:rPr>
                <w:sz w:val="19"/>
                <w:szCs w:val="19"/>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60" w:type="dxa"/>
            <w:vAlign w:val="bottom"/>
          </w:tcPr>
          <w:p>
            <w:pPr>
              <w:spacing w:after="0"/>
              <w:rPr>
                <w:sz w:val="19"/>
                <w:szCs w:val="19"/>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-156845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33686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-79375</wp:posOffset>
            </wp:positionV>
            <wp:extent cx="33686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260" w:hanging="252"/>
        <w:spacing w:after="0"/>
        <w:tabs>
          <w:tab w:leader="none" w:pos="26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Includes loss (gain) on foreign currency transaction, loss on available-for-sale securities and income tax expense.</w:t>
      </w:r>
    </w:p>
    <w:p>
      <w:pPr>
        <w:spacing w:after="0" w:line="21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 The Company recognizes revenue when its customers obtain control of promised goods or services, in an amount that reflects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which the Company expects to be entitled in exchange for those goods or services.</w:t>
      </w:r>
    </w:p>
    <w:p>
      <w:pPr>
        <w:spacing w:after="0" w:line="158"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 xml:space="preserve">To determine revenue recognition for arrangements that are within the scope of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(“ASC 606”), the Company performs the following five steps: (i) identify the contract(s) with a customer, (ii) identify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entity will collect the consideration to which it is entitled in exchange for the goods or services it transfers to the customer.</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ASC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specialty and retail pharmacies, and durable medical equipment suppliers ("DMEs") and (ii) collaboration arrangements.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Recognition — Net Revenue — Commercial Product Sales — </w:t>
      </w:r>
      <w:r>
        <w:rPr>
          <w:rFonts w:ascii="Times New Roman" w:cs="Times New Roman" w:eastAsia="Times New Roman" w:hAnsi="Times New Roman"/>
          <w:sz w:val="18"/>
          <w:szCs w:val="18"/>
          <w:color w:val="auto"/>
        </w:rPr>
        <w:t>The Company sells its products to a limited number of wholesale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specialty and retail pharmacies, and DMEs in the U.S. (collectively, its “Customers”). Wholesale distributors subsequently resell the Company’s products to retail pharmacies and certain medical centers or hospitals. Specialty and retail pharmacies sell directly to patients. In addition to distribution agreements with Customers, the Company enters into arrangements with payers that provide for government mandated and/or privately negotiated rebates, chargebacks, and discounts with respect to the purchase of the Company’s products.</w:t>
      </w:r>
    </w:p>
    <w:p>
      <w:pPr>
        <w:spacing w:after="0" w:line="18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The Company transfers control and recognizes revenue upon delivery of product to wholesale distributors and specialty pharmacies. The Company transfers control and recognizes revenue on product sales to a retail pharmacy as the product is dispensed to patients. Product revenues are recorded net of applicable reserves, including discounts, allowances, rebates, returns and other incentives. See </w:t>
      </w:r>
      <w:r>
        <w:rPr>
          <w:rFonts w:ascii="Times New Roman" w:cs="Times New Roman" w:eastAsia="Times New Roman" w:hAnsi="Times New Roman"/>
          <w:sz w:val="18"/>
          <w:szCs w:val="18"/>
          <w:i w:val="1"/>
          <w:iCs w:val="1"/>
          <w:color w:val="auto"/>
        </w:rPr>
        <w:t>Reserves for Variable Consideration</w:t>
      </w:r>
      <w:r>
        <w:rPr>
          <w:rFonts w:ascii="Times New Roman" w:cs="Times New Roman" w:eastAsia="Times New Roman" w:hAnsi="Times New Roman"/>
          <w:sz w:val="18"/>
          <w:szCs w:val="18"/>
          <w:color w:val="auto"/>
        </w:rPr>
        <w:t xml:space="preserv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Reserves for Variable Consideration </w:t>
      </w:r>
      <w:r>
        <w:rPr>
          <w:rFonts w:ascii="Times New Roman" w:cs="Times New Roman" w:eastAsia="Times New Roman" w:hAnsi="Times New Roman"/>
          <w:sz w:val="18"/>
          <w:szCs w:val="18"/>
          <w:color w:val="auto"/>
        </w:rPr>
        <w:t>— Revenues from product sales are recorded at the net sales price (transaction price), which includes estimates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consideration for which reserves are established. Components of variable consideration include trade discounts and allowances, product returns, provider chargebacks and discounts, government rebates, payer rebates, and other incentives, such as voluntary patient assistance, and other allowances that are offered within contracts between the Company and its Customers, payers,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 is required in estimating gross-to-net adjustments, including historical experience, payer channel mix, current contract prices under applicable programs, unbilled claims, claim submission time lags and inventory levels in the distribution channel.</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Where appropriate, these estimates take into consideration a range of possible outcomes, which are probability-weighted in accordance with the expected value method in ASC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current period estimates of gross-to-net adjustments and, therefore, the transaction price was not reduced further during the current period. Actual amounts of consideration ultimately received may differ from the Company’s estimates. If actual results in the future vary from the Company’s estimates, the Company will adjust these estimates, which would affect net revenue from commercial product sales and earnings in the period such variances become known.</w:t>
      </w:r>
    </w:p>
    <w:p>
      <w:pPr>
        <w:spacing w:after="0" w:line="187"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Customers with discounts which include incentives, such as prompt pay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 Consistent with industry practice, the Company generally offers Customers a right of return for unopened product that has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and historical return information, including its visibility into the inventory remaining in the distribution channel. Adjustments to the returns reserve are made when changes in the Company's assumptions result in revised estimates to the Company’s assumptions.</w:t>
      </w:r>
    </w:p>
    <w:p>
      <w:pPr>
        <w:spacing w:after="0" w:line="18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Provider Chargebacks and Discounts </w:t>
      </w:r>
      <w:r>
        <w:rPr>
          <w:rFonts w:ascii="Times New Roman" w:cs="Times New Roman" w:eastAsia="Times New Roman" w:hAnsi="Times New Roman"/>
          <w:sz w:val="18"/>
          <w:szCs w:val="18"/>
          <w:color w:val="auto"/>
        </w:rPr>
        <w:t>— 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to qualified healthcare providers at prices lower than the list prices charged to Customers who directly purchase products from the Company. Customers charge the Company for the difference between what they pay for products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8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 The Company is subject to discount obligations under Medicare and state Medicaid programs. These reserves are recorded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judgment due to timing lags in receiving invoices for claims from states. For Afrezza, the Company also estimates the number of patients in manufacturers' discount program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products that have been recognized as revenue, but which remains in the distribution channel inventories at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1" w:name="page12"/>
    <w:bookmarkEnd w:id="11"/>
    <w:p>
      <w:pPr>
        <w:ind w:right="240"/>
        <w:spacing w:after="0" w:line="282" w:lineRule="auto"/>
        <w:rPr>
          <w:sz w:val="20"/>
          <w:szCs w:val="20"/>
          <w:color w:val="auto"/>
        </w:rPr>
      </w:pPr>
      <w:r>
        <w:rPr>
          <w:rFonts w:ascii="Times New Roman" w:cs="Times New Roman" w:eastAsia="Times New Roman" w:hAnsi="Times New Roman"/>
          <w:sz w:val="18"/>
          <w:szCs w:val="18"/>
          <w:color w:val="auto"/>
        </w:rPr>
        <w:t>end of each reporting period. The Company’s estimates include consideration of historical claims experience, payer channel mix, current contract prices, unbilled claims, claim submission time lags and inventory in the distribution channel.</w:t>
      </w:r>
    </w:p>
    <w:p>
      <w:pPr>
        <w:spacing w:after="0" w:line="16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Payer Rebates </w:t>
      </w:r>
      <w:r>
        <w:rPr>
          <w:rFonts w:ascii="Times New Roman" w:cs="Times New Roman" w:eastAsia="Times New Roman" w:hAnsi="Times New Roman"/>
          <w:sz w:val="18"/>
          <w:szCs w:val="18"/>
          <w:color w:val="auto"/>
        </w:rPr>
        <w:t>— The Company contracts with certain private payer organizations, primarily insurance companies and pharmacy benefit managers,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 The Company’s estimates include consideration of historical claims experience, payer channel mix, current contract prices, unbilled claims, claim submission time lags and inventory in the distribution channel.</w:t>
      </w:r>
    </w:p>
    <w:p>
      <w:pPr>
        <w:spacing w:after="0" w:line="18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 Other incentives which the Company offers include voluntary patient support programs, such as the Company's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co-payments required by payers. The calculation of the accrual for co-pay assistance is based on an estimate of claims and the cost per claim that the Company expects to receive associated with the products that have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8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 Collaborations and Services </w:t>
      </w:r>
      <w:r>
        <w:rPr>
          <w:rFonts w:ascii="Times New Roman" w:cs="Times New Roman" w:eastAsia="Times New Roman" w:hAnsi="Times New Roman"/>
          <w:sz w:val="18"/>
          <w:szCs w:val="18"/>
          <w:color w:val="auto"/>
        </w:rPr>
        <w:t>— The Company enters into licensing, research or other agreements under which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licenses certain rights to its product candidates to third parties, conducts research or provides other services to third parties. The terms of these arrangements may include but are not limited to payment to the Company of one or more of the following: up-front license fees; development, regulatory, and commercial milestone payments; payments for commercial manufacturing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With respect to the Company's significant collaboration and service agreement with UT that includes a long-term commercial supply agreement (as amended, the “CSA”), the Company identified three distinct performance obligations: (1) the license, supply of product to be used in clinical development, and continued development and approval support for Tyvaso DPI (“R&amp;D Services and License”); (2) development activities for the next generation of the product (“Next-Gen R&amp;D Services”); and (3) a material right associated with current and future manufacturing and supply of product (“Manufacturing Services”). Pre-production activities under the CSA, such as facility expansion services and other administrative services, were considered bundled services under the Manufacturing Services performance obligation as required by ASC 606, which were recorded as deferred revenue. Following the FDA’s approval of Tyvaso DPI, UT began issuing purchase orders for the supply of product, which represents distinct contracts and performance obligations under ASC 606. Revenue is recognized for the supply of product at a point in time, once control is transferred to UT, and deferred revenue is recognized as product is delivered over the CSA term based on the estimate of measurement in progress. See Note 9 – </w:t>
      </w:r>
      <w:r>
        <w:rPr>
          <w:rFonts w:ascii="Times New Roman" w:cs="Times New Roman" w:eastAsia="Times New Roman" w:hAnsi="Times New Roman"/>
          <w:sz w:val="18"/>
          <w:szCs w:val="18"/>
          <w:i w:val="1"/>
          <w:iCs w:val="1"/>
          <w:color w:val="auto"/>
        </w:rPr>
        <w:t>Collaborations, Licensing and Other Arrangements.</w:t>
      </w:r>
    </w:p>
    <w:p>
      <w:pPr>
        <w:spacing w:after="0" w:line="1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 For further information, see Note 9 –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 If the license is considered to be a distinct performance obligation, then the estimated revenue is included in the transaction price for the contract, which is then allocated to each performance obligation based on the respective standalone selling prices.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180"/>
        <w:spacing w:after="0" w:line="258" w:lineRule="auto"/>
        <w:rPr>
          <w:sz w:val="20"/>
          <w:szCs w:val="20"/>
          <w:color w:val="auto"/>
        </w:rPr>
      </w:pPr>
      <w:r>
        <w:rPr>
          <w:rFonts w:ascii="Times New Roman" w:cs="Times New Roman" w:eastAsia="Times New Roman" w:hAnsi="Times New Roman"/>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 including estimating future revenue to be earned over the CSA contract term to determine the amount of deferred revenue to be recognized in the period.</w:t>
      </w:r>
    </w:p>
    <w:p>
      <w:pPr>
        <w:spacing w:after="0" w:line="18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been completed and all performance obligations have been delivered, the Company will recognize the milestone payment as revenue in its entirety in the period the milestone was achieved.</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collaboration agreements, for accounting purposes, represent contracts with customers and therefore are not subject to accounting literature on collaboration agreements. The Company grants licenses to its intellectual property, supplies raw materials, semi-finished goods or finished goods, provides research and development services and offers sales support for the co-promotion of products, all of which are outputs of the Company’s ongoing activities, in exchange for consideration. Accordingly, the Company concluded that its collaboration agreements must generally be accounted for pursuant to ASC 606.</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The Company assessed the long-term commercial supply agreement with UT (as amended, the "CSA") and determined that a material right existed for the manufacturing services performance obligation. The transaction price is allocated to the material right as well as the remaining performance obligations in accordance with ASC 606. The Company also evaluates grants of additional licensing rights upon option exercises to determine whether such should be accounted for as separate contracts. Any changes in transaction price is assessed by management as follows:</w:t>
      </w:r>
    </w:p>
    <w:p>
      <w:pPr>
        <w:spacing w:after="0" w:line="80" w:lineRule="exact"/>
        <w:rPr>
          <w:sz w:val="20"/>
          <w:szCs w:val="20"/>
          <w:color w:val="auto"/>
        </w:rPr>
      </w:pPr>
    </w:p>
    <w:p>
      <w:pPr>
        <w:ind w:left="1020" w:hanging="503"/>
        <w:spacing w:after="0" w:line="289" w:lineRule="auto"/>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the change in estimated variable consideration relates to performance obligations that have been partially or fully satisfied, the effect of the change is recognized as an adjustment to revenue in the period of the change. This adjustment is recorded on a cumulative catch-up basis, reflecting the amount of revenue that would have been recognized if the revised estimate had been used since contract inception.</w:t>
      </w:r>
    </w:p>
    <w:p>
      <w:pPr>
        <w:spacing w:after="0" w:line="49"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change in estimated variable consideration relates to performance obligations that have not yet been satisfied, the effect of the change is recognized prospectively over the remaining performance period.</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Revenue Recognition — Royalties — </w:t>
      </w:r>
      <w:r>
        <w:rPr>
          <w:rFonts w:ascii="Times New Roman" w:cs="Times New Roman" w:eastAsia="Times New Roman" w:hAnsi="Times New Roman"/>
          <w:sz w:val="18"/>
          <w:szCs w:val="18"/>
          <w:color w:val="auto"/>
        </w:rPr>
        <w:t>The Company recognizes royalty revenue for a sales-based or usage-based royalty if it is promised in exchange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intellectual property license. The royalty revenue is recognized as of the later of the subsequent sale of the product occurs or if the performance obligation to which the royalty has been allocated has been satisfied or partially satisfied. The Company’s UT License Agreement (as defined in Note 9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Collaborations, Licensing and Other Arrangements</w:t>
      </w:r>
      <w:r>
        <w:rPr>
          <w:rFonts w:ascii="Times New Roman" w:cs="Times New Roman" w:eastAsia="Times New Roman" w:hAnsi="Times New Roman"/>
          <w:sz w:val="18"/>
          <w:szCs w:val="18"/>
          <w:color w:val="auto"/>
        </w:rPr>
        <w:t>) entitles it to receive a 10% royalty on net sales of Tyvaso DPI for the license of the Company’s IP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considered to be interdependent with the development activities that supported the approval of Tyvaso DPI. Although the Company recognizes a 10% royalty on net revenue from the sale of Tyvaso DPI as revenue, it only collects 9% of future royalties due to its sale in December 2023 of 1% of future royalties as detailed in Note 14 </w:t>
      </w:r>
      <w:r>
        <w:rPr>
          <w:rFonts w:ascii="Times New Roman" w:cs="Times New Roman" w:eastAsia="Times New Roman" w:hAnsi="Times New Roman"/>
          <w:sz w:val="18"/>
          <w:szCs w:val="18"/>
          <w:i w:val="1"/>
          <w:iCs w:val="1"/>
          <w:color w:val="auto"/>
        </w:rPr>
        <w:t>– Commitments and Contingencies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3" w:name="page14"/>
    <w:bookmarkEnd w:id="13"/>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Company’s net revenue as shown on the condensed consolidated statement of operations is comprised of revenue generated from product sales, services and royalties as shown below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Product revenue </w:t>
            </w:r>
            <w:r>
              <w:rPr>
                <w:rFonts w:ascii="Times New Roman" w:cs="Times New Roman" w:eastAsia="Times New Roman" w:hAnsi="Times New Roman"/>
                <w:sz w:val="24"/>
                <w:szCs w:val="24"/>
                <w:color w:val="auto"/>
                <w:vertAlign w:val="superscript"/>
              </w:rPr>
              <w:t>(1)</w:t>
            </w:r>
          </w:p>
        </w:tc>
        <w:tc>
          <w:tcPr>
            <w:tcW w:w="2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44,678</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46,758</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92,469</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89,986</w:t>
            </w:r>
          </w:p>
        </w:tc>
        <w:tc>
          <w:tcPr>
            <w:tcW w:w="100" w:type="dxa"/>
            <w:vAlign w:val="bottom"/>
          </w:tcPr>
          <w:p>
            <w:pPr>
              <w:spacing w:after="0"/>
              <w:rPr>
                <w:sz w:val="18"/>
                <w:szCs w:val="18"/>
                <w:color w:val="auto"/>
              </w:rPr>
            </w:pPr>
          </w:p>
        </w:tc>
      </w:tr>
      <w:tr>
        <w:trPr>
          <w:trHeight w:val="216"/>
        </w:trPr>
        <w:tc>
          <w:tcPr>
            <w:tcW w:w="366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Services </w:t>
            </w:r>
            <w:r>
              <w:rPr>
                <w:rFonts w:ascii="Times New Roman" w:cs="Times New Roman" w:eastAsia="Times New Roman" w:hAnsi="Times New Roman"/>
                <w:sz w:val="24"/>
                <w:szCs w:val="24"/>
                <w:color w:val="auto"/>
                <w:vertAlign w:val="superscript"/>
              </w:rPr>
              <w:t>(2)</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4"/>
                <w:szCs w:val="24"/>
                <w:color w:val="auto"/>
                <w:vertAlign w:val="superscript"/>
              </w:rPr>
              <w:t>(3)</w:t>
            </w:r>
          </w:p>
        </w:tc>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100" w:type="dxa"/>
            <w:vAlign w:val="bottom"/>
          </w:tcPr>
          <w:p>
            <w:pPr>
              <w:spacing w:after="0"/>
              <w:rPr>
                <w:sz w:val="18"/>
                <w:szCs w:val="18"/>
                <w:color w:val="auto"/>
              </w:rPr>
            </w:pPr>
          </w:p>
        </w:tc>
      </w:tr>
      <w:tr>
        <w:trPr>
          <w:trHeight w:val="228"/>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2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76,527</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revenue from Afrezza and V-Go sales to wholesalers and specialty pharmacies and Tyvaso DPI to UT.</w:t>
      </w:r>
    </w:p>
    <w:p>
      <w:pPr>
        <w:spacing w:after="0" w:line="8" w:lineRule="exact"/>
        <w:rPr>
          <w:rFonts w:ascii="Times New Roman" w:cs="Times New Roman" w:eastAsia="Times New Roman" w:hAnsi="Times New Roman"/>
          <w:sz w:val="13"/>
          <w:szCs w:val="13"/>
          <w:color w:val="auto"/>
        </w:rPr>
      </w:pPr>
    </w:p>
    <w:p>
      <w:pPr>
        <w:ind w:left="380" w:right="280" w:hanging="372"/>
        <w:spacing w:after="0" w:line="264" w:lineRule="auto"/>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Amounts represent revenue generated from the Company's collaboration arrangements, including Next-Gen R&amp;D Services (as defined in Note 9) for UT as well as arrangements with other collaboration partners. See Note 9 – </w:t>
      </w:r>
      <w:r>
        <w:rPr>
          <w:rFonts w:ascii="Times New Roman" w:cs="Times New Roman" w:eastAsia="Times New Roman" w:hAnsi="Times New Roman"/>
          <w:sz w:val="16"/>
          <w:szCs w:val="16"/>
          <w:i w:val="1"/>
          <w:iCs w:val="1"/>
          <w:color w:val="auto"/>
        </w:rPr>
        <w:t>Collaborations, Licensing and Other Arrangements</w:t>
      </w:r>
      <w:r>
        <w:rPr>
          <w:rFonts w:ascii="Times New Roman" w:cs="Times New Roman" w:eastAsia="Times New Roman" w:hAnsi="Times New Roman"/>
          <w:sz w:val="16"/>
          <w:szCs w:val="16"/>
          <w:color w:val="auto"/>
        </w:rPr>
        <w:t>.</w:t>
      </w:r>
    </w:p>
    <w:p>
      <w:pPr>
        <w:ind w:left="380" w:hanging="372"/>
        <w:spacing w:after="0"/>
        <w:tabs>
          <w:tab w:leader="none" w:pos="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royalties on UT’s net revenue from Tyvaso DPI sales.</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 At the inception of each arrangement that includes development milestone payments, the Company evaluates whether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Commercial - </w:t>
      </w:r>
      <w:r>
        <w:rPr>
          <w:rFonts w:ascii="Times New Roman" w:cs="Times New Roman" w:eastAsia="Times New Roman" w:hAnsi="Times New Roman"/>
          <w:sz w:val="18"/>
          <w:szCs w:val="18"/>
          <w:color w:val="auto"/>
        </w:rPr>
        <w:t>Cost of goods sold- commercial is associated with the product revenue for Afrezza and V-Go and includes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labor costs and manufacturing overhead. These costs, in addition to the impact of the revaluation of inventory for standard costing, and write-offs of inventory are recorded as expenses in the period in which they are incurred, rather than as a portion of inventory costs. Cost of goods sold excludes the cost of insulin purchased under the Company’s Insulin Supply Agreement (the “Insulin Supply Agreement”) with Amphastar Pharmaceuticals, Inc. (“Amphastar”). The Company incurs a quarterly capacity fee through its agreement with Amphastar which is included in cost of goods sold.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additional information on this agreement. All insulin inventory on hand was written off and the full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contract to purchase future insulin was accrued as a recognized loss on purchase commitments in prior years.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Collaborations and Services </w:t>
      </w:r>
      <w:r>
        <w:rPr>
          <w:rFonts w:ascii="Times New Roman" w:cs="Times New Roman" w:eastAsia="Times New Roman" w:hAnsi="Times New Roman"/>
          <w:sz w:val="18"/>
          <w:szCs w:val="18"/>
          <w:color w:val="auto"/>
        </w:rPr>
        <w:t>— Cost of revenues for collaborations and services is primarily associated with product revenue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Tyvaso DPI and includes material, labor cost and manufacturing overhead. These costs, in addition to the write-offs of inventory are recorded as expenses in the period in which they are incurred, rather than as a portion of inventory costs. Cost of revenues for collaborations and services also includes the cost of product development.</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("R&amp;D") — </w:t>
      </w:r>
      <w:r>
        <w:rPr>
          <w:rFonts w:ascii="Times New Roman" w:cs="Times New Roman" w:eastAsia="Times New Roman" w:hAnsi="Times New Roman"/>
          <w:sz w:val="18"/>
          <w:szCs w:val="18"/>
          <w:color w:val="auto"/>
        </w:rPr>
        <w:t>Clinical trial expenses result from obligations under contracts with vendors, consultants and clinical site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in addition to internal costs associated with conducting clinical trials. R&amp;D costs are expensed as incurred. Clinical study and certain research costs are recognized over the service periods specified in the contracts and adjusted as necessary based upon an ongoing review of the level of effort and costs actually incurred. Nonrefundable advance payments for services to be received in the future for use in R&amp;D activities are recorded as prepaid assets and expensed in the period when the services are performed.</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Cash Equivalents and Restricted Cash </w:t>
      </w:r>
      <w:r>
        <w:rPr>
          <w:rFonts w:ascii="Times New Roman" w:cs="Times New Roman" w:eastAsia="Times New Roman" w:hAnsi="Times New Roman"/>
          <w:sz w:val="18"/>
          <w:szCs w:val="18"/>
          <w:color w:val="auto"/>
        </w:rPr>
        <w:t>— The Company considers all highly liquid investments with original maturities of 90 days or less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purchase, that are readily convertible into cash to be cash equivalents. As of June 30, 2025 and December 31, 2024, cash equivalents were comprised of interest-bearing money market funds, U.S. Treasury securities, corporate bonds and commercial paper with original maturities of 90 days or less from the date of purchase.</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records restricted cash when cash and cash equivalents are restricted as to withdrawal or usage. Restricted cash under a letter of credit issued in connection with a facility lease assumed by the Company that will not be available for use in the Company’s operations within 12 months of the reporting date is presented in non-current assets.</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w:t>
      </w:r>
      <w:r>
        <w:rPr>
          <w:rFonts w:ascii="Times New Roman" w:cs="Times New Roman" w:eastAsia="Times New Roman" w:hAnsi="Times New Roman"/>
          <w:sz w:val="18"/>
          <w:szCs w:val="18"/>
          <w:color w:val="auto"/>
        </w:rPr>
        <w:t>— The Company's available-for-sale investments consist primarily of highly liquid money market funds, commercial bonds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paper, and U.S. Treasury securities that are intended to facilitate liquidity and capital preservation. Additionally, the Company has two convertible promissory notes issued by Thirona Bio, Inc. ("Thirona") which it classifies as 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t>available-for-sale investment. Available-for-sale investments are measured at fair value with realized gains and losses and unrealized losses related to credit risk reported in other income (expense) in the condensed consolidated statements of operations. Unrealized holding gains and losses are excluded from earnings and reported in other comprehensive income until realized. These investments with maturities less than 12 months are included in short-term investments and investments with maturities in excess of 12 months are included in long-term investments in the condensed consolidated balance sheets. The accretion of these investments, net of amortization, is recognized as interest income in the condensed consolidated statements of operations. See Note 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Investments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consisted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investments. Investments generally consisted of commercial paper, corporate notes or bonds and U.S. Treasury securities. Cash equivalents and investments are regularly monitored by management.</w:t>
      </w:r>
    </w:p>
    <w:p>
      <w:pPr>
        <w:spacing w:after="0" w:line="17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recorded at the invoiced amount and are not interest bearing. Accounts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are presented net of an allowance for credit losses if there are estimated losses resulting from the inability of its customers to make required payments. The Company makes ongoing assumptions relating to the collectability of its accounts receivable in its calculation of the allowance for credit losses. The allowance for expected credit losses is based primarily on past collections experience relative to the length of time receivables are past due. However, when available evidence reasonably supports an assumption that future economic conditions will differ from current and historical payment collections, an adjustment is reflected in the allowance for expected credit losses. Accounts receivable are also presented net of an allowance for product returns and trade discounts and allowances because the Company’s customers have the right of setoff for these amounts against the related accounts receivable.</w:t>
      </w:r>
    </w:p>
    <w:p>
      <w:pPr>
        <w:spacing w:after="0" w:line="18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Pre-Launch Inventory </w:t>
      </w:r>
      <w:r>
        <w:rPr>
          <w:rFonts w:ascii="Times New Roman" w:cs="Times New Roman" w:eastAsia="Times New Roman" w:hAnsi="Times New Roman"/>
          <w:sz w:val="18"/>
          <w:szCs w:val="18"/>
          <w:color w:val="auto"/>
        </w:rPr>
        <w:t>— An improvement to the manufacturing process for the Company’s primary excipient, fumaryl diketopiperazine (“FDKP”)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demonstrated to be viable and management expects to realize an economic benefit in the future as a result of such process improvement. Accordingly, the Company is required to assess whether to capitalize inventory costs related to such excipient prior to validation of the improved manufacturing process and adoption of the new supplier. In doing so, management must consider a number of factors in order to determine the amount of inventory to be capitalized, including the historical experience of modifying the Company’s manufacturing processes, feedback from technical experts and regulatory agencies on the changes being effected and the amount of inventory that is likely to be used in commercial production. The shelf life of the excipient will be determined as part of the validation process; in the interim, the Company must assess the available stability data to determine whether there is likely to be adequate shelf life to support anticipated future sales occurring beyond the expected adoption date of the new raw material. If management is aware of any specific material risks or contingencies other than the normal regulatory reporting process, or if the criteria for capitalizing inventory produced prior to regulatory approval are otherwise not met, the Company would not capitalize such inventory costs, choosing instead to recognize such costs as R&amp;D expense in the period incurred. See Note 4 – </w:t>
      </w:r>
      <w:r>
        <w:rPr>
          <w:rFonts w:ascii="Times New Roman" w:cs="Times New Roman" w:eastAsia="Times New Roman" w:hAnsi="Times New Roman"/>
          <w:sz w:val="18"/>
          <w:szCs w:val="18"/>
          <w:i w:val="1"/>
          <w:iCs w:val="1"/>
          <w:color w:val="auto"/>
        </w:rPr>
        <w:t>Inventories.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Inventories </w:t>
      </w:r>
      <w:r>
        <w:rPr>
          <w:rFonts w:ascii="Times New Roman" w:cs="Times New Roman" w:eastAsia="Times New Roman" w:hAnsi="Times New Roman"/>
          <w:sz w:val="18"/>
          <w:szCs w:val="18"/>
          <w:color w:val="auto"/>
        </w:rPr>
        <w:t>— Inventories are stated at the lower of cost or net realizable value. The Company determines the cost of inventory using the first-in, first-out,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uses a contract manufacturing organization outside of the U.S. for certain stages of V-Go inventory.</w:t>
      </w:r>
    </w:p>
    <w:p>
      <w:pPr>
        <w:spacing w:after="0" w:line="18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 The Company performs an assessment of projected sales and evaluates the lower of cost or net realizable value and the potential excess inventory on hand at the end of each reporting period.</w:t>
      </w:r>
    </w:p>
    <w:p>
      <w:pPr>
        <w:spacing w:after="0" w:line="185"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Property and Equipment </w:t>
      </w:r>
      <w:r>
        <w:rPr>
          <w:rFonts w:ascii="Times New Roman" w:cs="Times New Roman" w:eastAsia="Times New Roman" w:hAnsi="Times New Roman"/>
          <w:sz w:val="18"/>
          <w:szCs w:val="18"/>
          <w:color w:val="auto"/>
        </w:rPr>
        <w:t>— Property and equipment is recorded at historical cost, net of accumulated depreciation. Depreciation expense is recorded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assets’ useful lives on a straight-line basis and included in cost of goods sold, research and development, and selling, general and administrative expense in the condensed consolidated statements of operations. See Note 5 – </w:t>
      </w: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 Long-lived assets include property and equipment, operating lease right-of-use assets and other intangible assets.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evaluates long-lived assets for impairment whenever events or changes in circumstances indicate that the carrying value of an asset may not be recoverable. Assets are considered to be impaired if the carrying value is considered to be unrecoverable.</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the Company believes an asset to be impaired, the impairment recognized is the amount by which the carrying value of the asset exceeds the fair value of the asset. Fair value is determined using market, income or cost approaches as appropriate for the asset. Any write-downs are treated as permanent reductions in the carrying amount of the asset and recognized as an operating loss.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Acquisitions — </w:t>
      </w:r>
      <w:r>
        <w:rPr>
          <w:rFonts w:ascii="Times New Roman" w:cs="Times New Roman" w:eastAsia="Times New Roman" w:hAnsi="Times New Roman"/>
          <w:sz w:val="18"/>
          <w:szCs w:val="18"/>
          <w:color w:val="auto"/>
        </w:rPr>
        <w:t>The Company first determines whether a set of assets acquired constitute a business and should be accounted for as a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the assets acquired do not constitute a business, the Company accounts for the transaction as an asset acquisition. Business combinations are accounted for by means of the acquisition method of accounting. Under the acquisition method, assets acquired, including in-process R&amp;D (“IPR&amp;D”), and liabilities assumed are recorded at their respective fair values as of the acquisition date in the Company’s condensed consolidated financial statements. Leases are recorded at the net present value of the remaining lease payments. The excess of the fair value of consideration transferred over the fair value of the net assets acquired is recorded as goodwill. A gain on bargain purchase is recorded if the fair value of the net assets acquired exceeds the fair value of the consideration transferred. Contingent consideration obligations incurred in connection with a business combination (including the assumption of an acquiree’s liability arising from an acquisition it consummated prior to the Company’s acquisition) are recorded at their fair values on the acquisition date and remeasured at their fair values each subsequent reporting period until the related contingencies have been resolved. The resulting changes in fair values are recorded in earnings.</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contrast, asset acquisitions are accounted for by using a cost accumulation and allocation model. Under this model, the cost of the acquisition is allocated to the assets acquired and liabilities assumed. IPR&amp;D projects with no alternative future use are recorded in R&amp;D expense upon acquisition, and contingent consideration obligations incurred in connection with an asset acquisition are recorded when it is probable that they will occur and they can be reasonably estimated.</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Goodwill and Other Intangible Assets — </w:t>
      </w:r>
      <w:r>
        <w:rPr>
          <w:rFonts w:ascii="Times New Roman" w:cs="Times New Roman" w:eastAsia="Times New Roman" w:hAnsi="Times New Roman"/>
          <w:sz w:val="18"/>
          <w:szCs w:val="18"/>
          <w:color w:val="auto"/>
        </w:rPr>
        <w:t>The fair value of acquired intangible assets is determined using either a cost approach or an income approach.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approach establishes fair value based on the cost of reproducing or replacing the asset, less depreciation for functional or economic obsolescence. The income approach, referred to as the excess earnings method, utilizes Level 3 fair value inputs to determine the present value of future economic benefits to be derived from ownership of the intangible asset. Market participant valuations assume a global view considering all potential jurisdictions and indications based on discounted after-tax cash flow projections, risk adjusted for estimated probability of technical and regulatory success.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tests for impairment annually on a reporting unit basis, at the beginning of the Company’s fourth fiscal quarter and between annual tests if events and circumstances indicate it is more likely than not that the fair value of a reporting unit is less than its carrying amount. To the extent the carrying amount of a reporting unit is less than its estimated fair value, an impairment charge will be recorded.</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Finite-lived intangible assets are amortized on a straight-line basis over the estimated useful life. Estimated useful lives are determined considering the period assets are expected to contribute to future cash flows. Finite-lived intangible assets are tested for impairment when facts or circumstances suggest that the carrying value of the asset may not be recoverable. If the carrying value exceeds the projected undiscounted pretax cash flows of the intangible asset, an impairment loss equal to the excess of the carrying value over the estimated fair value (discounted after-tax cash flows) is recognized.</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IPR&amp;D acquired in a business combination is considered an indefinite-lived intangible asset until the completion or abandonment of the associated R&amp;D efforts. During the R&amp;D period, the asset is not amortized but rather is tested for impairment when facts or circumstances suggest that the carrying value of the asset may not be recoverable. Once the R&amp;D efforts are completed, the Company accounts for the resulting asset as a finite-lived intangible asset. If the R&amp;D efforts are abandoned, the asset balance is written off to R&amp;D expense.</w:t>
      </w:r>
    </w:p>
    <w:p>
      <w:pPr>
        <w:spacing w:after="0" w:line="17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Recognized Loss on Purchase Commitments </w:t>
      </w:r>
      <w:r>
        <w:rPr>
          <w:rFonts w:ascii="Times New Roman" w:cs="Times New Roman" w:eastAsia="Times New Roman" w:hAnsi="Times New Roman"/>
          <w:sz w:val="18"/>
          <w:szCs w:val="18"/>
          <w:color w:val="auto"/>
        </w:rPr>
        <w:t>— The Company reviews the terms of the long-term supply agreements and assesses the need for any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 estimated losses, such as lower of cost or net realizable value, that will not be recovered by future product sales. The recognized loss on purchase commitments is reduced as inventory items are received or as the liability is extinguished.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In July 2013, in conjunction with the execution of a now repaid loan agreement with Deerfield Private Design Fund II, 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Deerfield Private Design International II, L.P. (collectively, “Deerfield”), the Company entered into a Milestone Rights Purchase Agreement (the “Milestone Rights Agreement”) pursuant to which the Company issued certain milestone rights to Deerfield Private Design Fund II, L.P. and Horizon Santé FLML SÀRL (the “Original Milestone Purchasers”). The foregoing milestone rights provided the Original Milestone Purchasers certain rights to receive payments of up to $90.0 million upon the occurrence of specified strategic and Afrezza sales milestones, $45.0 million of which remains payable as of June 30, 2025 upon achievement of such milestones (collectively, the “Milestone Rights”). In December 2021, the Milestone Rights were purchased by Barings Global Special Situations Credit Fund 4 (Delaware), L.P. and Barings Global Special Situations Credit 4 (LUX) S.ar.l. (together, the “Milestone Purchasers”). As a result, the Milestone Purchasers have assumed the obligations of the Original Milestone Purchasers and are now entitled to all rights under the Milestone Rights Agreement. The Milestone Rights liability is reported at fair value at the date of the agreement which is periodically offset against payments. See Note 10 –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initial fair value estimate of the Milestone Rights was calculated using the income approach in which the cash flows associated with the specified contractual payments were adjusted for both the expected timing and the probability of achieving the milestones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6" w:name="page17"/>
    <w:bookmarkEnd w:id="16"/>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is remeasured as the specified milestone events are achieved. Specifically, as each milestone event is achieved, the portion of the initially recorded Milestone Rights liability that pertains to the milestone event being achieved, is remeasured to the amount of the specified related milestone payment. The resulting change in the balance of the Milestone Rights liability due to remeasurement is recorded in the Company’s condensed consolidated statements of operations as interest expense. Furthermore, the Milestone Rights liability is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7 –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Company applies various valuation approaches in determining the fair value of its financial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The provisions for federal, foreign, state and local income taxes are calculated on pre-tax income based on current tax law and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Penalties, if probable and reasonably estimable, are recognized as a component of income tax expense. The Company has reduced its deferred tax assets for uncertain tax positions but has not recorded liabilities for income tax expense, penalties, or interest.</w:t>
      </w:r>
    </w:p>
    <w:p>
      <w:pPr>
        <w:spacing w:after="0" w:line="1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Contingencies </w:t>
      </w:r>
      <w:r>
        <w:rPr>
          <w:rFonts w:ascii="Times New Roman" w:cs="Times New Roman" w:eastAsia="Times New Roman" w:hAnsi="Times New Roman"/>
          <w:sz w:val="18"/>
          <w:szCs w:val="18"/>
          <w:color w:val="auto"/>
        </w:rPr>
        <w:t>— The Company records a loss contingency for a liability when it is both probable that a liability has been incurred and the amount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8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 Share-based payments to employees, including grants of restricted stock units (“RSUs”), performance-based non-qualified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stock options awards (“PNQs”), performance-based restricted stock units ("Performance RSUs"), restricted stock units with market conditions (“Market RSUs”), options and the compensatory elements of employee stock purchase plans, are recognized in the condensed consolidated statements of operations based upon the fair value of the awards at the grant date. RSUs are valued based on the market price on the grant date. Market RSUs are valued using a Monte Carlo valuation model and RSUs with performance conditions are evaluated for the probability that the performance conditions will be met and estimates the date at which the performance conditions will be met in order to properly recognize stock-based compensation expense over the requisite service period. The Company uses the Black-Scholes option valuation model to estimate the grant date fair value of employee stock options and the compensatory elements of employee stock purchase plans. See Note 13 – </w:t>
      </w: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Income Per Share of Common Stock </w:t>
      </w:r>
      <w:r>
        <w:rPr>
          <w:rFonts w:ascii="Times New Roman" w:cs="Times New Roman" w:eastAsia="Times New Roman" w:hAnsi="Times New Roman"/>
          <w:sz w:val="18"/>
          <w:szCs w:val="18"/>
          <w:color w:val="auto"/>
        </w:rPr>
        <w:t>— Basic net income or loss per share ("EPS") is computed by dividing net income or loss by the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common shares outstanding for the period. Diluted EPS reflects the effect of potential common stock issuances resulting from assumed stock option exercises and vesting of restricted stock units, unless the effect is anti-dilutive, when applying the treasury stock method, as well as potential dilution under the if-converted method for convertible debt securities. For periods where the Company has presented a net loss, potentially dilutive securities are excluded from the computation of diluted EPS as they would be anti-dilutive.</w:t>
      </w:r>
    </w:p>
    <w:p>
      <w:pPr>
        <w:spacing w:after="0" w:line="18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Accounting Standards </w:t>
      </w:r>
      <w:r>
        <w:rPr>
          <w:rFonts w:ascii="Times New Roman" w:cs="Times New Roman" w:eastAsia="Times New Roman" w:hAnsi="Times New Roman"/>
          <w:sz w:val="18"/>
          <w:szCs w:val="18"/>
          <w:color w:val="auto"/>
        </w:rPr>
        <w:t>— In December 2023, the FASB issued ASU No. 2023-09,</w:t>
      </w:r>
      <w:r>
        <w:rPr>
          <w:rFonts w:ascii="Times New Roman" w:cs="Times New Roman" w:eastAsia="Times New Roman" w:hAnsi="Times New Roman"/>
          <w:sz w:val="18"/>
          <w:szCs w:val="18"/>
          <w:i w:val="1"/>
          <w:iCs w:val="1"/>
          <w:color w:val="auto"/>
        </w:rPr>
        <w:t xml:space="preserve"> Improvements to Income Tax Disclosures (Topic 740)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requires disaggregated information about a public entity’s effective tax rate reconciliation as well as additional information on income taxes paid. This ASU is effective on a prospective basis for annual periods beginning after December 15, 2024. Early adoption is permitted for annual financial statements that have not yet been issued or made available for issuance. The Company does not anticipate that adoption of this ASU will have a material impact on the Company's financial position or results of operations.</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which amends ASC 220-40,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w:t>
      </w:r>
      <w:r>
        <w:rPr>
          <w:rFonts w:ascii="Times New Roman" w:cs="Times New Roman" w:eastAsia="Times New Roman" w:hAnsi="Times New Roman"/>
          <w:sz w:val="18"/>
          <w:szCs w:val="18"/>
          <w:color w:val="auto"/>
        </w:rPr>
        <w:t>, to require disaggregated disclosure of income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for public entities. This ASU does not change the expense captions an entity presents on the face of the income statement; rather, it requires disaggregation of certain expense captions into specified categories in disclosures within the footnotes to the financial statements. The objective of this ASU is to address requests from investors for more detailed information about the types of expenses included in commonly presented expense captions. This ASU is effective for all public entities for fiscal years beginning after December 15, 2026, and interim periods within fiscal years beginning after December 15, 2027. Early adoption is permitted. The Company does not anticipate that adoption of this ASU will have a material impact on the Company's financial position or results of operations.</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Cash equivalents consist of highly liquid investments with original maturities of 90 days or less at the time of purchase that are readily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cash.</w:t>
      </w:r>
    </w:p>
    <w:p>
      <w:pPr>
        <w:spacing w:after="0" w:line="158"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Investments Portfolio </w:t>
      </w:r>
      <w:r>
        <w:rPr>
          <w:rFonts w:ascii="Times New Roman" w:cs="Times New Roman" w:eastAsia="Times New Roman" w:hAnsi="Times New Roman"/>
          <w:sz w:val="18"/>
          <w:szCs w:val="18"/>
          <w:color w:val="auto"/>
        </w:rPr>
        <w:t>—The Company's investments portfolio consists of highly liquid money market funds, commercial bonds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 and U.S. Treasury securities (collectively, the "Investments") for which the Company has accounted for as available-for-sale effective October 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the Investments are summarized below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196"/>
        </w:trPr>
        <w:tc>
          <w:tcPr>
            <w:tcW w:w="4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80" w:type="dxa"/>
            <w:vAlign w:val="bottom"/>
            <w:gridSpan w:val="4"/>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Held-to-Maturity Investments</w:t>
            </w:r>
          </w:p>
        </w:tc>
      </w:tr>
      <w:tr>
        <w:trPr>
          <w:trHeight w:val="117"/>
        </w:trPr>
        <w:tc>
          <w:tcPr>
            <w:tcW w:w="42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6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Aggregate</w:t>
            </w:r>
          </w:p>
        </w:tc>
        <w:tc>
          <w:tcPr>
            <w:tcW w:w="100" w:type="dxa"/>
            <w:vAlign w:val="bottom"/>
          </w:tcPr>
          <w:p>
            <w:pPr>
              <w:spacing w:after="0"/>
              <w:rPr>
                <w:sz w:val="10"/>
                <w:szCs w:val="10"/>
                <w:color w:val="auto"/>
              </w:rPr>
            </w:pPr>
          </w:p>
        </w:tc>
      </w:tr>
      <w:tr>
        <w:trPr>
          <w:trHeight w:val="173"/>
        </w:trPr>
        <w:tc>
          <w:tcPr>
            <w:tcW w:w="4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10"/>
        </w:trPr>
        <w:tc>
          <w:tcPr>
            <w:tcW w:w="42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Due in one year or less</w:t>
            </w:r>
            <w:r>
              <w:rPr>
                <w:rFonts w:ascii="Times New Roman" w:cs="Times New Roman" w:eastAsia="Times New Roman" w:hAnsi="Times New Roman"/>
                <w:sz w:val="24"/>
                <w:szCs w:val="24"/>
                <w:color w:val="auto"/>
                <w:vertAlign w:val="superscript"/>
              </w:rPr>
              <w:t>(1)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144,531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165,466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165,662</w:t>
            </w:r>
          </w:p>
        </w:tc>
        <w:tc>
          <w:tcPr>
            <w:tcW w:w="100" w:type="dxa"/>
            <w:vAlign w:val="bottom"/>
            <w:shd w:val="clear" w:color="auto" w:fill="CFF0FC"/>
          </w:tcPr>
          <w:p>
            <w:pPr>
              <w:spacing w:after="0"/>
              <w:rPr>
                <w:sz w:val="18"/>
                <w:szCs w:val="18"/>
                <w:color w:val="auto"/>
              </w:rPr>
            </w:pPr>
          </w:p>
        </w:tc>
      </w:tr>
      <w:tr>
        <w:trPr>
          <w:trHeight w:val="23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100" w:type="dxa"/>
            <w:vAlign w:val="bottom"/>
          </w:tcPr>
          <w:p>
            <w:pPr>
              <w:spacing w:after="0"/>
              <w:rPr>
                <w:sz w:val="20"/>
                <w:szCs w:val="20"/>
                <w:color w:val="auto"/>
              </w:rPr>
            </w:pPr>
          </w:p>
        </w:tc>
      </w:tr>
      <w:tr>
        <w:trPr>
          <w:trHeight w:val="221"/>
        </w:trPr>
        <w:tc>
          <w:tcPr>
            <w:tcW w:w="4260" w:type="dxa"/>
            <w:vAlign w:val="bottom"/>
          </w:tcPr>
          <w:p>
            <w:pPr>
              <w:ind w:left="220"/>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166,771</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171,144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0"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investments due in one year or less include cash equivalents of $22.6 million as of June 30,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$14.7 million as of December 31, 2024.</w:t>
      </w:r>
    </w:p>
    <w:p>
      <w:pPr>
        <w:spacing w:after="0" w:line="216" w:lineRule="exact"/>
        <w:rPr>
          <w:rFonts w:ascii="Times New Roman" w:cs="Times New Roman" w:eastAsia="Times New Roman" w:hAnsi="Times New Roman"/>
          <w:sz w:val="13"/>
          <w:szCs w:val="13"/>
          <w:color w:val="auto"/>
        </w:rPr>
      </w:pPr>
    </w:p>
    <w:p>
      <w:pPr>
        <w:ind w:left="5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fair value of the Investments are disclosed below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4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40" w:type="dxa"/>
            <w:vAlign w:val="bottom"/>
            <w:gridSpan w:val="2"/>
            <w:vMerge w:val="restart"/>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12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40" w:type="dxa"/>
            <w:vAlign w:val="bottom"/>
            <w:tcBorders>
              <w:bottom w:val="single" w:sz="8" w:color="auto"/>
            </w:tcBorders>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gridSpan w:val="2"/>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60" w:type="dxa"/>
            <w:vAlign w:val="bottom"/>
          </w:tcPr>
          <w:p>
            <w:pPr>
              <w:spacing w:after="0"/>
              <w:rPr>
                <w:sz w:val="15"/>
                <w:szCs w:val="15"/>
                <w:color w:val="auto"/>
              </w:rPr>
            </w:pP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 and other</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Borders>
              <w:lef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4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95"/>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(22,552)</w:t>
            </w: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(22,552)</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Amortized Cost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Available-for-Sale Investments</w:t>
            </w:r>
          </w:p>
        </w:tc>
        <w:tc>
          <w:tcPr>
            <w:tcW w:w="10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Level</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Holding Gains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Holding Losses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Borders>
              <w:lef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bonds and paper</w:t>
            </w:r>
          </w:p>
        </w:tc>
        <w:tc>
          <w:tcPr>
            <w:tcW w:w="40" w:type="dxa"/>
            <w:vAlign w:val="bottom"/>
          </w:tcPr>
          <w:p>
            <w:pPr>
              <w:spacing w:after="0"/>
              <w:rPr>
                <w:sz w:val="18"/>
                <w:szCs w:val="18"/>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44,170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40" w:type="dxa"/>
            <w:vAlign w:val="bottom"/>
            <w:shd w:val="clear" w:color="auto" w:fill="CFF0FC"/>
          </w:tcPr>
          <w:p>
            <w:pPr>
              <w:spacing w:after="0"/>
              <w:rPr>
                <w:sz w:val="18"/>
                <w:szCs w:val="18"/>
                <w:color w:val="auto"/>
              </w:rPr>
            </w:pPr>
          </w:p>
        </w:tc>
        <w:tc>
          <w:tcPr>
            <w:tcW w:w="1200" w:type="dxa"/>
            <w:vAlign w:val="bottom"/>
            <w:gridSpan w:val="3"/>
            <w:shd w:val="clear" w:color="auto" w:fill="CFF0FC"/>
          </w:tcPr>
          <w:p>
            <w:pPr>
              <w:jc w:val="center"/>
              <w:ind w:right="6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left w:val="single" w:sz="8" w:color="CFF0FC"/>
            </w:tcBorders>
            <w:shd w:val="clear" w:color="auto" w:fill="CFF0FC"/>
          </w:tcPr>
          <w:p>
            <w:pPr>
              <w:spacing w:after="0"/>
              <w:rPr>
                <w:sz w:val="18"/>
                <w:szCs w:val="18"/>
                <w:color w:val="auto"/>
              </w:rPr>
            </w:pPr>
          </w:p>
        </w:tc>
        <w:tc>
          <w:tcPr>
            <w:tcW w:w="9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112,074</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112,229</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cash equivalents and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171,144</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cash equivalents</w:t>
            </w: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80" w:type="dxa"/>
            <w:vAlign w:val="bottom"/>
            <w:shd w:val="clear" w:color="auto" w:fill="CFF0FC"/>
          </w:tcPr>
          <w:p>
            <w:pPr>
              <w:spacing w:after="0"/>
              <w:rPr>
                <w:sz w:val="18"/>
                <w:szCs w:val="18"/>
                <w:color w:val="auto"/>
              </w:rPr>
            </w:pPr>
          </w:p>
        </w:tc>
        <w:tc>
          <w:tcPr>
            <w:tcW w:w="160" w:type="dxa"/>
            <w:vAlign w:val="bottom"/>
            <w:tcBorders>
              <w:left w:val="single" w:sz="8" w:color="CFF0FC"/>
            </w:tcBorders>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(14,745)</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156,399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-1962150</wp:posOffset>
            </wp:positionV>
            <wp:extent cx="774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-1962150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-1962150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-1679575</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-1679575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-1679575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-453390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-453390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-453390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-170815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-170815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June 30, 2025 and December 31, 2024, there was $0.9 million and $1.0 million, respectively, of accrued interest receivable on investments which is included in prepaid expense and other current assets in our condensed consolidated balance sheets.</w:t>
      </w:r>
    </w:p>
    <w:p>
      <w:pPr>
        <w:spacing w:after="0" w:line="1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Available-for-Sale Investment — Thirona — </w:t>
      </w:r>
      <w:r>
        <w:rPr>
          <w:rFonts w:ascii="Times New Roman" w:cs="Times New Roman" w:eastAsia="Times New Roman" w:hAnsi="Times New Roman"/>
          <w:sz w:val="18"/>
          <w:szCs w:val="18"/>
          <w:color w:val="auto"/>
        </w:rPr>
        <w:t>In June 2021, the Company purchased a $3.0 million convertible promissory note issued by Thirona.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2022, the Company purchased an additional $5.0 million convertible promissory note issued by Thirona (the "Thirona convertible notes"). The Thirona convertible notes are general unsecured obligations of Thirona and initially accrued interest at a rate of 6% per annum. Unless earlier converted into conversion shares pursuant to the note purchase agreement, the aggregate principal of $8.0 million and accrued interest shall be due and payable by Thirona on demand by the Company at any time after the maturity date. The Thirona convertible notes were amended in February 2023 to extend the maturity date from December 31, 2022 to June 30, 2024, and again on June 27, 2024 to extend the maturity date to June 30, 2026 and increase the interest rate to 10% per annum. The Thirona convertible notes were included in prepaid expense and other current assets as of June 30, 2025 and December 31, 2024 in the condensed consolidated balance sheets.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evaluates the fair value of its investment in Thirona by applying a scenario based model with hypothetical yield of 38.0% and 28.0%, and volatility of 70.0% as of June 30, 2025 and December 31, 2024, respectively. As of June 30, 2025 and December 31, 2024, the fair value of the Company's investment in Thirona was $6.6 million and $6.3 million, respectively. For the three and six months ended June 30, 2025, the Company recorded an unrealized holding gain of $0.2 million and $0.3 million, respectively. For the three and six months ended June 30, 2024, the Company recognized a loss of $1.6 million on its investment in Thirona as a result of modification of the Thirona convertible notes. No interest income on the Company's investment in Thirona was recognized for the three and six months ended June 30, 2025 or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 commercial</w:t>
            </w:r>
          </w:p>
        </w:tc>
        <w:tc>
          <w:tcPr>
            <w:tcW w:w="18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0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1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22,879</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Wholesaler distribution fees and prompt pay discounts</w:t>
            </w:r>
          </w:p>
        </w:tc>
        <w:tc>
          <w:tcPr>
            <w:tcW w:w="1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(4,186)</w:t>
            </w:r>
          </w:p>
        </w:tc>
      </w:tr>
      <w:tr>
        <w:trPr>
          <w:trHeight w:val="216"/>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returns</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(8,858)</w:t>
            </w:r>
          </w:p>
        </w:tc>
      </w:tr>
      <w:tr>
        <w:trPr>
          <w:trHeight w:val="209"/>
        </w:trPr>
        <w:tc>
          <w:tcPr>
            <w:tcW w:w="5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accounts receivable – commercial, net</w:t>
            </w:r>
          </w:p>
        </w:tc>
        <w:tc>
          <w:tcPr>
            <w:tcW w:w="18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Accounts receivable – collaborations and services</w:t>
            </w:r>
            <w:r>
              <w:rPr>
                <w:rFonts w:ascii="Times New Roman" w:cs="Times New Roman" w:eastAsia="Times New Roman" w:hAnsi="Times New Roman"/>
                <w:sz w:val="24"/>
                <w:szCs w:val="24"/>
                <w:color w:val="auto"/>
                <w:vertAlign w:val="superscript"/>
              </w:rPr>
              <w:t>(1)</w:t>
            </w:r>
          </w:p>
        </w:tc>
        <w:tc>
          <w:tcPr>
            <w:tcW w:w="18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tcPr>
          <w:p>
            <w:pPr>
              <w:spacing w:after="0"/>
              <w:rPr>
                <w:sz w:val="18"/>
                <w:szCs w:val="18"/>
                <w:color w:val="auto"/>
              </w:rPr>
            </w:pPr>
          </w:p>
        </w:tc>
      </w:tr>
      <w:tr>
        <w:trPr>
          <w:trHeight w:val="228"/>
        </w:trPr>
        <w:tc>
          <w:tcPr>
            <w:tcW w:w="5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8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13" w:lineRule="exact"/>
        <w:rPr>
          <w:sz w:val="20"/>
          <w:szCs w:val="20"/>
          <w:color w:val="auto"/>
        </w:rPr>
      </w:pPr>
    </w:p>
    <w:p>
      <w:pPr>
        <w:ind w:left="380" w:right="400" w:hanging="372"/>
        <w:spacing w:after="0" w:line="275" w:lineRule="auto"/>
        <w:tabs>
          <w:tab w:leader="none" w:pos="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The balance as of December 31, 2024 includes the $1.1 million regulatory milestone payment receivable from Cipla. See Note 9 </w:t>
      </w:r>
      <w:r>
        <w:rPr>
          <w:rFonts w:ascii="Times New Roman" w:cs="Times New Roman" w:eastAsia="Times New Roman" w:hAnsi="Times New Roman"/>
          <w:sz w:val="16"/>
          <w:szCs w:val="16"/>
          <w:i w:val="1"/>
          <w:iCs w:val="1"/>
          <w:color w:val="auto"/>
        </w:rPr>
        <w:t>– Collaborations, Licensing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Other Arrangements – Cipla License and Distribution Agreement.</w:t>
      </w:r>
    </w:p>
    <w:p>
      <w:pPr>
        <w:spacing w:after="0" w:line="17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three wholesale distributors representing approximately 86% of commercial accounts receivable and approximately 72% and 74% of gross sales during the three and six months ended June 30, 2025, respectively.</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June 30, 2025, there was no allowance for credit losses for collaborations and services accounts receivable. The Company had one collaboration partner, UT, that comprised 98% of the collaboration and services net accounts receivable as of June 30, 2025 and approximately 97% and 98% of gross revenue from collaborations and services for the three and six months ended June 30,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28,491</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Work-in-process and finished goods as of June 30, 2025 and December 31, 2024 include conversion costs and exclude the cost of insulin. All insulin inventory on hand was written off in prior years and the projected loss on the purchase commitment contract to purchase future insulin was accrued.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Contingencies — Commitments.</w:t>
      </w:r>
      <w:r>
        <w:rPr>
          <w:rFonts w:ascii="Times New Roman" w:cs="Times New Roman" w:eastAsia="Times New Roman" w:hAnsi="Times New Roman"/>
          <w:sz w:val="18"/>
          <w:szCs w:val="18"/>
          <w:color w:val="auto"/>
        </w:rPr>
        <w:t xml:space="preserve"> Raw materials inventory included $0.8 million of pre-launch inventory as of June 30, 2025 and December 31, 2024, which consisted of FDKP received in November 2019.</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as of June 30, 2025 and December 31, 2024. Inventory that did not meet acceptable standards or was forecasted to become obsolete due to expiration is reserved for inventory obsolescence in the condensed consolidated balance sheets and recognized as costs of goods sold in the condensed consolidated statements of operations. As a result of these assessments, there were inventory write-offs of $4.6 million and $5.1 million for the three and six months ended June 30, 2025, respectively, and $0.6 million and $1.6 million for the three and six months ended June 30,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(dollars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3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3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(110,715)</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(106,676)</w:t>
            </w:r>
          </w:p>
        </w:tc>
        <w:tc>
          <w:tcPr>
            <w:tcW w:w="0" w:type="dxa"/>
            <w:vAlign w:val="bottom"/>
          </w:tcPr>
          <w:p>
            <w:pPr>
              <w:spacing w:after="0"/>
              <w:rPr>
                <w:sz w:val="1"/>
                <w:szCs w:val="1"/>
                <w:color w:val="auto"/>
              </w:rPr>
            </w:pPr>
          </w:p>
        </w:tc>
      </w:tr>
      <w:tr>
        <w:trPr>
          <w:trHeight w:val="209"/>
        </w:trPr>
        <w:tc>
          <w:tcPr>
            <w:tcW w:w="65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8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82,965</w:t>
            </w: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85,365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-454025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related to property and equipment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8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2,039</w:t>
            </w:r>
          </w:p>
        </w:tc>
        <w:tc>
          <w:tcPr>
            <w:tcW w:w="96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1,711</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FF0FC"/>
          </w:tcPr>
          <w:p>
            <w:pPr>
              <w:spacing w:after="0"/>
              <w:rPr>
                <w:sz w:val="18"/>
                <w:szCs w:val="18"/>
                <w:color w:val="auto"/>
              </w:rPr>
            </w:pPr>
          </w:p>
        </w:tc>
      </w:tr>
    </w:tbl>
    <w:p>
      <w:pPr>
        <w:spacing w:after="0" w:line="21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2025 and 2024, the Company retired $0.1 million of manufacturing equipment, as it was no longer in service. The net book value for the disposed assets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1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Goodwill </w:t>
      </w:r>
      <w:r>
        <w:rPr>
          <w:rFonts w:ascii="Times New Roman" w:cs="Times New Roman" w:eastAsia="Times New Roman" w:hAnsi="Times New Roman"/>
          <w:sz w:val="17"/>
          <w:szCs w:val="17"/>
          <w:color w:val="auto"/>
        </w:rPr>
        <w:t>— Goodwill represents the excess of the purchase price over the identifiable tangible and intangible assets acquired plus liabilities assumed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arising from business combinations. The balance of goodwill was $1.9 million as of June 30, 2025 and December 31, 2024 as a result of the Company's acquisition of V-Go in May 2022. Goodwill is tested at least annually for impairment by assessing qualitative factors in determining whether it is more likely than not that the fair value of net assets is below their carrying amounts. See Note 1 – </w:t>
      </w:r>
      <w:r>
        <w:rPr>
          <w:rFonts w:ascii="Times New Roman" w:cs="Times New Roman" w:eastAsia="Times New Roman" w:hAnsi="Times New Roman"/>
          <w:sz w:val="17"/>
          <w:szCs w:val="17"/>
          <w:i w:val="1"/>
          <w:iCs w:val="1"/>
          <w:color w:val="auto"/>
        </w:rPr>
        <w:t>Description of Business and Significant Accounting Policies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 Other intangible assets consisted of the following (dollars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78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9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n</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6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44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iSPERSE License – IPR&amp;D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440" w:type="dxa"/>
            <w:vAlign w:val="bottom"/>
            <w:gridSpan w:val="2"/>
            <w:shd w:val="clear" w:color="auto" w:fill="CFF0FC"/>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-25400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-8255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-25400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-8255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color w:val="auto"/>
        </w:rPr>
        <w:t xml:space="preserve">Amortization expense related to the developed technology was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for the three and six months ended June 30, 2025 and 2024. The estimated annual amortization expense for the developed technology will be approximately $0.2 million per year for the years ended December 31, 2025 through 2029.</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 xml:space="preserve">The iSPERSE License — IPR&amp;D is an indefinite-lived intangible asset which is tested for impairment when facts or circumstances indicate the carrying value of the asset may not be recoverable. Upon completion of the underlying R&amp;D efforts, the intangible asset will be accounted for as a finite-lived intangible asset. If the R&amp;D efforts are abandoned, the IPR&amp;D asset balance will be written off to R&amp;D expense. The iSPERSE License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IPR&amp;D was acquired from Pulmatrix, Inc. ("Pulmatrix") in July 2024.</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The Company evaluates its other intangible assets for potential impairment when events or changes in circumstances indicate that the carrying amount of an asset or asset group may not be recoverable.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1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and related expenses</w:t>
            </w:r>
          </w:p>
        </w:tc>
        <w:tc>
          <w:tcPr>
            <w:tcW w:w="20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20,570</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Discounts and allowances for commercial product sales</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Deferred lease liability</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Current portion of milestone rights liability</w:t>
            </w:r>
            <w:r>
              <w:rPr>
                <w:rFonts w:ascii="Times New Roman" w:cs="Times New Roman" w:eastAsia="Times New Roman" w:hAnsi="Times New Roman"/>
                <w:sz w:val="24"/>
                <w:szCs w:val="24"/>
                <w:color w:val="auto"/>
                <w:vertAlign w:val="superscript"/>
              </w:rPr>
              <w:t>(1)</w:t>
            </w: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8"/>
                <w:szCs w:val="18"/>
                <w:color w:val="auto"/>
              </w:rPr>
            </w:pPr>
          </w:p>
        </w:tc>
      </w:tr>
      <w:tr>
        <w:trPr>
          <w:trHeight w:val="216"/>
        </w:trPr>
        <w:tc>
          <w:tcPr>
            <w:tcW w:w="58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Returns reserve for acquired product</w:t>
            </w:r>
            <w:r>
              <w:rPr>
                <w:rFonts w:ascii="Times New Roman" w:cs="Times New Roman" w:eastAsia="Times New Roman" w:hAnsi="Times New Roman"/>
                <w:sz w:val="24"/>
                <w:szCs w:val="24"/>
                <w:color w:val="auto"/>
                <w:vertAlign w:val="superscript"/>
              </w:rPr>
              <w:t>(2)</w:t>
            </w:r>
          </w:p>
        </w:tc>
        <w:tc>
          <w:tcPr>
            <w:tcW w:w="1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00" w:type="dxa"/>
            <w:vAlign w:val="bottom"/>
          </w:tcPr>
          <w:p>
            <w:pPr>
              <w:spacing w:after="0"/>
              <w:rPr>
                <w:sz w:val="18"/>
                <w:szCs w:val="18"/>
                <w:color w:val="auto"/>
              </w:rPr>
            </w:pPr>
          </w:p>
        </w:tc>
      </w:tr>
      <w:tr>
        <w:trPr>
          <w:trHeight w:val="228"/>
        </w:trPr>
        <w:tc>
          <w:tcPr>
            <w:tcW w:w="5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6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30,915</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3"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Contingencies — Milestone Rights.</w:t>
      </w:r>
    </w:p>
    <w:p>
      <w:pPr>
        <w:spacing w:after="0" w:line="8" w:lineRule="exact"/>
        <w:rPr>
          <w:rFonts w:ascii="Times New Roman" w:cs="Times New Roman" w:eastAsia="Times New Roman" w:hAnsi="Times New Roman"/>
          <w:sz w:val="13"/>
          <w:szCs w:val="13"/>
          <w:color w:val="auto"/>
        </w:rPr>
      </w:pPr>
    </w:p>
    <w:p>
      <w:pPr>
        <w:ind w:left="380" w:hanging="372"/>
        <w:spacing w:after="0"/>
        <w:tabs>
          <w:tab w:leader="none" w:pos="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 xml:space="preserve">See Note 14 –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under </w:t>
      </w:r>
      <w:r>
        <w:rPr>
          <w:rFonts w:ascii="Times New Roman" w:cs="Times New Roman" w:eastAsia="Times New Roman" w:hAnsi="Times New Roman"/>
          <w:sz w:val="16"/>
          <w:szCs w:val="16"/>
          <w:i w:val="1"/>
          <w:iCs w:val="1"/>
          <w:color w:val="auto"/>
        </w:rPr>
        <w:t>Loss Contingencies — Returns Reserve for Acquired Product.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Borrowings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Senior convertible notes </w:t>
      </w:r>
      <w:r>
        <w:rPr>
          <w:rFonts w:ascii="Times New Roman" w:cs="Times New Roman" w:eastAsia="Times New Roman" w:hAnsi="Times New Roman"/>
          <w:sz w:val="18"/>
          <w:szCs w:val="18"/>
          <w:color w:val="auto"/>
        </w:rPr>
        <w:t>– In March 2021, the Company issued $230.0 million aggregate principal amount of senior convertible notes (the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notes”) in a private offering. The senior convertible notes were issued pursuant to an indenture, dated March 4, 2021 (the “Indenture”), between the Company and U.S. Bank National Association, as trustee. The senior convertible notes are general unsecured obligations of the Company and will mature on March 1, 2026, unless earlier converted, redeemed or repurchased by the Company. The senior convertible notes bear cash interest from March 4, 2021 at an annual rate of 2.50% payable semi-annually in arrears on March 1 and September 1 of each year, beginning on September 1, 2021.</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17, 2024, the Company entered into separate, privately negotiated exchange agreements (the "Exchange Agreements") with certain holders (the “Holders”) of the senior convertible notes. Under the terms of the Exchange Agreements, the Holders agreed to exchange an aggregate principal amount of approximately $193.7 million of the senior convertible notes in exchange for an aggregate of 26,749,559 shares of the Company’s common stock. In addition, pursuant to the exchange agreements, the Company made an aggregate cash payment of approximately $89.2 million to the Holders for additional exchange consideration. Immediately following the exchange, approximately $36.3 million in aggregate principal amount of the senior convertible notes remained outstanding.</w:t>
      </w:r>
    </w:p>
    <w:p>
      <w:pPr>
        <w:spacing w:after="0" w:line="1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senior convertible notes are convertible at the option of the holders at any time prior to the close of business on the business day immediately preceding December 1, 2025, only under the following circumstances: (1) during any calendar quarter commencing after the calendar quarter ending on June 30, 2021 (and only during such calendar quarter), if the last reported sale price of the Company’s common stock, par value $0.01 per share, for at least 20 trading days (whether or not consecutive) during a period of 30 consecutive trading days ending on, and including, the last trading day of the immediately preceding calendar quarter is greater than or equal to 130% of the conversion price for the senior convertible notes on each applicable trading day; (2) during the five business day period after any ten consecutive trading day period in which the trading price (as defined in the Indenture) per $1,000 principal amount of the senior convertible notes for each trading day of the measurement period was less than 98% of the product of the last reported sale price of the common stock and the conversion rate on each such trading day; (3) if the Company calls such senior convertible notes for redemption, at any time prior to the close of business on the scheduled trading day immediately preceding the redemption date, but only with respect to the senior convertible notes called (or deemed called) for redemption; or (4) upon the occurrence of specified corporate events as set forth in the Indenture. On or after December 1, 2025 until the close of business on the business day immediately preceding the maturity date, holders may convert all or any portion of their senior convertible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w:t>
      </w:r>
    </w:p>
    <w:p>
      <w:pPr>
        <w:spacing w:after="0" w:line="19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initial conversion rate is 191.8281 shares of common stock per $1,000 principal amount of senior convertible notes (equivalent to an initial conversion price of approximately $5.21 per share of common stock). The initial conversion price of the senior convertible notes represents a premium of approximately 30% to the last reported sale price of the common stock on the Nasdaq Global Market on March 1, 2021. The conversion rate for the senior convertible notes is subject to adjustment under certain circumstances in accordance with the terms of the Indenture, but will not be adjusted for any accrued and unpaid interest. In addition, following certain corporate events that occur prior to the maturity date of the senior convertible notes or if the Company delivers a notice of redemption in respect of the senior convertible notes, the Company will, in certain circumstances, increase the conversion rate of the senior convertible notes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ind w:right="300"/>
        <w:spacing w:after="0" w:line="282" w:lineRule="auto"/>
        <w:rPr>
          <w:sz w:val="20"/>
          <w:szCs w:val="20"/>
          <w:color w:val="auto"/>
        </w:rPr>
      </w:pPr>
      <w:r>
        <w:rPr>
          <w:rFonts w:ascii="Times New Roman" w:cs="Times New Roman" w:eastAsia="Times New Roman" w:hAnsi="Times New Roman"/>
          <w:sz w:val="18"/>
          <w:szCs w:val="18"/>
          <w:color w:val="auto"/>
        </w:rPr>
        <w:t>for a holder who elects to convert its senior convertible notes in connection with such a corporate event or convert its senior convertible notes called for redemption during the related redemption period (as defined in the Indenture), as the case may be.</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may redeem for cash all or any portion of the senior convertible notes, at its option, on or after March 6, 2024 and prior to the 36th scheduled trading day immediately preceding the maturity date, if the last reported sale price of common stock has been at least 130% of the conversion price for the senior convertible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senior convertible notes to be redeemed, plus accrued and unpaid interest to, but excluding, the redemption date. If the Company elects to redeem less than all of the outstanding senior convertible notes, at least $75.0 million aggregate principal amount of senior convertible notes must be outstanding and not subject to redemption as of the relevant redemption notice date. No sinking fund is provided for the senior convertible notes.</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then, subject to certain conditions and except as described in the Indenture, holders may require the Company to repurchase for cash all or any portion of their senior convertible notes at a fundamental change repurchase price equal to 100% of the principal amount of the senior convertible notes to be repurchased, plus accrued and unpaid interest to, but excluding, the fundamental change repurchase date.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Indenture includes customary covenants and sets forth certain events of default after which the senior convertible notes may be declared immediately due and payable.</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If certain bankruptcy and insolvency-related events of default involving the Company (and not just any of its significant subsidiaries) occur, 100% of the principal of and accrued and unpaid interest on the senior convertible notes will automatically become due and payable. If an event of default with respect to the senior convertible notes, other than certain bankruptcy and insolvency-related events of default involving the Company (and not just any of its significant subsidiaries), occurs and is continuing, the trustee, by notice to the Company, or the holders of at least 25% in principal amount of the outstanding senior convertible notes by notice to the Company and the trustee, may, and the trustee at the request of such holders shall, declare 100% of the principal of and accrued and unpaid interest, if any, on all the senior convertible notes to be due and payable. Notwithstanding the foregoing, the Indenture provides that, to the extent the Company so elects, the sole remedy for an event of default relating to certain failures by the Company to comply with certain reporting covenants in the Indenture will, for the first 365 days after the occurrence of such an event of default consist exclusively of the right to receive additional interest on the senior convertible notes as set forth in the Indenture.</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corporation organized and existing under the laws of the United States of America, any State thereof or the District of Columbia, and such corporation (if not the Company) expressly assumes by supplemental indenture all of the Company’s obligations under the senior convertible notes and the Indenture; and (ii) immediately after giving effect to such transaction, no default or event of default has occurred and is continuing under the Indenture.</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Company’s net proceeds from the March 2021 offering were approximately $222.7 million, after deducting the initial purchasers’ discounts and commissions and the estimated offering expenses payable by the Company. As of June 30, 2025 and December 31, 2024, the unamortized debt issuance cost was $0.2 million and $0.3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the Company’s borrowings as of June 30, 2025 are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6"/>
                <w:szCs w:val="16"/>
                <w:color w:val="auto"/>
              </w:rPr>
            </w:pPr>
          </w:p>
        </w:tc>
      </w:tr>
      <w:tr>
        <w:trPr>
          <w:trHeight w:val="214"/>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586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2026</w:t>
            </w:r>
          </w:p>
        </w:tc>
        <w:tc>
          <w:tcPr>
            <w:tcW w:w="54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tcBorders>
              <w:bottom w:val="single" w:sz="8" w:color="CFF0FC"/>
            </w:tcBorders>
          </w:tcPr>
          <w:p>
            <w:pPr>
              <w:spacing w:after="0"/>
              <w:rPr>
                <w:sz w:val="18"/>
                <w:szCs w:val="18"/>
                <w:color w:val="auto"/>
              </w:rPr>
            </w:pPr>
          </w:p>
        </w:tc>
      </w:tr>
      <w:tr>
        <w:trPr>
          <w:trHeight w:val="209"/>
        </w:trPr>
        <w:tc>
          <w:tcPr>
            <w:tcW w:w="37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principal payments</w:t>
            </w:r>
          </w:p>
        </w:tc>
        <w:tc>
          <w:tcPr>
            <w:tcW w:w="54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36,319</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5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49"/>
        </w:trPr>
        <w:tc>
          <w:tcPr>
            <w:tcW w:w="37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54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3760" w:type="dxa"/>
            <w:vAlign w:val="bottom"/>
          </w:tcPr>
          <w:p>
            <w:pPr>
              <w:spacing w:after="0"/>
              <w:rPr>
                <w:sz w:val="24"/>
                <w:szCs w:val="24"/>
                <w:color w:val="auto"/>
              </w:rPr>
            </w:pPr>
          </w:p>
        </w:tc>
        <w:tc>
          <w:tcPr>
            <w:tcW w:w="5480" w:type="dxa"/>
            <w:vAlign w:val="bottom"/>
          </w:tcPr>
          <w:p>
            <w:pPr>
              <w:jc w:val="right"/>
              <w:ind w:right="343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Amortization of debt issuance costs and debt discounts related to borrowings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40" w:type="dxa"/>
            <w:vAlign w:val="bottom"/>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6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vMerge w:val="continue"/>
          </w:tcPr>
          <w:p>
            <w:pPr>
              <w:spacing w:after="0"/>
              <w:rPr>
                <w:sz w:val="13"/>
                <w:szCs w:val="13"/>
                <w:color w:val="auto"/>
              </w:rPr>
            </w:pPr>
          </w:p>
        </w:tc>
        <w:tc>
          <w:tcPr>
            <w:tcW w:w="2400" w:type="dxa"/>
            <w:vAlign w:val="bottom"/>
            <w:gridSpan w:val="2"/>
          </w:tcPr>
          <w:p>
            <w:pPr>
              <w:jc w:val="right"/>
              <w:ind w:right="568"/>
              <w:spacing w:after="0" w:line="15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57</w:t>
            </w:r>
          </w:p>
        </w:tc>
        <w:tc>
          <w:tcPr>
            <w:tcW w:w="1040" w:type="dxa"/>
            <w:vAlign w:val="bottom"/>
            <w:gridSpan w:val="2"/>
          </w:tcPr>
          <w:p>
            <w:pPr>
              <w:jc w:val="right"/>
              <w:ind w:right="628"/>
              <w:spacing w:after="0" w:line="15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363</w:t>
            </w:r>
          </w:p>
        </w:tc>
        <w:tc>
          <w:tcPr>
            <w:tcW w:w="980" w:type="dxa"/>
            <w:vAlign w:val="bottom"/>
            <w:gridSpan w:val="2"/>
          </w:tcPr>
          <w:p>
            <w:pPr>
              <w:jc w:val="right"/>
              <w:ind w:right="588"/>
              <w:spacing w:after="0" w:line="156"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115</w:t>
            </w:r>
          </w:p>
        </w:tc>
        <w:tc>
          <w:tcPr>
            <w:tcW w:w="620" w:type="dxa"/>
            <w:vAlign w:val="bottom"/>
            <w:gridSpan w:val="2"/>
          </w:tcPr>
          <w:p>
            <w:pPr>
              <w:jc w:val="right"/>
              <w:ind w:right="280"/>
              <w:spacing w:after="0" w:line="15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4160" w:type="dxa"/>
            <w:vAlign w:val="bottom"/>
          </w:tcPr>
          <w:p>
            <w:pPr>
              <w:spacing w:after="0" w:line="268" w:lineRule="exact"/>
              <w:rPr>
                <w:sz w:val="20"/>
                <w:szCs w:val="20"/>
                <w:color w:val="auto"/>
              </w:rPr>
            </w:pPr>
            <w:r>
              <w:rPr>
                <w:rFonts w:ascii="Times New Roman" w:cs="Times New Roman" w:eastAsia="Times New Roman" w:hAnsi="Times New Roman"/>
                <w:sz w:val="18"/>
                <w:szCs w:val="18"/>
                <w:color w:val="auto"/>
              </w:rPr>
              <w:t xml:space="preserve">Amortization of debt discount </w:t>
            </w:r>
            <w:r>
              <w:rPr>
                <w:rFonts w:ascii="Times New Roman" w:cs="Times New Roman" w:eastAsia="Times New Roman" w:hAnsi="Times New Roman"/>
                <w:sz w:val="25"/>
                <w:szCs w:val="25"/>
                <w:color w:val="auto"/>
                <w:vertAlign w:val="superscript"/>
              </w:rPr>
              <w:t>(1)</w:t>
            </w:r>
          </w:p>
        </w:tc>
        <w:tc>
          <w:tcPr>
            <w:tcW w:w="16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represent the amortization of a debt discount related to the MidCap credit facility as further explained below.</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MidCap credit facility </w:t>
      </w:r>
      <w:r>
        <w:rPr>
          <w:rFonts w:ascii="Times New Roman" w:cs="Times New Roman" w:eastAsia="Times New Roman" w:hAnsi="Times New Roman"/>
          <w:sz w:val="18"/>
          <w:szCs w:val="18"/>
          <w:color w:val="auto"/>
        </w:rPr>
        <w:t>— In August 2019, the Company entered into the MidCap credit facility and borrowed the first advance of $40.0 million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 in August 2019 and the second advance of $10.0 million (“Tranche 2”) in December 2020. In April 2021, $10.0 million was prepaid. During the three months ended March 31, 2024, the Company made $5.0 million in principal payments on the MidCap credit facility. On April 1, 2024, the Company exercised its option to prepay in full all outstanding indebtedness.</w:t>
      </w:r>
    </w:p>
    <w:p>
      <w:pPr>
        <w:spacing w:after="0" w:line="18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Tranche 1 and Tranche 2 accrued interest at an annual rate equal to the lesser of (i) 8.25% and (ii) the one-month Secured Overnight Financing Rate ("SOFR") (subject to a one-month floor of 1.00%) plus 6.25%. Interest on each term loan advance was due and payable monthly in arrears. Principal on each term loan advance under Tranche 1 and Tranche 2 was payable in 24 equal monthly installments that began September 1, 2023.</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April 2024, the Company prepaid in full the remaining $28.3 million in principal and $0.2 million in accrued interest, and terminated all commitments and obligations under the MidCap credit facility that would have matured on August 1, 2025 in exchange for a payment of $31.6 million, including an exit fee of $2.8 million which is 7.00% of the initial Tranche 1 balance of $40.0 million, and a prepayment fee of $0.3 million which is 1.00% of principal prepaid. Additionally, unamortized debt discount and capitalized prepayment fees totaling $0.2 million were written off, resulting in a loss on early extinguishment of debt of $3.3 million included in loss on settlement of debt in the condensed consolidated statements of operations. In connection with the repayment of outstanding indebtedness by the Company, all liens, mortgages and security interests in any assets or property securing the obligations under the MidCap credit facility were automatically terminated and released and the Company was automatically released from all guarantees.</w:t>
      </w:r>
    </w:p>
    <w:p>
      <w:pPr>
        <w:spacing w:after="0" w:line="187"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Mann Group convertible note </w:t>
      </w:r>
      <w:r>
        <w:rPr>
          <w:rFonts w:ascii="Times New Roman" w:cs="Times New Roman" w:eastAsia="Times New Roman" w:hAnsi="Times New Roman"/>
          <w:sz w:val="18"/>
          <w:szCs w:val="18"/>
          <w:color w:val="auto"/>
        </w:rPr>
        <w:t>— In August 2019, the Company issued a $35.0 million note that was convertible into shares of the Company’s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at $2.50 per share (the “Mann Group convertible note”) as part of a restructuring of its then existing indebtedness to Mann Group. On April 2, 2024, the Company and Mann Group agreed to discharge and terminate the Mann Group convertible note.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Mann Group convertible note accrued interest at the rate of 2.5% per year on the principal amount, payable quarterly in arrears on the first day of each calendar quarter, with a maturity date of December 31, 2025.</w:t>
      </w:r>
    </w:p>
    <w:p>
      <w:pPr>
        <w:spacing w:after="0" w:line="16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of April 2, 2024, the outstanding principal balance of the Mann Group convertible note plus accrued interest was $8.9 million and was convertible at Mann Group’s option into 3,554,198 shares of common stock of the Company. The Company and Mann Group agreed to terminate all outstanding indebtedness, rights and obligations under the Mann Group convertible note in exchange for (i) the Company’s issuance to Mann Group of 1,500,000 shares of the Company’s common stock converted at the contractual rate of $2.50 per share and (ii) the Company’s payment to Mann Group of $8.9 million, which represented the market value of 2,054,198 shares of common stock of the Company on April 2, 2024 to settle the remaining principal and interest of $5.1 million, after the conversion noted in (i) above. Termination of the Mann Group convertible note resulted in a loss on early extinguishment of debt of $3.7 million included in loss on settlement of debt in the condensed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Collaborations, Licensing and Other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collaborations and services were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46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UT CSA</w:t>
            </w:r>
            <w:r>
              <w:rPr>
                <w:rFonts w:ascii="Times New Roman" w:cs="Times New Roman" w:eastAsia="Times New Roman" w:hAnsi="Times New Roman"/>
                <w:sz w:val="24"/>
                <w:szCs w:val="24"/>
                <w:color w:val="auto"/>
                <w:vertAlign w:val="superscript"/>
              </w:rPr>
              <w:t>(1)</w:t>
            </w: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51,042</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Amphastar co-promotion agreement</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Cipla License and Distribution Agreement</w:t>
            </w: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1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 from collaborations and services</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52,221</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-156845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-156845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-156845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-10795</wp:posOffset>
            </wp:positionV>
            <wp:extent cx="336867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-79375</wp:posOffset>
            </wp:positionV>
            <wp:extent cx="33686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ind w:left="380" w:hanging="372"/>
        <w:spacing w:after="0"/>
        <w:tabs>
          <w:tab w:leader="none" w:pos="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revenue recognized for Manufacturing Services to UT for the periods presented.</w:t>
      </w:r>
    </w:p>
    <w:p>
      <w:pPr>
        <w:spacing w:after="0" w:line="212" w:lineRule="exact"/>
        <w:rPr>
          <w:rFonts w:ascii="Times New Roman" w:cs="Times New Roman" w:eastAsia="Times New Roman" w:hAnsi="Times New Roman"/>
          <w:sz w:val="13"/>
          <w:szCs w:val="13"/>
          <w:color w:val="auto"/>
        </w:rPr>
      </w:pPr>
    </w:p>
    <w:p>
      <w:pPr>
        <w:ind w:left="5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United Therapeutics License Agreement </w:t>
      </w:r>
      <w:r>
        <w:rPr>
          <w:rFonts w:ascii="Times New Roman" w:cs="Times New Roman" w:eastAsia="Times New Roman" w:hAnsi="Times New Roman"/>
          <w:sz w:val="18"/>
          <w:szCs w:val="18"/>
          <w:color w:val="auto"/>
        </w:rPr>
        <w:t>— In September 2018, the Company and UT entered into an exclusive global license and collaboration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“UT License Agreement”), pursuant to which UT is responsible for global development, regulatory and commercial activities with respect to Tyvaso DPI.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from UT was as follows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8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 from UT</w:t>
            </w: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Royalties</w:t>
            </w:r>
            <w:r>
              <w:rPr>
                <w:rFonts w:ascii="Times New Roman" w:cs="Times New Roman" w:eastAsia="Times New Roman" w:hAnsi="Times New Roman"/>
                <w:sz w:val="24"/>
                <w:szCs w:val="24"/>
                <w:color w:val="auto"/>
                <w:vertAlign w:val="superscript"/>
              </w:rPr>
              <w:t>(1)</w:t>
            </w:r>
          </w:p>
        </w:tc>
        <w:tc>
          <w:tcPr>
            <w:tcW w:w="2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6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5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10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UT CSA</w:t>
            </w:r>
          </w:p>
        </w:tc>
        <w:tc>
          <w:tcPr>
            <w:tcW w:w="2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UT License Agreement</w:t>
            </w:r>
          </w:p>
        </w:tc>
        <w:tc>
          <w:tcPr>
            <w:tcW w:w="2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r>
      <w:tr>
        <w:trPr>
          <w:trHeight w:val="228"/>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 from UT</w:t>
            </w:r>
          </w:p>
        </w:tc>
        <w:tc>
          <w:tcPr>
            <w:tcW w:w="20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53,452</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51,570</w:t>
            </w:r>
          </w:p>
        </w:tc>
        <w:tc>
          <w:tcPr>
            <w:tcW w:w="240" w:type="dxa"/>
            <w:vAlign w:val="bottom"/>
          </w:tcPr>
          <w:p>
            <w:pPr>
              <w:spacing w:after="0"/>
              <w:rPr>
                <w:sz w:val="19"/>
                <w:szCs w:val="19"/>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112,275</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99,032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220" w:hanging="372"/>
        <w:spacing w:after="0" w:line="275" w:lineRule="auto"/>
        <w:tabs>
          <w:tab w:leader="none" w:pos="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Amounts consist of royalties associated with the UT License Agreement. The contract assets related to the royalties is included in prepaid expense and other current assets in the condensed consolidated balance sheets.</w:t>
      </w:r>
    </w:p>
    <w:p>
      <w:pPr>
        <w:spacing w:after="0" w:line="17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Pursuant to the UT License Agreement, the Company receives a 10% royalty on net sales of Tyvaso DPI. In December 2023, the Company sold a 1% royalty on future net sales of Tyvaso DPI to a royalty purchaser, with the Company retaining a 9% royalty. In August 2021, the Company and UT entered into the CSA, pursuant to which the Company is responsible for manufacturing and supplying to UT, and UT is responsible for purchasing from the Company on a cost-plus basis. In addition, UT is responsible for supplying treprostinil at its expense in quantities necessary to enable the Company to manufacture Tyvaso DPI as required by the CSA.</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activities and deliverables under the CSA and UT License Agreement resulted in distinct performance obligations which include the: (1) R&amp;D Services and License, (2) Next-Gen R&amp;D Services, and (3) Manufacturing Services. The revenue recognized under the CSA for manufacturing services is comprised of the sale of product to UT, recognition of previously deferred revenue, as well as reimbursements from other agreements for individual performance obligations. The portion of revenue related to each deliverable included in UT CSA revenue (in thousands)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20" w:type="dxa"/>
            <w:vAlign w:val="bottom"/>
            <w:gridSpan w:val="3"/>
          </w:tcPr>
          <w:p>
            <w:pPr>
              <w:jc w:val="center"/>
              <w:ind w:left="718"/>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80" w:type="dxa"/>
            <w:vAlign w:val="bottom"/>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5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3"/>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6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UT CSA Revenue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Sale of product</w:t>
            </w:r>
            <w:r>
              <w:rPr>
                <w:rFonts w:ascii="Times New Roman" w:cs="Times New Roman" w:eastAsia="Times New Roman" w:hAnsi="Times New Roman"/>
                <w:sz w:val="24"/>
                <w:szCs w:val="24"/>
                <w:color w:val="auto"/>
                <w:vertAlign w:val="superscript"/>
              </w:rPr>
              <w:t>(1)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42,943</w:t>
            </w:r>
          </w:p>
        </w:tc>
        <w:tc>
          <w:tcPr>
            <w:tcW w:w="100" w:type="dxa"/>
            <w:vAlign w:val="bottom"/>
          </w:tcPr>
          <w:p>
            <w:pPr>
              <w:spacing w:after="0"/>
              <w:rPr>
                <w:sz w:val="18"/>
                <w:szCs w:val="18"/>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Recognition of previously deferred revenue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3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00" w:type="dxa"/>
            <w:vAlign w:val="bottom"/>
            <w:shd w:val="clear" w:color="auto" w:fill="CFF0FC"/>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agreements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3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8"/>
                <w:szCs w:val="18"/>
                <w:color w:val="auto"/>
              </w:rPr>
            </w:pPr>
          </w:p>
        </w:tc>
      </w:tr>
      <w:tr>
        <w:trPr>
          <w:trHeight w:val="228"/>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UT CSA revenue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340" w:type="dxa"/>
            <w:vAlign w:val="bottom"/>
          </w:tcPr>
          <w:p>
            <w:pPr>
              <w:spacing w:after="0"/>
              <w:rPr>
                <w:sz w:val="19"/>
                <w:szCs w:val="19"/>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25,978</w:t>
            </w:r>
          </w:p>
        </w:tc>
        <w:tc>
          <w:tcPr>
            <w:tcW w:w="3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51,042</w:t>
            </w:r>
          </w:p>
        </w:tc>
        <w:tc>
          <w:tcPr>
            <w:tcW w:w="320" w:type="dxa"/>
            <w:vAlign w:val="bottom"/>
          </w:tcPr>
          <w:p>
            <w:pPr>
              <w:spacing w:after="0"/>
              <w:rPr>
                <w:sz w:val="19"/>
                <w:szCs w:val="19"/>
                <w:color w:val="auto"/>
              </w:rPr>
            </w:pPr>
          </w:p>
        </w:tc>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60" w:hanging="372"/>
        <w:spacing w:after="0" w:line="275" w:lineRule="auto"/>
        <w:tabs>
          <w:tab w:leader="none" w:pos="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Sale of product included revenue related to fully reimbursable costs associated with product sales and other miscellaneous charges of $1.2 million and $2.9 million for the three and six months ended June 30, 2024, and none in 2025.</w:t>
      </w:r>
    </w:p>
    <w:p>
      <w:pPr>
        <w:spacing w:after="0" w:line="17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have been various amendments to the UT License Agreement and the CSA since inception. As amended, the term of the CSA continues until December 31, 2031 (unless earlier terminated) and is thereafter renewed automatically for additional, successive two-year terms unless (i) UT provides notice to the Company at least 24 months in advance of such renewal that UT does not wish to renew the CSA or (ii) the Company provides notice to UT at least 48 months in advance of such renewal that the Company does not wish to renew the CSA. The Company and UT each have normal and customary termination rights, including termination for material breach that is not cured within a specific timeframe or in the event of liquidation, bankruptcy or insolvency of the other party.</w:t>
      </w:r>
    </w:p>
    <w:p>
      <w:pPr>
        <w:spacing w:after="0" w:line="18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2024, the Company also entered into additional agreements for individual performance obligations which are accounted for separately as they are distinct from Manufacturing Services and offered at a standalone selling price, for which we received revenue of $0.9 and $1.2 million for the three and six months ended June 30, 2025 and $1.0 million and $1.4 million for the three and six months ended June 30, 2024, respectively. Revenue is recognized at a point in time as services are rendered.</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Also during 2024, the Company fully recognized the Next-Gen R&amp;D Services performance obligation and the pre-production activities under the CSA, such as facility expansion services that were bundled services under the Manufacturing Services performance obligation.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As of June 30, 2025, deferred revenue from UT consisted of $55.4 million, of which $10.9 million was classified as current and $44.5 million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long-term on the condensed consolidated balance sheet. As of December 31, 2024, deferred revenue consisted of $62.4 million,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 million was classified as current and $50.1 million was classified as long-term on the condensed consolidated balance sheet. The deferred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included $55.3 million and $61.3 million of UT funded pre-production activities under the CSA, such as facility expansion services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services as of June 30, 2025 and December 31, 2024, respectively. The Company determined that the deferred revenue should be combined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Manufacturing Services performance obligation and relates solely to a single partially satisfied performance obligation pursuant to the CSA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recognized as product is delivered over the CSA term based on the measurement of progress.</w:t>
      </w:r>
    </w:p>
    <w:p>
      <w:pPr>
        <w:spacing w:after="0" w:line="20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Thirona Collaboration Agreement </w:t>
      </w:r>
      <w:r>
        <w:rPr>
          <w:rFonts w:ascii="Times New Roman" w:cs="Times New Roman" w:eastAsia="Times New Roman" w:hAnsi="Times New Roman"/>
          <w:sz w:val="18"/>
          <w:szCs w:val="18"/>
          <w:color w:val="auto"/>
        </w:rPr>
        <w:t>— In June 2021, the Company and Thirona entered into a collaboration agreement to evaluate the therapeutic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Thirona’s compound for the treatment of fibrotic pulmonary diseases. If initial studies are promising, the Company can exercise certain rights to seek a full license to the compound for clinical development and commercialization. The parties will perform their respective obligations and provide reasonable support for research, clinical development and regulatory strategy. The collaboration agreement was accounted for under ASC 808, </w:t>
      </w:r>
      <w:r>
        <w:rPr>
          <w:rFonts w:ascii="Times New Roman" w:cs="Times New Roman" w:eastAsia="Times New Roman" w:hAnsi="Times New Roman"/>
          <w:sz w:val="18"/>
          <w:szCs w:val="18"/>
          <w:i w:val="1"/>
          <w:iCs w:val="1"/>
          <w:color w:val="auto"/>
        </w:rPr>
        <w:t>Collaborative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however, no consideration was exchanged between the parties. The costs incurred by the Company were expensed as R&amp;D in the condensed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statements of operations.</w:t>
      </w:r>
    </w:p>
    <w:p>
      <w:pPr>
        <w:spacing w:after="0" w:line="1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Biomm Supply and Distribution Agreement </w:t>
      </w:r>
      <w:r>
        <w:rPr>
          <w:rFonts w:ascii="Times New Roman" w:cs="Times New Roman" w:eastAsia="Times New Roman" w:hAnsi="Times New Roman"/>
          <w:sz w:val="18"/>
          <w:szCs w:val="18"/>
          <w:color w:val="auto"/>
        </w:rPr>
        <w:t>— In May 2017, the Company and Biomm S.A. ("Biomm") entered into a supply and distribution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were received. Biomm commenced product sales in January 2020. No additional shipments of product were made to Biomm since 2020.</w:t>
      </w:r>
    </w:p>
    <w:p>
      <w:pPr>
        <w:spacing w:after="0" w:line="183"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Cipla License and Distribution Agreement </w:t>
      </w:r>
      <w:r>
        <w:rPr>
          <w:rFonts w:ascii="Times New Roman" w:cs="Times New Roman" w:eastAsia="Times New Roman" w:hAnsi="Times New Roman"/>
          <w:sz w:val="18"/>
          <w:szCs w:val="18"/>
          <w:color w:val="auto"/>
        </w:rPr>
        <w:t>— In May 2018, the Company and Cipla Ltd. (“Cipla”) entered into an exclusive agreement for the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distribution of Afrezza in India and the Company received a $2.2 million nonrefundable license fee. Under the terms of the agreement, Cipla is responsible for obtaining regulatory approvals to distribute Afrezza in India and for all marketing and sales activities of Afrezza in India. The Company is responsible for supplying Afrezza to Cipla. The Company is entitled to an additional regulatory milestone payment, minimum purchase commitment revenue and royalties on Afrezza sales in India once cumulative gross sales have reached a specified threshold. In December 2024, the Central Drugs Standard Control Organisation ("CDSCO") in India approved Afrezza for adults and, accordingly, the Company was entitled to the regulatory milestone payment from Cipla totaling $1.1 million, which was recognized as revenue from collaborations and services in the year ended December 31, 2024. The Company expects to ship product once Cipla obtains the registration certificate and import license.</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initial $2.2 million nonrefundable licensing fee was recorded in deferred revenue and is being recognized in net revenue – collaborations over 15 years, representing the estimated period to satisfy the performance obligation.</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June 30, 2025, the deferred revenue balance for Cipla was $1.1 million, of which $0.1 million was classified as current and $1.0 million was classified as long term in the condensed consolidated balance sheets. As of December 31, 2024, the deferred revenue balance was $1.2 million, of which $0.1 million was classified as current and $1.1 million was classified as long term in the condensed consolidated balance sheets.</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Amphastar </w:t>
      </w:r>
      <w:r>
        <w:rPr>
          <w:rFonts w:ascii="Times New Roman" w:cs="Times New Roman" w:eastAsia="Times New Roman" w:hAnsi="Times New Roman"/>
          <w:sz w:val="18"/>
          <w:szCs w:val="18"/>
          <w:color w:val="auto"/>
        </w:rPr>
        <w:t>— During the quarter ended December 31, 2024, the Company entered into a co-promotion agreement which provides the terms and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which the Company's sales force shall promote Baqsimi (glucagon) nasal powder to designated health care professionals where the Company currently promotes Afrezza. Amphastar is obligated to pay fixed quarterly payments to the Company through December 2025. Either party may terminate the agreement or suspend performance upon written notice to the other party at any time during the contract term. The co-promotion agreement may be renewed or extended only upon the mutual written agreement of both parties.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identified a single performance obligation that the Company will satisfy over time. The total transaction price of $2.5 million is considered fixed consideration of which $0.5 million and $1.0 million was recognized as revenue from collaborations and services in our condensed consolidated statement of operations in the three and six months ended June 30, 2025, respectively. The remaining $1.0 million will be recognized based on the measurement of progress as the performance obligation is satisfied through December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180"/>
        <w:spacing w:after="0" w:line="266" w:lineRule="auto"/>
        <w:rPr>
          <w:sz w:val="20"/>
          <w:szCs w:val="20"/>
          <w:color w:val="auto"/>
        </w:rPr>
      </w:pPr>
      <w:r>
        <w:rPr>
          <w:rFonts w:ascii="Times New Roman" w:cs="Times New Roman" w:eastAsia="Times New Roman" w:hAnsi="Times New Roman"/>
          <w:sz w:val="18"/>
          <w:szCs w:val="18"/>
          <w:color w:val="auto"/>
        </w:rPr>
        <w:t>categorized is based on the lowest level input that is significant to the overall fair value measurement. The Company uses the exit price method for estimating the fair value of loans for disclosure purposes. Inputs used in the valuation techniques to derive fair values are classified based on a three-level hierarchy, as follows: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Quoted prices for identical instruments in active markets.</w:t>
      </w:r>
    </w:p>
    <w:p>
      <w:pPr>
        <w:spacing w:after="0" w:line="117"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Significant inputs to the valuation model are unobservable.</w:t>
      </w:r>
    </w:p>
    <w:p>
      <w:pPr>
        <w:spacing w:after="0" w:line="22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financial statements for cash, accounts receivable, accounts payable, and accrued expenses and other current liabilities (excluding the Milestone Rights liability) approximate their fair value due to their relatively short maturities. The fair value of the senior convertible notes, Milestone Rights liability, Financing liability and Liability for sale of future royalties are disclosed below.</w:t>
      </w:r>
    </w:p>
    <w:p>
      <w:pPr>
        <w:spacing w:after="0" w:line="174"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Financial Liabilities </w:t>
      </w:r>
      <w:r>
        <w:rPr>
          <w:rFonts w:ascii="Times New Roman" w:cs="Times New Roman" w:eastAsia="Times New Roman" w:hAnsi="Times New Roman"/>
          <w:sz w:val="18"/>
          <w:szCs w:val="18"/>
          <w:color w:val="auto"/>
        </w:rPr>
        <w:t>— The following tables set forth the fair value of the Company’s financial instruments (Level 3 in the fair value hierarchy)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140"/>
              <w:spacing w:after="0" w:line="178" w:lineRule="exact"/>
              <w:rPr>
                <w:sz w:val="20"/>
                <w:szCs w:val="20"/>
                <w:color w:val="auto"/>
              </w:rPr>
            </w:pPr>
            <w:r>
              <w:rPr>
                <w:rFonts w:ascii="Times New Roman" w:cs="Times New Roman" w:eastAsia="Times New Roman" w:hAnsi="Times New Roman"/>
                <w:sz w:val="15"/>
                <w:szCs w:val="15"/>
                <w:color w:val="auto"/>
              </w:rPr>
              <w:t>Financing liability</w:t>
            </w:r>
            <w:r>
              <w:rPr>
                <w:rFonts w:ascii="Times New Roman" w:cs="Times New Roman" w:eastAsia="Times New Roman" w:hAnsi="Times New Roman"/>
                <w:sz w:val="20"/>
                <w:szCs w:val="20"/>
                <w:color w:val="auto"/>
                <w:vertAlign w:val="superscript"/>
              </w:rPr>
              <w:t>(3)</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103.7</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240" w:hanging="372"/>
        <w:spacing w:after="0" w:line="257"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7.0%, volatility of 36.8% and a Monte Carlo simulation for the value of the conversion feature. A change in yield of + or – 2% would result in a fair value of $35.6 million and $36.5 million, respectively.</w:t>
      </w:r>
    </w:p>
    <w:p>
      <w:pPr>
        <w:jc w:val="both"/>
        <w:ind w:left="380" w:right="80" w:hanging="372"/>
        <w:spacing w:after="0" w:line="264"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3.9%, dividend yield of 0%, volatility of 45.0%, period of 6.5 years and credit risk of 11%.</w:t>
      </w:r>
    </w:p>
    <w:p>
      <w:pPr>
        <w:ind w:left="380" w:hanging="372"/>
        <w:spacing w:after="0" w:line="264"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$102.8 million and $133.9 million, respectively.</w:t>
      </w:r>
    </w:p>
    <w:p>
      <w:pPr>
        <w:ind w:left="380" w:hanging="372"/>
        <w:spacing w:after="0" w:line="288" w:lineRule="auto"/>
        <w:tabs>
          <w:tab w:leader="none" w:pos="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$139.5 million and $180.4 million,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4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73"/>
        </w:trPr>
        <w:tc>
          <w:tcPr>
            <w:tcW w:w="5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24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Senior convertible notes</w:t>
            </w:r>
            <w:r>
              <w:rPr>
                <w:rFonts w:ascii="Times New Roman" w:cs="Times New Roman" w:eastAsia="Times New Roman" w:hAnsi="Times New Roman"/>
                <w:sz w:val="24"/>
                <w:szCs w:val="24"/>
                <w:color w:val="auto"/>
                <w:vertAlign w:val="superscript"/>
              </w:rPr>
              <w:t>(1)</w:t>
            </w:r>
          </w:p>
        </w:tc>
        <w:tc>
          <w:tcPr>
            <w:tcW w:w="2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Milestone rights</w:t>
            </w:r>
            <w:r>
              <w:rPr>
                <w:rFonts w:ascii="Times New Roman" w:cs="Times New Roman" w:eastAsia="Times New Roman" w:hAnsi="Times New Roman"/>
                <w:sz w:val="24"/>
                <w:szCs w:val="24"/>
                <w:color w:val="auto"/>
                <w:vertAlign w:val="superscript"/>
              </w:rPr>
              <w:t>(2)</w:t>
            </w:r>
          </w:p>
        </w:tc>
        <w:tc>
          <w:tcPr>
            <w:tcW w:w="2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260" w:type="dxa"/>
            <w:vAlign w:val="bottom"/>
          </w:tcPr>
          <w:p>
            <w:pPr>
              <w:ind w:left="140"/>
              <w:spacing w:after="0" w:line="178" w:lineRule="exact"/>
              <w:rPr>
                <w:sz w:val="20"/>
                <w:szCs w:val="20"/>
                <w:color w:val="auto"/>
              </w:rPr>
            </w:pPr>
            <w:r>
              <w:rPr>
                <w:rFonts w:ascii="Times New Roman" w:cs="Times New Roman" w:eastAsia="Times New Roman" w:hAnsi="Times New Roman"/>
                <w:sz w:val="15"/>
                <w:szCs w:val="15"/>
                <w:color w:val="auto"/>
              </w:rPr>
              <w:t>Financing liability</w:t>
            </w:r>
            <w:r>
              <w:rPr>
                <w:rFonts w:ascii="Times New Roman" w:cs="Times New Roman" w:eastAsia="Times New Roman" w:hAnsi="Times New Roman"/>
                <w:sz w:val="20"/>
                <w:szCs w:val="20"/>
                <w:color w:val="auto"/>
                <w:vertAlign w:val="superscript"/>
              </w:rPr>
              <w:t>(3)</w:t>
            </w:r>
          </w:p>
        </w:tc>
        <w:tc>
          <w:tcPr>
            <w:tcW w:w="2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103.9</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52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rPr>
              <w:t>Liability for sale of future royalties</w:t>
            </w:r>
            <w:r>
              <w:rPr>
                <w:rFonts w:ascii="Times New Roman" w:cs="Times New Roman" w:eastAsia="Times New Roman" w:hAnsi="Times New Roman"/>
                <w:sz w:val="24"/>
                <w:szCs w:val="24"/>
                <w:color w:val="auto"/>
                <w:vertAlign w:val="superscript"/>
              </w:rPr>
              <w:t>(4)</w:t>
            </w:r>
          </w:p>
        </w:tc>
        <w:tc>
          <w:tcPr>
            <w:tcW w:w="2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240" w:hanging="372"/>
        <w:spacing w:after="0" w:line="257"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to the straight note with a hypothetical yield of 7.5%, volatility of 49.5% and a Monte Carlo simulation for the value of the conversion feature. A change in yield of + or – 2% would result in a fair value of $46.2 million and $47.6 million, respectively.</w:t>
      </w:r>
    </w:p>
    <w:p>
      <w:pPr>
        <w:jc w:val="both"/>
        <w:ind w:left="380" w:right="80" w:hanging="372"/>
        <w:spacing w:after="0" w:line="264"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Monte Carlo simulation method for the calculation of the potential payment and the Geometric Brownian Motion forecasting model to estimate the underlying revenue. Market based inputs and other Level 3 inputs were used to forecast future revenue. The key inputs used included a risk-free rate of 4.5%, dividend yield of 0%, volatility of 45.0%, period of 7 years and credit risk of 11.0%.</w:t>
      </w:r>
    </w:p>
    <w:p>
      <w:pPr>
        <w:ind w:left="380" w:hanging="372"/>
        <w:spacing w:after="0" w:line="264"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8.0%. A change in yield of + or – 2% would result in a fair value of $103.1 million and $135.2 million, respectively.</w:t>
      </w:r>
    </w:p>
    <w:p>
      <w:pPr>
        <w:ind w:left="380" w:hanging="372"/>
        <w:spacing w:after="0" w:line="288" w:lineRule="auto"/>
        <w:tabs>
          <w:tab w:leader="none" w:pos="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Fair value was determined by applying a discounted cash flow analysis with a hypothetical yield of 9.0%. A change in yield of + or – 2% would result in a fair value of $137.9 million and $180.0 million, respectively.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Milestone Rights Liability </w:t>
      </w:r>
      <w:r>
        <w:rPr>
          <w:rFonts w:ascii="Times New Roman" w:cs="Times New Roman" w:eastAsia="Times New Roman" w:hAnsi="Times New Roman"/>
          <w:sz w:val="18"/>
          <w:szCs w:val="18"/>
          <w:color w:val="auto"/>
        </w:rPr>
        <w:t>— The fair value measurement of the Milestone Rights liability is sensitive to the discount rate and the timing of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milestones. The Company utilized a Monte-Carlo Simulation Method to simulate the Afrezza net sales under a neutral framework to estimate the potential payments and the Geometric Brownian Motion forecasting model to estimate the underlying revenue. The Company then discounted the future expected payments at cost of debt with a term equal to the simulated time to payout based on cumulative sales.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Liability </w:t>
      </w:r>
      <w:r>
        <w:rPr>
          <w:rFonts w:ascii="Times New Roman" w:cs="Times New Roman" w:eastAsia="Times New Roman" w:hAnsi="Times New Roman"/>
          <w:sz w:val="18"/>
          <w:szCs w:val="18"/>
          <w:color w:val="auto"/>
        </w:rPr>
        <w:t>— The Sale-Leaseback Transaction in November 2021 resulted in a financing liability. See Note 14 –</w:t>
      </w:r>
      <w:r>
        <w:rPr>
          <w:rFonts w:ascii="Times New Roman" w:cs="Times New Roman" w:eastAsia="Times New Roman" w:hAnsi="Times New Roman"/>
          <w:sz w:val="18"/>
          <w:szCs w:val="18"/>
          <w:i w:val="1"/>
          <w:iCs w:val="1"/>
          <w:color w:val="auto"/>
        </w:rPr>
        <w:t xml:space="preserve"> Commitments and Contingencies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The sale of a portion of our royalty rights in December 2023 resulted in a liability for sale of future royalties.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and Preferred Stock</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800,000,000 shares of common stock, par value $0.01 per share, and 10,000,000 shares of undesignated preferred stock, par value $0.01 per share, issuable in one or more series as designated by the Company’s board of directors. No other class of capital stock is authorized. As of June 30, 2025 and December 31, 2024, 306,332,133 and 302,959,782 shares of common stock, respectively, were issued and outstanding and no shares of preferred stock were outstanding.</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February 2018, the Company entered into a controlled equity offering sales agreement (as amended and restated in February 2025,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Sales Agreement. In February 2025, the Company filed a sales agreement prospectus under a registration statement on Form S-3 (File No. 333-285286) covering the sale of up to $200.0 million of common stock through Cantor Fitzgerald under the CF Sales Agreement. Under the CF Sales Agreement, Cantor Fitzgerald may sell shares by any method deemed to be an “at-the-market offering” as defined in Rule 415 under the Securities Act of 1933, as amended. There have been no sales under the CF Sales Agreement since 2023.</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2025, the Company received $0.3 million from the market price stock purchase plan ("MPSPP") for 73,929 shares of common stock. During the six months ended June 30, 2024, the Company received $1.4 million from the MPSPP for 416,099 shares of common stock.</w:t>
      </w:r>
    </w:p>
    <w:p>
      <w:pPr>
        <w:spacing w:after="0" w:line="16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For shares of common stock issued pursuant to the Company's 2004 employee stock purchase plan ("ESPP"), see Note 13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components of the basic and diluted EPS computations (in thousands, except per share amounts):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EPS – basic:</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(denominator)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304,954</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304,222</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 diluted:</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 (loss) (numerator)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(2,014)</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304,954</w:t>
            </w: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304,222</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 – common shares issuable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weighted average common shares (denominator)</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311,484</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273,056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312,381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Net income (loss) per share</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64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6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-1028065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-1028065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-1028065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2025, diluted net income per share excluded the weighted average effect of 6.3 million shares of common stock underlying RSUs and Market and Performance RSUs, 1.0 million shares of common stock underlying options and PNQs and 7.0 million common shares issuable upon conversion of our senior convertible notes as they were antidilutive.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8" w:name="page29"/>
    <w:bookmarkEnd w:id="28"/>
    <w:p>
      <w:pPr>
        <w:ind w:right="22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diluted net income per share excluded the weighted average effect of 3.3 million shares of common stock underlying RSUs and Market and Performance RSUs, 0.3 million shares of common stock underlying options and PNQs and 7.0 million common shares issuable upon conversion of our senior convertible notes as they were antidilutive.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diluted net income per share excluded the weighted average effect of 16.8 million shares of common stock underlying RSUs and Market and Performance RSUs, 7.9 million shares of common stock underlying options and PNQs and 44.1 million common shares issuable upon conversion of our senior convertible notes as they were antidilutive. Market RSUs issued in 2021, 2022 and 2023 are included at the share delivery of 194%, 178% and 100%, respectively, in accordance with a valuation assessment obtained as of June 30, 2024.</w:t>
      </w:r>
    </w:p>
    <w:p>
      <w:pPr>
        <w:spacing w:after="0" w:line="11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diluted net income per share excluded the weighted average effect of 7.8 million shares of common stock underlying RSUs and Market RSUs, 1.9 million shares of common stock underlying options and PNQs and 44.1 million common shares issuable upon conversion of our senior convertible notes as they were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granted the following awards (in shares):</w:t>
      </w:r>
    </w:p>
    <w:p>
      <w:pPr>
        <w:spacing w:after="0" w:line="206" w:lineRule="exact"/>
        <w:rPr>
          <w:sz w:val="20"/>
          <w:szCs w:val="20"/>
          <w:color w:val="auto"/>
        </w:rPr>
      </w:pPr>
    </w:p>
    <w:tbl>
      <w:tblPr>
        <w:tblLayout w:type="fixed"/>
        <w:tblInd w:w="7100" w:type="dxa"/>
        <w:tblCellMar>
          <w:top w:w="0" w:type="dxa"/>
          <w:left w:w="0" w:type="dxa"/>
          <w:bottom w:w="0" w:type="dxa"/>
          <w:right w:w="0" w:type="dxa"/>
        </w:tblCellMar>
      </w:tblPr>
      <w:tr>
        <w:trPr>
          <w:trHeight w:val="161"/>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69"/>
        </w:trPr>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4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01" w:right="339" w:bottom="1440" w:gutter="0" w:footer="0" w:header="0"/>
        </w:sectPr>
      </w:pPr>
    </w:p>
    <w:tbl>
      <w:tblPr>
        <w:tblLayout w:type="fixed"/>
        <w:tblInd w:w="0" w:type="dxa"/>
        <w:tblCellMar>
          <w:top w:w="0" w:type="dxa"/>
          <w:left w:w="0" w:type="dxa"/>
          <w:bottom w:w="0" w:type="dxa"/>
          <w:right w:w="0" w:type="dxa"/>
        </w:tblCellMar>
      </w:tblPr>
      <w:tr>
        <w:trPr>
          <w:trHeight w:val="191"/>
        </w:trPr>
        <w:tc>
          <w:tcPr>
            <w:tcW w:w="7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Employee awards:</w:t>
            </w:r>
          </w:p>
        </w:tc>
        <w:tc>
          <w:tcPr>
            <w:tcW w:w="17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767,353</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1,695,403</w:t>
            </w: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RSUs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1,715,000</w:t>
            </w:r>
          </w:p>
        </w:tc>
        <w:tc>
          <w:tcPr>
            <w:tcW w:w="0" w:type="dxa"/>
            <w:vAlign w:val="bottom"/>
          </w:tcPr>
          <w:p>
            <w:pPr>
              <w:spacing w:after="0"/>
              <w:rPr>
                <w:sz w:val="1"/>
                <w:szCs w:val="1"/>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RSUs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34"/>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Non-employee director RSUs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443,974</w:t>
            </w:r>
          </w:p>
        </w:tc>
        <w:tc>
          <w:tcPr>
            <w:tcW w:w="0" w:type="dxa"/>
            <w:vAlign w:val="bottom"/>
          </w:tcPr>
          <w:p>
            <w:pPr>
              <w:spacing w:after="0"/>
              <w:rPr>
                <w:sz w:val="1"/>
                <w:szCs w:val="1"/>
                <w:color w:val="auto"/>
              </w:rPr>
            </w:pPr>
          </w:p>
        </w:tc>
      </w:tr>
      <w:tr>
        <w:trPr>
          <w:trHeight w:val="209"/>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awards issued</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767,353</w:t>
            </w:r>
          </w:p>
        </w:tc>
        <w:tc>
          <w:tcPr>
            <w:tcW w:w="3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4,854,377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710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-799465</wp:posOffset>
            </wp:positionV>
            <wp:extent cx="71323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-525145</wp:posOffset>
            </wp:positionV>
            <wp:extent cx="713232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(2)</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(3)</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(5)</w:t>
      </w:r>
    </w:p>
    <w:p>
      <w:pPr>
        <w:spacing w:after="0" w:line="458" w:lineRule="exact"/>
        <w:rPr>
          <w:sz w:val="20"/>
          <w:szCs w:val="20"/>
          <w:color w:val="auto"/>
        </w:rPr>
      </w:pPr>
    </w:p>
    <w:p>
      <w:pPr>
        <w:sectPr>
          <w:pgSz w:w="11900" w:h="16838" w:orient="portrait"/>
          <w:cols w:equalWidth="0" w:num="2">
            <w:col w:w="10920" w:space="120"/>
            <w:col w:w="200"/>
          </w:cols>
          <w:pgMar w:left="320" w:top="1201" w:right="339" w:bottom="1440" w:gutter="0" w:footer="0" w:header="0"/>
          <w:type w:val="continuous"/>
        </w:sectPr>
      </w:pPr>
    </w:p>
    <w:p>
      <w:pPr>
        <w:ind w:left="380" w:right="380" w:hanging="372"/>
        <w:spacing w:after="0" w:line="257"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$5.26 per share, of which 263,160 RSUs had a vesting period of 33.3% annually over the second, third, and fourth anniversary of the vesting determination date and 504,193 RSUs had a vesting period of 25% annually over four years.</w:t>
      </w:r>
    </w:p>
    <w:p>
      <w:pPr>
        <w:ind w:left="380" w:right="100" w:hanging="372"/>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$4.72 per share, of which 1,405,713 RSUs had a vesting period of 25% annually over four years, 204,690 RSUs had a vesting period of 33.3% annually over the second, third, and fourth anniversary of the vesting determination date, 50,000 RSUs vest 100% on July 15, 2027, 30,000 RSUs vest 100% on the second anniversary of the vesting determination date, and 5,000 RSUs will vest 100% on July 15, 2026.</w:t>
      </w:r>
    </w:p>
    <w:p>
      <w:pPr>
        <w:ind w:left="380" w:right="340" w:hanging="372"/>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1,715,000 market RSUs had a grant date fair value of $10.84 per share and will vest on July 15, 2028. The number of shares delivered on the vesting date is determined by the percentile ranking of MannKind total shareholder return (TSR) over the period from July 1, 2025 until June 30, 2028 relative to the TSR of the Russell 3000 Pharmaceutical &amp; Biotechnology Index over the same three-year period, as follows: less than 25th percentile=0% of target, 25th percentile=50% of target, 50th percentile=100% of target, 75th percentile=200% of target, 90th percentile or higher=300% maximum. Payout values will be interpolated between the percentile rankings above.</w:t>
      </w:r>
    </w:p>
    <w:p>
      <w:pPr>
        <w:ind w:left="380" w:right="140" w:hanging="372"/>
        <w:spacing w:after="0" w:line="264"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1,000,000 performance RSUs had a grant date fair value of $3.80 per share and will vest on March 15, 2028. The number of shares delivered on the vesting date, as a percentage of the specified target, shall be determined by the net sales achieved by the Endocrine Business Unit, as reported by the Company for the period from October 1, 2027 to December 31, 2027 as follows: less than $37.5 million=0% target, $37.5 million=25% target, $50.0 million=50% target, $75.0 million=100% target, and $100.0 million or higher=200% target.</w:t>
      </w:r>
    </w:p>
    <w:p>
      <w:pPr>
        <w:ind w:left="380" w:right="220" w:hanging="372"/>
        <w:spacing w:after="0" w:line="288" w:lineRule="auto"/>
        <w:tabs>
          <w:tab w:leader="none" w:pos="3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RSUs had a weighted average grant date fair value of $4.57 per share and vested immediately upon the grant date; however, the underlying shares of common stock will not be delivered until there is a separation of service such as resignation, retirement or death.</w:t>
      </w:r>
    </w:p>
    <w:p>
      <w:pPr>
        <w:spacing w:after="0" w:line="16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of June 30, 2025, there was $30.1 million, $34.9 million, and $3.8 million of unrecognized stock-based compensation expense related to RSUs, Market RSUs and Performance RSUs, respectively, which is expected to be recognized over a weighted average period of approximately 2.84, 2.15, and 2.71 years, respectively.</w:t>
      </w:r>
    </w:p>
    <w:p>
      <w:pPr>
        <w:spacing w:after="0" w:line="17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as cost of goods sold, cost of revenue – collaborations and services, R&amp;D and selling, general and administrative expense was as follows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210"/>
        </w:trPr>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RSUs and options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20" w:type="dxa"/>
            <w:vAlign w:val="bottom"/>
            <w:shd w:val="clear" w:color="auto" w:fill="CFF0FC"/>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tcPr>
          <w:p>
            <w:pPr>
              <w:spacing w:after="0"/>
              <w:rPr>
                <w:sz w:val="18"/>
                <w:szCs w:val="18"/>
                <w:color w:val="auto"/>
              </w:rPr>
            </w:pPr>
          </w:p>
        </w:tc>
      </w:tr>
      <w:tr>
        <w:trPr>
          <w:trHeight w:val="229"/>
        </w:trPr>
        <w:tc>
          <w:tcPr>
            <w:tcW w:w="6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12,905</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120" w:type="dxa"/>
            <w:vAlign w:val="bottom"/>
            <w:shd w:val="clear" w:color="auto" w:fill="CFF0FC"/>
          </w:tcPr>
          <w:p>
            <w:pPr>
              <w:spacing w:after="0"/>
              <w:rPr>
                <w:sz w:val="19"/>
                <w:szCs w:val="19"/>
                <w:color w:val="auto"/>
              </w:rPr>
            </w:pPr>
          </w:p>
        </w:tc>
      </w:tr>
      <w:tr>
        <w:trPr>
          <w:trHeight w:val="20"/>
        </w:trPr>
        <w:tc>
          <w:tcPr>
            <w:tcW w:w="6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-24765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29" w:name="page30"/>
    <w:bookmarkEnd w:id="29"/>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provides all employees, including executive officers, the ability to purchase common stock at a discount under the ESPP. The ESPP is designed to comply with Section 423 of the Internal Revenue Code and provides all employees with the opportunity to purchase up to $25,000 worth of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ESPP are the same as those of all other employees.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2.1 million shares of common stock available for issuance under the ESPP as of June 30,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Guarantees and Indemnifications </w:t>
      </w:r>
      <w:r>
        <w:rPr>
          <w:rFonts w:ascii="Times New Roman" w:cs="Times New Roman" w:eastAsia="Times New Roman" w:hAnsi="Times New Roman"/>
          <w:sz w:val="18"/>
          <w:szCs w:val="18"/>
          <w:color w:val="auto"/>
        </w:rPr>
        <w:t>— In the ordinary course of its business, the Company makes certain indemnities, commitments and guarantees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and therefore has not recorded any liability for these indemnities in the condensed consolidated balance sheets.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The Company is subject to legal proceedings and claims which arise in the ordinary course of its business. The Company does not anticipate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disposition of any matters will have a material adverse effect on the results of operations, financial position, or cash flows of the Company.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8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Contingencies — Milestone Rights </w:t>
      </w:r>
      <w:r>
        <w:rPr>
          <w:rFonts w:ascii="Times New Roman" w:cs="Times New Roman" w:eastAsia="Times New Roman" w:hAnsi="Times New Roman"/>
          <w:sz w:val="18"/>
          <w:szCs w:val="18"/>
          <w:color w:val="auto"/>
        </w:rPr>
        <w:t>— In July 2013, the Company entered into the Milestone Rights Agreement with the Original Milestone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which the Company granted the Milestone Rights to receive payments up to $90.0 million upon the occurrence of specified strategic and sales milestones, of which $45.0 million remains payable to the Milestone Purchasers as of June 30, 2025.</w:t>
      </w:r>
    </w:p>
    <w:p>
      <w:pPr>
        <w:spacing w:after="0" w:line="17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Milestone Rights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achieved an Afrezza net sales milestone, as specified by the Milestone Rights, and the portion of the $5.0 million payment related to the Milestone Rights liability on our condensed consolidated balance sheets was approximately $0.6 million and represents the fair value as determined in 2013 (the most recent measurement date).</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June 30, 2025, the remaining Milestone Rights liability balance was $2.5 million and consisted of $0.5 million of current liability, which was presented as accrued expenses and other current liabilities, and $2.0 million of long-term liability, which was presented as milestone liabilities in the condensed consolidated balance sheets. As of December 31, 2024, the remaining Milestone Rights liability balance was $3.2 million and consisted of $0.7 million of current liability, which was presented as accrued expenses and other current liabilities, and $2.5 million of long-term liability, which was presented as milestone liabilities in the condensed consolidated balance sheets. The value of the Milestone Rights liability was based on initial fair value estimates calculated using the income approach and is reduced by milestone achievement payments made.</w:t>
      </w:r>
    </w:p>
    <w:p>
      <w:pPr>
        <w:spacing w:after="0" w:line="18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Loss Contingencies — Returns Reserve for Acquired Product — </w:t>
      </w:r>
      <w:r>
        <w:rPr>
          <w:rFonts w:ascii="Times New Roman" w:cs="Times New Roman" w:eastAsia="Times New Roman" w:hAnsi="Times New Roman"/>
          <w:sz w:val="18"/>
          <w:szCs w:val="18"/>
          <w:color w:val="auto"/>
        </w:rPr>
        <w:t>During the six months ended June 30, 2024, the Company reassessed its previously-determined estimate for product returns associated with sales of V-Go that pre-date the Company's acquisition of the product and recorded an additional $1.4 million, which was recorded in accrued expenses and other current liabilities in the condensed consolidated balance sheet as of June 30, 2024. The return accrual is being reduced as product returns are received. Related losses on estimated returns of acquired product were recorded in selling, general and administrative expenses in the condensed consolidated statements of operations.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Liability for Sale of Future Royalties </w:t>
      </w:r>
      <w:r>
        <w:rPr>
          <w:rFonts w:ascii="Times New Roman" w:cs="Times New Roman" w:eastAsia="Times New Roman" w:hAnsi="Times New Roman"/>
          <w:sz w:val="18"/>
          <w:szCs w:val="18"/>
          <w:color w:val="auto"/>
        </w:rPr>
        <w:t>— In December 2023, the Company executed a Purchase and Sale Agreement (the “PSA”) with Sagard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Funding Borrower SPE 2, LP (“Sagard”). Pursuant to the PSA, Sagard paid the Company $150.0 million (the “Upfront Proceeds”), net of $0.4 million in reimbursements of Sagard’s fees and expenses (the “Reimbursements”), for the purchase of a 1% royalty on future net sales of Tyvaso DPI by UT under the terms of the UT License Agreement (the “Sagard Royalty”). Sagard will also pay the Company a milestone of $50.0 million if net sales of Tyvaso DPI meet or exceed $1.9 billion for any 12 consecutive months on or prior to December 31, 2026 (“Net Sales Threshold A”), or a milestone of $45.0 million if net Sales Threshold A is not met and net sales of Tyvaso DPI meet or exceed $2.3 billion for any 12 consecutive months on or prior to September 30, 2027 (“Net Sales Threshold B”), resulting in a purchase price not to exceed $200.0 million (the “Purchase Price”). If Net Sales Thresholds A and B are not met and net sales of Tyvaso DPI meet or exceed $3.5 billion for any calendar year after September 30, 2027, no royalties will be payable to Sagard for the remainder of that year. The PSA applies to net sales of Tyvaso DPI generated during October 1, 2023 through December 31, 2042 (the “Termination Date”) and will automatically terminate upon payment of the final royalty owed to Sagard thereafter. Upon the Termination Date, ownership of the Sagard Royalty will revert to the Company.</w:t>
      </w:r>
    </w:p>
    <w:p>
      <w:pPr>
        <w:spacing w:after="0" w:line="19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Given the Company’s continuing involvement with the generation of Tyvaso DPI revenue under the UT License Agreement and CSA, which includes the Company’s supply and manufacture of Tyvaso DPI, and the Company’s retention and associated defense and maintenance obligations of the intellectual property required in the manufacture of Tyvaso DPI, the Upfront Proceeds were recorded as a liability for sale of future royalties (the “Royalty Liability”) on the condensed consolidated balance sheets, and any proceeds from future milestones will be added to the Royalty Liability balance upon receipt. Although the Company is not obligated to repay any portion of the Purchase Price to Sagard, the Royalty Liability under the PSA is secured by a security interest granted to Sagard in the underlying 1% royalty rights and any proceeds therefrom. As a result of the PSA, transaction costs totaling $4.4 million (including the Reimbursements) are reported net of the Royalty Liability balance and amortized to interest expense in the condensed consolidated statements of operations over the life of the PSA using the effective interest method. Unamortized transaction costs were approximately $4.0 million and $4.1 million as of June 30, 2025 and December 31, 2024.</w:t>
      </w:r>
    </w:p>
    <w:p>
      <w:pPr>
        <w:spacing w:after="0" w:line="1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will continue to recognize the full 10% of future royalty revenues in its condensed consolidated statements of operations, with the Sagard Royalty being non-cash revenue for the Company. As royalty payments are earned by and remitted to Sagard, the balance of the Royalty Liability will be effectively repaid as it is amortized over the life of the PSA. To amortize the Royalty Liability, the Company estimated the total amount of future royalty payments to be made to Sagard over the life of the PSA. The excess of those future estimated royalty payments over the Purchase Price proceeds received is recognized in the condensed consolidated statements of operations as non-cash interest expense over the life of the PSA utilizing an imputed effective interest rate. The effective interest rate is calculated based on the rate that would enable the debt to be repaid in full over the anticipated life of the arrangement. The interest rate may vary during the term of the agreement depending on a number of factors, including the amount and timing of forecasted royalty payments which affects the timing and ultimate amount of reductions to the liability. The Company will evaluate the effective interest rate periodically based on its forecasted royalty payments utilizing the prospective method.</w:t>
      </w:r>
    </w:p>
    <w:p>
      <w:pPr>
        <w:spacing w:after="0" w:line="188"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the forecasted royalty payments using a combination of historical results, internal projections and forecasts from external sources. To the extent such payments, or the timing of such payments, are materially different than original estimates, the Company will prospectively adjust the effective interest rate and amortization of the Royalty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activity within the Royalty Liability account as well as the effective interest rate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7012940</wp:posOffset>
            </wp:positionH>
            <wp:positionV relativeFrom="paragraph">
              <wp:posOffset>73025</wp:posOffset>
            </wp:positionV>
            <wp:extent cx="13716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60" w:type="dxa"/>
            <w:vAlign w:val="bottom"/>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720" w:type="dxa"/>
            <w:vAlign w:val="bottom"/>
            <w:tcBorders>
              <w:top w:val="single" w:sz="8" w:color="auto"/>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r>
      <w:tr>
        <w:trPr>
          <w:trHeight w:val="210"/>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149,645</w:t>
            </w:r>
          </w:p>
        </w:tc>
        <w:tc>
          <w:tcPr>
            <w:tcW w:w="180" w:type="dxa"/>
            <w:vAlign w:val="bottom"/>
            <w:shd w:val="clear" w:color="auto" w:fill="CFF0FC"/>
          </w:tcPr>
          <w:p>
            <w:pPr>
              <w:spacing w:after="0"/>
              <w:rPr>
                <w:sz w:val="18"/>
                <w:szCs w:val="18"/>
                <w:color w:val="auto"/>
              </w:rPr>
            </w:pPr>
          </w:p>
        </w:tc>
      </w:tr>
      <w:tr>
        <w:trPr>
          <w:trHeight w:val="216"/>
        </w:trPr>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deferred transaction costs</w:t>
            </w:r>
          </w:p>
        </w:tc>
        <w:tc>
          <w:tcPr>
            <w:tcW w:w="4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r>
      <w:tr>
        <w:trPr>
          <w:trHeight w:val="216"/>
        </w:trPr>
        <w:tc>
          <w:tcPr>
            <w:tcW w:w="8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interest expense on liability for sale of future royalties</w:t>
            </w:r>
          </w:p>
        </w:tc>
        <w:tc>
          <w:tcPr>
            <w:tcW w:w="48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80" w:type="dxa"/>
            <w:vAlign w:val="bottom"/>
            <w:shd w:val="clear" w:color="auto" w:fill="CFF0FC"/>
          </w:tcPr>
          <w:p>
            <w:pPr>
              <w:spacing w:after="0"/>
              <w:rPr>
                <w:sz w:val="18"/>
                <w:szCs w:val="18"/>
                <w:color w:val="auto"/>
              </w:rPr>
            </w:pPr>
          </w:p>
        </w:tc>
      </w:tr>
      <w:tr>
        <w:trPr>
          <w:trHeight w:val="216"/>
        </w:trPr>
        <w:tc>
          <w:tcPr>
            <w:tcW w:w="8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Royalty revenue earned by or payable to Sagard</w:t>
            </w:r>
          </w:p>
        </w:tc>
        <w:tc>
          <w:tcPr>
            <w:tcW w:w="4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(6,123)</w:t>
            </w:r>
          </w:p>
        </w:tc>
      </w:tr>
      <w:tr>
        <w:trPr>
          <w:trHeight w:val="250"/>
        </w:trPr>
        <w:tc>
          <w:tcPr>
            <w:tcW w:w="8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150,574</w:t>
            </w:r>
          </w:p>
        </w:tc>
        <w:tc>
          <w:tcPr>
            <w:tcW w:w="180" w:type="dxa"/>
            <w:vAlign w:val="bottom"/>
            <w:tcBorders>
              <w:bottom w:val="single" w:sz="8" w:color="CFF0FC"/>
            </w:tcBorders>
            <w:shd w:val="clear" w:color="auto" w:fill="CFF0FC"/>
          </w:tcPr>
          <w:p>
            <w:pPr>
              <w:spacing w:after="0"/>
              <w:rPr>
                <w:sz w:val="21"/>
                <w:szCs w:val="21"/>
                <w:color w:val="auto"/>
              </w:rPr>
            </w:pPr>
          </w:p>
        </w:tc>
      </w:tr>
      <w:tr>
        <w:trPr>
          <w:trHeight w:val="196"/>
        </w:trPr>
        <w:tc>
          <w:tcPr>
            <w:tcW w:w="8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8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interest rate</w:t>
            </w:r>
          </w:p>
        </w:tc>
        <w:tc>
          <w:tcPr>
            <w:tcW w:w="48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7025640</wp:posOffset>
            </wp:positionH>
            <wp:positionV relativeFrom="paragraph">
              <wp:posOffset>-299720</wp:posOffset>
            </wp:positionV>
            <wp:extent cx="1117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-281940</wp:posOffset>
            </wp:positionV>
            <wp:extent cx="1117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Sale-Leaseback Transaction</w:t>
      </w:r>
      <w:r>
        <w:rPr>
          <w:rFonts w:ascii="Times New Roman" w:cs="Times New Roman" w:eastAsia="Times New Roman" w:hAnsi="Times New Roman"/>
          <w:sz w:val="18"/>
          <w:szCs w:val="18"/>
          <w:color w:val="auto"/>
        </w:rPr>
        <w:t>— In November 2021, the Company sold certain land, building and improvements located in Danbury, CT (the "Property")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affiliate of Creative Manufacturing Properties (the "Purchaser") for a sales price of $102.3 million, subject to terms and the conditions contained in a purchase and sale agreement.</w:t>
      </w:r>
    </w:p>
    <w:p>
      <w:pPr>
        <w:spacing w:after="0" w:line="175"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entered into a lease agreement (the “Lease”), pursuant to which the Company leased the Property from the Purchaser for an initial term of 20 years, with four renewal options of five years each. The total annual rent under the Lease starts at approximately $9.5 million per year, subject to a 50% rent abatement during the first year of the Lease, and will increase annually by (i) 2.5% in the second through fifth year of the Lease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1" w:name="page32"/>
    <w:bookmarkEnd w:id="31"/>
    <w:p>
      <w:pPr>
        <w:ind w:right="40" w:firstLine="8"/>
        <w:spacing w:after="0" w:line="261"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 the sixth and each subsequent year of the Lease, including any renewal term, utilizing a weighted average discount rate of 9.0%. The Company is responsible for payment of operating expenses, property taxes and insurance for the Property. The Purchaser will hold a security deposit of $2.0 million during the Lease term. Pursuant to the terms of the Lease, the Company has four options to repurchase the Property, in 2026, 2031, 2036 and 2041, for the greater of (i) $102.3 million or (ii) the fair market value of the Property.</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with the closing of the Sale-Leaseback Transaction, the Company and the Purchaser also entered into a right of first refusal agreement (the “ROFR”), pursuant to which the Company has a right to re-purchase the Property from the Purchaser in accordance with terms and conditions set forth in the ROFR. Specifically, if the Purchaser receives, and is willing to accept, a bona fide purchase offer for the Property from a third-party purchaser, the Company has certain rights of first refusal to purchase the Property on the same material terms as proposed in such bona fide purchase offer.</w:t>
      </w:r>
    </w:p>
    <w:p>
      <w:pPr>
        <w:spacing w:after="0" w:line="18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of June 30, 2025, the related financing liability was $103.7 million, which was recognized in the condensed consolidated balance sheet and of which $93.5 million was long-term and $10.2 million was current. As of December 31, 2024, the related financing liability was $103.9 million, of which $93.9 million was long-term and $10.1 million was current.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Financing liability information was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3"/>
          </w:tcPr>
          <w:p>
            <w:pPr>
              <w:jc w:val="right"/>
              <w:ind w:right="108"/>
              <w:spacing w:after="0"/>
              <w:rPr>
                <w:sz w:val="20"/>
                <w:szCs w:val="20"/>
                <w:color w:val="auto"/>
              </w:rPr>
            </w:pPr>
            <w:r>
              <w:rPr>
                <w:rFonts w:ascii="Times New Roman" w:cs="Times New Roman" w:eastAsia="Times New Roman" w:hAnsi="Times New Roman"/>
                <w:sz w:val="18"/>
                <w:szCs w:val="18"/>
                <w:color w:val="auto"/>
              </w:rPr>
              <w:t>9.0%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537"/>
        </w:trPr>
        <w:tc>
          <w:tcPr>
            <w:tcW w:w="5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3"/>
        </w:trPr>
        <w:tc>
          <w:tcPr>
            <w:tcW w:w="57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7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2,381</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2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72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2,433</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4,891</w:t>
            </w:r>
          </w:p>
        </w:tc>
        <w:tc>
          <w:tcPr>
            <w:tcW w:w="100" w:type="dxa"/>
            <w:vAlign w:val="bottom"/>
            <w:shd w:val="clear" w:color="auto" w:fill="CFF0FC"/>
          </w:tcPr>
          <w:p>
            <w:pPr>
              <w:spacing w:after="0"/>
              <w:rPr>
                <w:sz w:val="19"/>
                <w:szCs w:val="19"/>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remaining financing liability payments were as follows (in thousands):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22"/>
                <w:szCs w:val="22"/>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5,153</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10,849</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11,174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165,769</w:t>
            </w:r>
          </w:p>
        </w:tc>
        <w:tc>
          <w:tcPr>
            <w:tcW w:w="100" w:type="dxa"/>
            <w:vAlign w:val="bottom"/>
          </w:tcPr>
          <w:p>
            <w:pPr>
              <w:spacing w:after="0"/>
              <w:rPr>
                <w:sz w:val="18"/>
                <w:szCs w:val="18"/>
                <w:color w:val="auto"/>
              </w:rPr>
            </w:pPr>
          </w:p>
        </w:tc>
      </w:tr>
      <w:tr>
        <w:trPr>
          <w:trHeight w:val="210"/>
        </w:trPr>
        <w:tc>
          <w:tcPr>
            <w:tcW w:w="57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214,988</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(108,959)</w:t>
            </w: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(2,363)</w:t>
            </w:r>
          </w:p>
        </w:tc>
      </w:tr>
      <w:tr>
        <w:trPr>
          <w:trHeight w:val="20"/>
        </w:trPr>
        <w:tc>
          <w:tcPr>
            <w:tcW w:w="578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financing liability</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103,666</w:t>
            </w:r>
          </w:p>
        </w:tc>
        <w:tc>
          <w:tcPr>
            <w:tcW w:w="10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-1885315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-1868170</wp:posOffset>
            </wp:positionV>
            <wp:extent cx="774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-1885315</wp:posOffset>
            </wp:positionV>
            <wp:extent cx="774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-1868170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-1885315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-1868170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Commitments </w:t>
      </w:r>
      <w:r>
        <w:rPr>
          <w:rFonts w:ascii="Times New Roman" w:cs="Times New Roman" w:eastAsia="Times New Roman" w:hAnsi="Times New Roman"/>
          <w:sz w:val="18"/>
          <w:szCs w:val="18"/>
          <w:color w:val="auto"/>
        </w:rPr>
        <w:t>— In July 2014, the Company entered into the Insulin Supply Agreement pursuant to which Amphastar manufactures for and supplies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ind w:right="80"/>
        <w:spacing w:after="0" w:line="266" w:lineRule="auto"/>
        <w:rPr>
          <w:sz w:val="20"/>
          <w:szCs w:val="20"/>
          <w:color w:val="auto"/>
        </w:rPr>
      </w:pPr>
      <w:r>
        <w:rPr>
          <w:rFonts w:ascii="Times New Roman" w:cs="Times New Roman" w:eastAsia="Times New Roman" w:hAnsi="Times New Roman"/>
          <w:sz w:val="18"/>
          <w:szCs w:val="18"/>
          <w:color w:val="auto"/>
        </w:rPr>
        <w:t>In December 2023, the Company and Amphastar amended the Insulin Supply Agreement to extend the term, restructure the annual purchase commitments and include a capacity fee for certain future periods. The Company's remaining purchase commitments and estimated capacity fee liability as of June 30, 2025 were as follows (€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1619"/>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900" w:type="dxa"/>
            <w:vAlign w:val="bottom"/>
          </w:tcPr>
          <w:p>
            <w:pPr>
              <w:spacing w:after="0"/>
              <w:rPr>
                <w:sz w:val="10"/>
                <w:szCs w:val="10"/>
                <w:color w:val="auto"/>
              </w:rPr>
            </w:pPr>
          </w:p>
        </w:tc>
        <w:tc>
          <w:tcPr>
            <w:tcW w:w="164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Remaining Purchase</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9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Estimated Capacity Fees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1640" w:type="dxa"/>
            <w:vAlign w:val="bottom"/>
            <w:tcBorders>
              <w:bottom w:val="single" w:sz="8" w:color="auto"/>
            </w:tcBorders>
          </w:tcPr>
          <w:p>
            <w:pPr>
              <w:jc w:val="center"/>
              <w:ind w:left="291"/>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40" w:type="dxa"/>
            <w:vAlign w:val="bottom"/>
            <w:gridSpan w:val="2"/>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2025 (Remaining)</w:t>
            </w:r>
            <w:r>
              <w:rPr>
                <w:rFonts w:ascii="Times New Roman" w:cs="Times New Roman" w:eastAsia="Times New Roman" w:hAnsi="Times New Roman"/>
                <w:sz w:val="24"/>
                <w:szCs w:val="24"/>
                <w:color w:val="auto"/>
                <w:vertAlign w:val="superscript"/>
              </w:rPr>
              <w:t>(1)</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2031</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2033</w:t>
            </w:r>
          </w:p>
        </w:tc>
        <w:tc>
          <w:tcPr>
            <w:tcW w:w="16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2034</w:t>
            </w:r>
          </w:p>
        </w:tc>
        <w:tc>
          <w:tcPr>
            <w:tcW w:w="16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631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3" w:lineRule="exact"/>
        <w:rPr>
          <w:sz w:val="20"/>
          <w:szCs w:val="20"/>
          <w:color w:val="auto"/>
        </w:rPr>
      </w:pPr>
    </w:p>
    <w:p>
      <w:pPr>
        <w:ind w:left="380" w:right="200" w:hanging="372"/>
        <w:spacing w:after="0" w:line="275" w:lineRule="auto"/>
        <w:tabs>
          <w:tab w:leader="none" w:pos="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During the three and six months ended June 30, 2025, the Company incurred a capacity fee of €375,000, or $0.4 million and €750,000, or $0.9 million, respectively, which was recognized as cost of goods sold for commercial sales in our condensed consolidated statement of operations.</w:t>
      </w:r>
    </w:p>
    <w:p>
      <w:pPr>
        <w:spacing w:after="0" w:line="17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Pursuant to the amendment, the term of the Insulin Supply Agreement expires on the later of December 31, 2034 or until the completion of the total remaining purchase commitment quantities, unless terminated earlier, and can be renewed for additional, successive two-year terms upon 12 months’ written notice given prior to the end of the initial term or any additional two-year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19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the terms of the long-term Insulin Supply Agreement and assesses the need for any accrual for estimated losses, such as lower-of-cost or net-realizable-value that will not be recovered by future product sales. The recognized loss on purchase commitments of $66.1 million and $58.2 million is included in our condensed consolidated balance sheets as of June 30, 2025 and December 31, 2024, respectively, and is reduced as inventory items are received or such liability is extinguished.</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a result of the increase in future cash flows for the excess capacity fees and extended term included in the amendment of the Insulin Supply Agreement, the Company analyzed the need for additional estimated losses and concluded that an increase in the recognized loss on purchase commitments was not required as the net realizable value of inventory resulting from the purchase commitment was in excess of the carrying value. Increases in costs associated with the amendment will be recognized through inventory as incurred.</w:t>
      </w:r>
    </w:p>
    <w:p>
      <w:pPr>
        <w:spacing w:after="0" w:line="178"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Vehicle Leases </w:t>
      </w:r>
      <w:r>
        <w:rPr>
          <w:rFonts w:ascii="Times New Roman" w:cs="Times New Roman" w:eastAsia="Times New Roman" w:hAnsi="Times New Roman"/>
          <w:sz w:val="18"/>
          <w:szCs w:val="18"/>
          <w:color w:val="auto"/>
        </w:rPr>
        <w:t>— During the second quarter of 2018, the Company entered into a master lease agreement with Enterprise Fleet Management Inc.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monthly payment inclusive of maintenance fees, insurance and taxes is approximately $0.1 million. The lease expense is included in selling, general and administrative expenses in the condensed consolidated statements of operations.</w:t>
      </w:r>
    </w:p>
    <w:p>
      <w:pPr>
        <w:spacing w:after="0" w:line="17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Leases </w:t>
      </w:r>
      <w:r>
        <w:rPr>
          <w:rFonts w:ascii="Times New Roman" w:cs="Times New Roman" w:eastAsia="Times New Roman" w:hAnsi="Times New Roman"/>
          <w:sz w:val="18"/>
          <w:szCs w:val="18"/>
          <w:color w:val="auto"/>
        </w:rPr>
        <w:t>— In May 2017, the Company executed an office lease with Russell Ranch Road II LLC for the Company’s corporate offices in Westlake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Village, California, which was renewed in April 2022. Pursuant to the renewal, the monthly lease payments of $79,543 began in February 2023 and are subject to 3% annual increases, plus the estimated cost of maintaining the property and common areas by the landlord, and are further subject to a six-month base rent concession beginning February 2023. The Company was also entitled to a one-time allowance up to $0.9 million as reimbursement for tenant improvements or the purchase of furniture, fixtures or equipment. Of the $0.9 million allowance, an amount up to $0.7 million may be applied as an additional base rent concession. The Company has no further right to extend the lease term beyond July 31, 2028.</w:t>
      </w:r>
    </w:p>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May 2022, the Company assumed certain leased real property (the “Marlborough Lease”) in connection with the V-Go acquisition. The Marlborough Lease pertains to certain premises in a building located in Marlborough, Massachusetts. The monthly payments of $28,895 began in June 2022, subject to approximately 3% annual increases through February 28,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also acquired rights to a manufacturing service agreement where V-Go is manufactured using Company-owned equipment located at the manufacturing facility. The Company determined that this arrangement results in an embedded lease which granted the Company exclusive use of space within the manufacturing facility. The Company assessed the embedded lease cost to be $14,370 per month through February 28, 2026.</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May 2024, the Company entered into several transactions with Pulmatrix to acquire certain lab assets, enter into multiple agreements, and assume certain liabilities (the “Pulmatrix Transaction”). In July 2024, the Company assumed certain leased real property (the "Bedford Lease") in connection with the Pulmatrix Transaction. The Bedford Lease pertains to certain premises in a building located in Bedford, Massachusetts. The monthly base rent payments of $101,282 are subject to 3% annual increases, plus the estimated cost of maintaining the property and common areas by the landlord. The Company also assumed from Pulmatrix a $0.7 million obligation to repay landlord-funded tenant improvements at a rate of $6,000 per month through the end of the lease term in November 2033. The Company has the right to extend the lease term for an additional five-year term.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information was as follows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5"/>
                <w:szCs w:val="15"/>
                <w:color w:val="auto"/>
              </w:rPr>
            </w:pPr>
          </w:p>
        </w:tc>
      </w:tr>
      <w:tr>
        <w:trPr>
          <w:trHeight w:val="249"/>
        </w:trPr>
        <w:tc>
          <w:tcPr>
            <w:tcW w:w="560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Operating lease right-of-use assets</w:t>
            </w:r>
            <w:r>
              <w:rPr>
                <w:rFonts w:ascii="Times New Roman" w:cs="Times New Roman" w:eastAsia="Times New Roman" w:hAnsi="Times New Roman"/>
                <w:sz w:val="24"/>
                <w:szCs w:val="24"/>
                <w:color w:val="auto"/>
                <w:vertAlign w:val="superscript"/>
              </w:rPr>
              <w:t>(1)</w:t>
            </w:r>
          </w:p>
        </w:tc>
        <w:tc>
          <w:tcPr>
            <w:tcW w:w="2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11,788</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80" w:type="dxa"/>
            <w:vAlign w:val="bottom"/>
            <w:shd w:val="clear" w:color="auto" w:fill="CFF0FC"/>
          </w:tcPr>
          <w:p>
            <w:pPr>
              <w:spacing w:after="0"/>
              <w:rPr>
                <w:sz w:val="21"/>
                <w:szCs w:val="21"/>
                <w:color w:val="auto"/>
              </w:rPr>
            </w:pPr>
          </w:p>
        </w:tc>
      </w:tr>
      <w:tr>
        <w:trPr>
          <w:trHeight w:val="197"/>
        </w:trPr>
        <w:tc>
          <w:tcPr>
            <w:tcW w:w="5600" w:type="dxa"/>
            <w:vAlign w:val="bottom"/>
            <w:tcBorders>
              <w:top w:val="single" w:sz="8" w:color="CFF0FC"/>
            </w:tcBorders>
          </w:tcPr>
          <w:p>
            <w:pPr>
              <w:spacing w:after="0"/>
              <w:rPr>
                <w:sz w:val="17"/>
                <w:szCs w:val="17"/>
                <w:color w:val="auto"/>
              </w:rPr>
            </w:pPr>
          </w:p>
        </w:tc>
        <w:tc>
          <w:tcPr>
            <w:tcW w:w="20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r>
      <w:tr>
        <w:trPr>
          <w:trHeight w:val="216"/>
        </w:trPr>
        <w:tc>
          <w:tcPr>
            <w:tcW w:w="5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Operating lease liability-current</w:t>
            </w:r>
            <w:r>
              <w:rPr>
                <w:rFonts w:ascii="Times New Roman" w:cs="Times New Roman" w:eastAsia="Times New Roman" w:hAnsi="Times New Roman"/>
                <w:sz w:val="24"/>
                <w:szCs w:val="24"/>
                <w:color w:val="auto"/>
                <w:vertAlign w:val="superscript"/>
              </w:rPr>
              <w:t>(2)</w:t>
            </w:r>
          </w:p>
        </w:tc>
        <w:tc>
          <w:tcPr>
            <w:tcW w:w="2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80" w:type="dxa"/>
            <w:vAlign w:val="bottom"/>
            <w:shd w:val="clear" w:color="auto" w:fill="CFF0FC"/>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liability-long-term</w:t>
            </w:r>
          </w:p>
        </w:tc>
        <w:tc>
          <w:tcPr>
            <w:tcW w:w="2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80" w:type="dxa"/>
            <w:vAlign w:val="bottom"/>
          </w:tcPr>
          <w:p>
            <w:pPr>
              <w:spacing w:after="0"/>
              <w:rPr>
                <w:sz w:val="18"/>
                <w:szCs w:val="18"/>
                <w:color w:val="auto"/>
              </w:rPr>
            </w:pPr>
          </w:p>
        </w:tc>
      </w:tr>
      <w:tr>
        <w:trPr>
          <w:trHeight w:val="250"/>
        </w:trPr>
        <w:tc>
          <w:tcPr>
            <w:tcW w:w="5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80" w:type="dxa"/>
            <w:vAlign w:val="bottom"/>
            <w:shd w:val="clear" w:color="auto" w:fill="CFF0FC"/>
          </w:tcPr>
          <w:p>
            <w:pPr>
              <w:spacing w:after="0"/>
              <w:rPr>
                <w:sz w:val="21"/>
                <w:szCs w:val="21"/>
                <w:color w:val="auto"/>
              </w:rPr>
            </w:pPr>
          </w:p>
        </w:tc>
      </w:tr>
      <w:tr>
        <w:trPr>
          <w:trHeight w:val="129"/>
        </w:trPr>
        <w:tc>
          <w:tcPr>
            <w:tcW w:w="5600" w:type="dxa"/>
            <w:vAlign w:val="bottom"/>
            <w:tcBorders>
              <w:top w:val="single" w:sz="8" w:color="CFF0FC"/>
            </w:tcBorders>
          </w:tcPr>
          <w:p>
            <w:pPr>
              <w:spacing w:after="0"/>
              <w:rPr>
                <w:sz w:val="11"/>
                <w:szCs w:val="11"/>
                <w:color w:val="auto"/>
              </w:rPr>
            </w:pPr>
          </w:p>
        </w:tc>
        <w:tc>
          <w:tcPr>
            <w:tcW w:w="200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FF0FC"/>
          </w:tcPr>
          <w:p>
            <w:pPr>
              <w:spacing w:after="0"/>
              <w:rPr>
                <w:sz w:val="18"/>
                <w:szCs w:val="18"/>
                <w:color w:val="auto"/>
              </w:rPr>
            </w:pPr>
          </w:p>
        </w:tc>
      </w:tr>
      <w:tr>
        <w:trPr>
          <w:trHeight w:val="202"/>
        </w:trPr>
        <w:tc>
          <w:tcPr>
            <w:tcW w:w="5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Weighted average discount rate</w:t>
            </w: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7"/>
                <w:szCs w:val="17"/>
                <w:color w:val="auto"/>
              </w:rPr>
            </w:pPr>
          </w:p>
        </w:tc>
        <w:tc>
          <w:tcPr>
            <w:tcW w:w="158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7.3%</w:t>
            </w:r>
          </w:p>
        </w:tc>
      </w:tr>
      <w:tr>
        <w:trPr>
          <w:trHeight w:val="139"/>
        </w:trPr>
        <w:tc>
          <w:tcPr>
            <w:tcW w:w="56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-1056640</wp:posOffset>
            </wp:positionV>
            <wp:extent cx="1111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-1039495</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-1056640</wp:posOffset>
            </wp:positionV>
            <wp:extent cx="1117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-1039495</wp:posOffset>
            </wp:positionV>
            <wp:extent cx="1117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-473710</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-456565</wp:posOffset>
            </wp:positionV>
            <wp:extent cx="111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-473710</wp:posOffset>
            </wp:positionV>
            <wp:extent cx="1117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-456565</wp:posOffset>
            </wp:positionV>
            <wp:extent cx="1117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ind w:left="380" w:right="280" w:hanging="372"/>
        <w:spacing w:after="0" w:line="257" w:lineRule="auto"/>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right-of-use assets related to vehicles, offices and the manufacturing facility for V-Go are included in other assets in the condensed consolidated balance sheets.</w:t>
      </w:r>
    </w:p>
    <w:p>
      <w:pPr>
        <w:ind w:left="380" w:hanging="372"/>
        <w:spacing w:after="0"/>
        <w:tabs>
          <w:tab w:leader="none" w:pos="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Operating lease liability – current is included in accrued expenses and other current liabilities in the 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gridSpan w:val="3"/>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8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shd w:val="clear" w:color="auto" w:fill="CFF0FC"/>
          </w:tcPr>
          <w:p>
            <w:pPr>
              <w:spacing w:after="0"/>
              <w:rPr>
                <w:sz w:val="18"/>
                <w:szCs w:val="18"/>
                <w:color w:val="auto"/>
              </w:rPr>
            </w:pPr>
          </w:p>
        </w:tc>
      </w:tr>
      <w:tr>
        <w:trPr>
          <w:trHeight w:val="432"/>
        </w:trPr>
        <w:tc>
          <w:tcPr>
            <w:tcW w:w="7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Company's future minimum office and vehicle lease payments were as follows (in thousands):</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3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Pr>
          <w:p>
            <w:pPr>
              <w:spacing w:after="0"/>
              <w:rPr>
                <w:sz w:val="22"/>
                <w:szCs w:val="22"/>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Pr>
          <w:p>
            <w:pPr>
              <w:spacing w:after="0"/>
              <w:rPr>
                <w:sz w:val="18"/>
                <w:szCs w:val="18"/>
                <w:color w:val="auto"/>
              </w:rPr>
            </w:pP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(3,525)</w:t>
            </w:r>
          </w:p>
        </w:tc>
      </w:tr>
      <w:tr>
        <w:trPr>
          <w:trHeight w:val="250"/>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20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3820" w:type="dxa"/>
            <w:vAlign w:val="bottom"/>
          </w:tcPr>
          <w:p>
            <w:pPr>
              <w:spacing w:after="0"/>
              <w:rPr>
                <w:sz w:val="24"/>
                <w:szCs w:val="24"/>
                <w:color w:val="auto"/>
              </w:rPr>
            </w:pPr>
          </w:p>
        </w:tc>
        <w:tc>
          <w:tcPr>
            <w:tcW w:w="2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recorded income tax expense of $0.3 million and $0.7 million, respectively, related to state taxes, which was calculated using the discrete year-to-date method. The income tax provision for the three and six months ended June 30, 2024 was $0.3 million and $0.6 million, respectively. The effective tax rate differs from the statutory tax rate of 21% primarily due to the existence of valuation allowances against net deferred tax assets and current liabilities resulting from the estimated state income tax liabilities.</w:t>
      </w:r>
    </w:p>
    <w:p>
      <w:pPr>
        <w:spacing w:after="0" w:line="180"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62"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assessed its position with regards to uncertainty in tax positions and has not recognized a liability for unrecognized tax benefits. The Company does not expect its unrecognized tax benefits to change significantly over the next 12 months. The Company recognizes interest and penalties accrued related to unrecognized tax benefits in income tax expense. During the six months ended June 30, 2025, 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interest and penalties. The Company’s tax years since 2020 remain subject to examination by tax authorities.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June 2024, California enacted Senate Bills 167 and 175 ("SB 167" and "SB 175"). SB 167 suspends the use of net operating losses ("NOLs") and limits the use of business credits to $5.0 million for the 2024-2026 tax years. Under SB 175, the NOL suspension and credit limitations will not apply for the 2025 and 2026 tax years if certain budget goals are met. Although the Company does not expect this legislation to have a material effect on its results of operations or cash flows, management continues to evaluate any potential impact.</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July 4, 2025, the reconciliation bill, commonly referred to as the One Big Beautiful Bill Act (OBBB) was signed into law, which includes a broad range of tax reform provisions that may affect the Company's financial results. The OBBB allows an elective deduction for domestic Research and Development (R&amp;D), a reinstatement of elective 100% first-year bonus depreciation, and a more favorable tax rate on Foreign-derived Deduction Eligible Income and income from non-U.S. subsidiaries (Net CFC Tested Income), among other provisions. The Company is currently evaluating the impact of these provisions which could affect the Company's effective tax rate and deferred tax assets in 2025 and future periods. The legislation has multiple effective dates, with certain provisions effective in 2025 and others implemented through 2027. A quantitative estimate of the specific financial effects cannot be reasonably determined at this time due to the complexity of the changes in the tax reform. The impact of those tax provisions in the OBBB will depend on our facts in each year and anticipated guidance from the U.S. Department of the Treasury.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Blackstone Credit Facility</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August 6, 2025 (the “Closing Date”), the Company entered into a senior secured term loan agreement (the “Credit Agreement”) with Blackstone Alternative Credit Advisors LP (“Blackstone”), as Blackstone Representative and Lead Arranger, the lenders party thereto from time to time, the subsidiary guarantors party thereto from time to time, and Wilmington Trust, National Association, as administrative agent and collateral agent for the lenders, providing for up to $500 million in term loans (the “Blackstone Credit Facility”). The Blackstone Credit Facility consists of (i) a $75 million initial term loan, which is being funded on the Closing Date, (ii) $125 million in delayed draw term loan commitments, which the Company may draw at its option during the 24 months immediately following the Closing Date, subject to customary conditions set forth in the Credit Agreement, and (iii) up to $300 million in the form of an uncommitted delayed draw term loans, which the Company may borrower in the future subject to mutual agreement with Blackstone and the lenders under the Credit Agreement.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Blackstone Credit Facility will mature on the fifth anniversary of the Closing Date. The loans thereunder bear interest at a rate per annum equal to 1, 3 or 6 month term SOFR (at the Company’s election), subject to a 2% floor, plus a margin of 4.75%. Interest is paid quarterly or, if the Company elects 1-month SOFR, monthly. The interest rate margin will increase to 5.00% at any time the Company’s ratio of indebtedness to adjusted EBITDA (measured on a trailing four quarter basis) is greater than or equal to 5.00:1.00 as of the most recent fiscal quarter for which the Company has delivered financial statements. Term loans under the Credit Agreement are funded net of an upfront fee payable by the Company.</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has the option to prepay the loans under the Blackstone Credit Facility in whole or in part, subject to early prepayment fees in an amount equal to (a) a full interest make-whole plus 3.00% if prepayment occurs on or prior to the first anniversary of the Closing Date, (b) 3.00% of principal prepaid if prepayment occurs after the first anniversary of the Closing Date but on or prior to the second anniversary of the Closing Date, and (c) 1.00% of principal prepaid if prepayment occurs after the second anniversary of the Closing Date and prior to or on the third anniversary of the Closing Date.</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Blackstone Credit Facility are guaranteed by each of the Company’s subsidiaries and any future subsidiaries, subject to limited exceptions set forth in the Credit Agreement, and are secured by a security interest on substantially all of the assets of the Company and the subsidiary guarantors, including intellectual property.</w:t>
      </w:r>
    </w:p>
    <w:p>
      <w:pPr>
        <w:spacing w:after="0" w:line="176"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Credit Agreement includes representations and warranties, affirmative covenants (including reporting obligations), negative covenants and events of default that are usual and customary for facilities of this type, in each case, subject to certain permitted exceptions as set forth therein. The Company also contains a financial covenant for the benefit of the lenders, which requires the Company to have liquidity of at least $40 million as of the last business day of each fiscal quarter ending after the Closing Date, with liquidity defined as our unrestricted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2024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and commercialization of innovative therapeutic products and devices to address serious unmet medical needs for those living with endocrine and orphan lung diseases. Our signature technologies—Technosphere dry-powder formulations and Dreamboat inhalation devices—offer rapid and convenient delivery of medicines to the deep lung where they can exert an effect locally or enter the systemic circulation.</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Afrezza was developed by us and received approval from the FDA in June 2014. Afrezza consists of a dry powder formulation of human insulin delivered from a small portable inhaler. V-Go received 510(k) clearance by the FDA in 2010 and has been available commercially since 2012. In May 2022, we acquired V-Go from Zealand Pharma A/S and Zealand Pharma US, Inc. V-Go is a mechanical basal-bolus insulin delivery system that is worn like a patch and can eliminate the need for taking multiple daily injections.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first product to come out of our orphan lung disease pipeline, Tyvaso DPI (treprostinil) inhalation powder, received FDA approval in May 2022 for the treatment of PAH and PH-ILD. Our development and marketing partner, United Therapeutics, began commercializing Tyvaso DPI in June 2022 and is obligated to pay us a royalty on net sales of the product. We also receive a margin on supplies of Tyvaso DPI that we manufacture for UT.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pipeline of potential treatments for orphan lung diseases includes inhaled clofazimine (MNKD-101) for the treatment of severe chronic and recurrent pulmonary infections, including nontuberculous mycobacterial ("NTM") lung disease. The FDA has designated inhaled clofazimine as both an orphan drug and as a qualified infectious disease product for the treatment of pulmonary NTM infections. It has also granted Fast Track designation to our development program. In 2024, we initiated a global Phase 3 registrational study of inhaled clofazimine with sites in the United States, Japan, South Korea, Taiwan, and Australia. We expect enrollment of subjects into this study to continue into 2026. The other major program in our pipeline is a dry-powder formulation of nintedanib (MNKD-201) for the treatment of idiopathic pulmonary fibrosis ("IPF"). In 2024, we conducted a Phase 1 clinical study of MNKD-201, which met its primary objective of demonstrating positive safety results and good tolerability in healthy volunteers. We are currently planning a global Phase 2 trial and we expect clinical trial site activation by year end 2025.</w:t>
      </w:r>
    </w:p>
    <w:p>
      <w:pPr>
        <w:spacing w:after="0" w:line="19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business is subject to significant risks, including but not limited to our ability to manufacture sufficient quantities of our products and Tyvaso DPI. Other significant risks also include the risk that our products may only achieve a limited degree of commercial success and the risks inherent in drug development, clinical trials and the regulatory approval process for our product candidates, which in some cases depends upon the efforts of our partners. Ongoing changes in tariff policy by the U.S. government may potentially raise the future cost to source the raw materials and components needed to manufacture our products. We are actively monitoring this situation and exploring strategies to mitigate the risks.</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June 30, 2025, we had cash, cash equivalents and investments of $201.2 million, an accumulated deficit of $3.2 billion and a total stockholders’ deficit of $55.0 million. We had net income of $0.7 million and $13.8 million for the three and six months ended June 30, 2025, respectively. To date, we have funded our operations primarily through the sale of our equity and convertible debt securities, from the receipt of upfront and milestone payments from collaborations, from borrowings, from sales of Afrezza and V-Go, from royalties and manufacturing revenue from UT, from proceeds of the sale-leaseback of our manufacturing facility in Danbury, CT and from the sale of a portion of future royalties that we receive from UT.</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 xml:space="preserve">Our critical accounting policies and estimates can be found in Item 7. Management’s Discussion and Analysis of Financial Condition and Results of Operations in our Annual Report. See Note 1 – </w:t>
      </w:r>
      <w:r>
        <w:rPr>
          <w:rFonts w:ascii="Times New Roman" w:cs="Times New Roman" w:eastAsia="Times New Roman" w:hAnsi="Times New Roman"/>
          <w:sz w:val="18"/>
          <w:szCs w:val="18"/>
          <w:i w:val="1"/>
          <w:iCs w:val="1"/>
          <w:color w:val="auto"/>
        </w:rPr>
        <w:t>Description of Business and Significant Accounting Policies</w:t>
      </w:r>
      <w:r>
        <w:rPr>
          <w:rFonts w:ascii="Times New Roman" w:cs="Times New Roman" w:eastAsia="Times New Roman" w:hAnsi="Times New Roman"/>
          <w:sz w:val="18"/>
          <w:szCs w:val="18"/>
          <w:color w:val="auto"/>
        </w:rPr>
        <w:t xml:space="preserve"> in the condensed consolidated financial statements included in Part I – Financial Statements (Unaudited) for descriptions of the new accounting policies and impact of adoption.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Our collaboration agreement with UT entitles us to receive a 10% royalty on net sales of Tyvaso DPI, subject to our sale of a 1% royalty on future net sales to a royalty purchaser (leaving us with a 9% royalty) in December 2023. Our royalty revenue reflects the trend in net sales of Tyvaso DPI in the marketplace.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condensed consolidated financial statements.</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Our future success is dependent on our, and our current and future collaboration partners’, ability to effectively commercialize approved products. Our future success is also dependent on our pipeline of new products. There is a high rate of failure inherent in the R&amp;D process for new drugs. As a result, there is a high risk that the funds we invest in research programs will not generate sufficient financial returns. Products may appear promising in development but fail to reach market within the expected or optimal timeframe,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revenue categories for the three and six months ended June 30, 2025 and 2024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revenue from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33,898</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14,902</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discounts</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(3,458)</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revenue from commercial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26,014</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Royalties</w:t>
            </w: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31,228</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76,527</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72,386</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revenue from commercial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65,721</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(2,247)</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ind w:left="260"/>
              <w:spacing w:after="0" w:line="198" w:lineRule="exact"/>
              <w:rPr>
                <w:sz w:val="20"/>
                <w:szCs w:val="20"/>
                <w:color w:val="auto"/>
              </w:rPr>
            </w:pPr>
            <w:r>
              <w:rPr>
                <w:rFonts w:ascii="Times New Roman" w:cs="Times New Roman" w:eastAsia="Times New Roman" w:hAnsi="Times New Roman"/>
                <w:sz w:val="18"/>
                <w:szCs w:val="18"/>
                <w:color w:val="auto"/>
              </w:rPr>
              <w:t>Less: Wholesaler distribution fees, rebates and</w:t>
            </w: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chargebacks, product returns and other</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22,047</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26,177</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discounts</w:t>
            </w:r>
          </w:p>
        </w:tc>
        <w:tc>
          <w:tcPr>
            <w:tcW w:w="10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(4,130)</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Gross-to-net revenue adjustment percentage</w:t>
            </w: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Collaborations and services</w:t>
            </w: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50,862</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Royalties</w:t>
            </w:r>
          </w:p>
        </w:tc>
        <w:tc>
          <w:tcPr>
            <w:tcW w:w="10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61,233</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48,243</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12,990</w:t>
            </w:r>
          </w:p>
        </w:tc>
        <w:tc>
          <w:tcPr>
            <w:tcW w:w="2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4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154,881</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138,649</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-3659505</wp:posOffset>
            </wp:positionV>
            <wp:extent cx="1111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-3659505</wp:posOffset>
            </wp:positionV>
            <wp:extent cx="1117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-3102610</wp:posOffset>
            </wp:positionV>
            <wp:extent cx="1111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-3102610</wp:posOffset>
            </wp:positionV>
            <wp:extent cx="1117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-1636395</wp:posOffset>
            </wp:positionV>
            <wp:extent cx="1111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-1636395</wp:posOffset>
            </wp:positionV>
            <wp:extent cx="1117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-1079500</wp:posOffset>
            </wp:positionV>
            <wp:extent cx="1111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-1079500</wp:posOffset>
            </wp:positionV>
            <wp:extent cx="1117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Afrezza </w:t>
      </w:r>
      <w:r>
        <w:rPr>
          <w:rFonts w:ascii="Times New Roman" w:cs="Times New Roman" w:eastAsia="Times New Roman" w:hAnsi="Times New Roman"/>
          <w:sz w:val="18"/>
          <w:szCs w:val="18"/>
          <w:color w:val="auto"/>
        </w:rPr>
        <w:t>— Gross revenue from sales of Afrezza increased by $1.1 million, or 4%, for the three months ended June 30,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primarily driven by increased price and higher demand. The gross-to-net adjustment was 32% of gross revenue, or $8.8 million, for the three months ended June 30, 2025 compared to 37% of gross revenue, or $9.8 million, for the same period in the prior year. The decreased gross-to-net percentage was primarily attributable to a decrease in rebates. As a result, net revenue from sales of Afrezza increased by $2.0 million, or 13%, for the three months ended June 30, 2025 compared to the same period in the prior year.</w:t>
      </w:r>
    </w:p>
    <w:p>
      <w:pPr>
        <w:spacing w:after="0" w:line="18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Gross revenue from sales of Afrezza increased by $3.4 million, or 7%, for the six months ended June 30, 2025 compared to the same period in the prior year, primarily driven by increased price and higher volume. The gross-to-net adjustment remained consistent at 34% of gross revenue, or $17.1 million, for the six months ended June 30, 2025 compared to $16.1 million, for the same period in the prior year. As a result, net revenue from sales of Afrezza increased by $2.5 million, or 8%, for the six months ended June 30, 2025 compared to the same period in the prior year.</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V-Go </w:t>
      </w:r>
      <w:r>
        <w:rPr>
          <w:rFonts w:ascii="Times New Roman" w:cs="Times New Roman" w:eastAsia="Times New Roman" w:hAnsi="Times New Roman"/>
          <w:sz w:val="18"/>
          <w:szCs w:val="18"/>
          <w:color w:val="auto"/>
        </w:rPr>
        <w:t>— Gross revenue from sales of V-Go decreased by $2.9 million, or 30%, for the three months ended June 30,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year and was a result of lower demand partially offset by increased price. The gross-to-net adjustment was 39% of gross revenue, or $2.6 million, for the three months ended June 30, 2025 compared to 53% of gross revenue, or $5.1 million, for the same period in the prior year. The improved gross-to-net percentage was primarily attributable to a decrease in rebates related to implementation of a strategy to reduce active contracts. As a result, net revenue from sales of V-Go decreased by $0.4 million, or 8%, for the three months ended June 30, 2025 compared to the same period in the prior year.</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revenue from sales of V-Go decreased by $5.7 million, or 30%, for the six months ended June 30, 2025 compared to the same period in the prior year and was primarily a result of lower demand partially offset by increased price. The gross-to-net adjustment was 38% of gross revenue, or $5.0 million, for the six months ended June 30, 2025 compared to 53% of gross revenue, or $10.1 million, for the same period in the prior year. The improved gross-to-net percentage was primarily attributable to a decrease in rebates related to a reduction in active contracts. As a result, net revenue from sales of V-Go decreased by $0.6 million, or 7%, for the six months ended June 30, 2025 compared to the same period in the prior year.</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Collaborations and Services </w:t>
      </w:r>
      <w:r>
        <w:rPr>
          <w:rFonts w:ascii="Times New Roman" w:cs="Times New Roman" w:eastAsia="Times New Roman" w:hAnsi="Times New Roman"/>
          <w:sz w:val="18"/>
          <w:szCs w:val="18"/>
          <w:color w:val="auto"/>
        </w:rPr>
        <w:t>— Net revenue from collaborations and services decreased by $3.2 million, or 12%, for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the prior year. The decrease in revenue was primarily attributable to decreased collaboration and service revenue from UT of $3.8 million driven by a decrease in revenue from product sold to UT of $2.7 million and a decrease in the recognition of deferred revenue of $1.0 million due to the net impact of one-time items. Royalty revenue from UT increased by $5.6 million, or 22%, for three months ended June 30, 2025 and $13.0 million, or 27%, for the six months ended June 30, 2025 due to UT's increase in net revenue from sales of Tyvaso DPI.</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revenue from collaborations and services increased by $1.4 million, or 3%, for the six months ended June 30, 2025 compared to the same period in the prior year. The increase in revenue was primarily attributable to an increase in revenue from the Amphastar co-promote agreement of $1.0 million and an increase in UT CSA revenue. The increase in UT CSA revenue was primarily due to increased product sold to UT, and was partially offset by a decrease in other contractual reimbursements of $2.9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product gross profit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commercial product gross profit categories for the three and six months ended June 30, 2025 and 2024 (dollars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4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6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product sales</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40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Less: Cost of goods sold</w:t>
            </w:r>
          </w:p>
        </w:tc>
        <w:tc>
          <w:tcPr>
            <w:tcW w:w="16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4040" w:type="dxa"/>
            <w:vAlign w:val="bottom"/>
            <w:shd w:val="clear" w:color="auto" w:fill="CFF0FC"/>
          </w:tcPr>
          <w:p>
            <w:pPr>
              <w:ind w:left="16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1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864"/>
        </w:trPr>
        <w:tc>
          <w:tcPr>
            <w:tcW w:w="4040" w:type="dxa"/>
            <w:vAlign w:val="bottom"/>
          </w:tcPr>
          <w:p>
            <w:pPr>
              <w:spacing w:after="0"/>
              <w:rPr>
                <w:sz w:val="24"/>
                <w:szCs w:val="24"/>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63"/>
        </w:trPr>
        <w:tc>
          <w:tcPr>
            <w:tcW w:w="40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-1353820</wp:posOffset>
            </wp:positionV>
            <wp:extent cx="1111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-1353820</wp:posOffset>
            </wp:positionV>
            <wp:extent cx="1117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80" w:type="dxa"/>
            <w:vAlign w:val="bottom"/>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product sales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39,544</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Cost of goods sold</w:t>
            </w: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(1,049)</w:t>
            </w:r>
          </w:p>
        </w:tc>
        <w:tc>
          <w:tcPr>
            <w:tcW w:w="14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product gross profit:</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33,052</w:t>
            </w:r>
          </w:p>
        </w:tc>
        <w:tc>
          <w:tcPr>
            <w:tcW w:w="3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30,120</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5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660" w:type="dxa"/>
            <w:vAlign w:val="bottom"/>
            <w:shd w:val="clear" w:color="auto" w:fill="CFF0FC"/>
          </w:tcPr>
          <w:p>
            <w:pPr>
              <w:ind w:left="220"/>
              <w:spacing w:after="0" w:line="196" w:lineRule="exact"/>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-307975</wp:posOffset>
            </wp:positionV>
            <wp:extent cx="1111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-307975</wp:posOffset>
            </wp:positionV>
            <wp:extent cx="1117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Commercial product gross profit increased by $2.7 million, or 18%, for the three months ended June 30, 2025 compared to the same period in the prior year, primarily due to an increase in revenue for Afrezza and a decrease in cost of goods sold of Afrezza driven by decreased costs associated with increased efficiencies in manufacturing activities in our Danbury, CT facility, partially offset by the quarterly capacity fee through our agreement with Amphastar.</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Commercial product gross profit increased by $2.9 million, or 10%, for the six months ended June 30, 2025 compared to the same period in the prior year, primarily due to an increase in revenue for Afrezza and lower cost of goods sold for V-Go, which was driven by lower production and sales volumes.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comparison of the expense categories for the three and six months ended June 30, 2025 and 2024 (dollars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Change</w:t>
            </w:r>
          </w:p>
        </w:tc>
        <w:tc>
          <w:tcPr>
            <w:tcW w:w="12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(998)</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50"/>
        </w:trPr>
        <w:tc>
          <w:tcPr>
            <w:tcW w:w="57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71,228</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55,776</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88"/>
        </w:trPr>
        <w:tc>
          <w:tcPr>
            <w:tcW w:w="57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w:t>
            </w: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Change</w:t>
            </w:r>
          </w:p>
        </w:tc>
        <w:tc>
          <w:tcPr>
            <w:tcW w:w="1200" w:type="dxa"/>
            <w:vAlign w:val="bottom"/>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Cost of goods sold - commercial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8,375</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(1,049)</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 collaborations and services</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29,709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56,636</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10,195</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(gain) on foreign currency transaction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50"/>
        </w:trPr>
        <w:tc>
          <w:tcPr>
            <w:tcW w:w="57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127,289</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105,317</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21,972</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2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r>
      <w:tr>
        <w:trPr>
          <w:trHeight w:val="88"/>
        </w:trPr>
        <w:tc>
          <w:tcPr>
            <w:tcW w:w="5740" w:type="dxa"/>
            <w:vAlign w:val="bottom"/>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w:t>
            </w: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-1795780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-1778635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-1941195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-1795780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-1778635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-1941195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-226695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-209550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-372745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-226695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-209550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-372745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Cost of revenue – collaborations and services increased by $1.2 million, or 8%, for the three months ended June 30, 2025 compared to the same period in the prior year. The increase was primarily attributable to an increase in production related write-offs for the period.</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Cost of revenue – collaborations and services remained consistent for the six months ended June 30, 2025 compared to the same period in the prior year. The increase in costs of sales associated with an increase in the number of blisters sold was offset by a decrease in cost per blister due to increased efficiencies in manufacturing activities in our Danbury, CT facility.</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$1.9 million, or 16%, for the three months ended June 30, 2025 compared to the same period in the prior year. The increase was primarily attributable to continued patient enrollment in our ICoN-1 clinical study for MNKD-101, clinical production scale-up for MNKD-201, and personnel costs primarily due to additional headcount as a result of the Pulmatrix transaction in the third quarter of 2024, which bolstered our research capabilities and capacity. These increases were partially offset by the completion of our Afrezza post-marketing clinical study (INHALE-3) and Phase 1 MNKD-201 studies in 2024, as well as lower costs for our Afrezza Pediatric clinical study (INHALE-1) as the study was closed out in the second quarter of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0" w:name="page41"/>
    <w:bookmarkEnd w:id="40"/>
    <w:p>
      <w:pPr>
        <w:ind w:right="6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$2.9 million, or 13%, for the six months ended June 30, 2025 compared to the same period in the prior year. The increase was primarily attributable to continued patient enrollment in our ICoN-1 clinical study for MNKD-101, clinical production scale-up for MNKD-201, and personnel costs primarily due to additional headcount as a result of the Pulmatrix transaction in the third quarter of 2024, which bolstered our research capabilities and capacity. These increases were partially offset by the completion of INHALE-3, the Phase 1 clinical study for MNKD-201, and toxicology studies in 2024, as well as lower costs for INHALE-1 as the study was closed out in the second quarter of 2025.</w:t>
      </w:r>
    </w:p>
    <w:p>
      <w:pPr>
        <w:spacing w:after="0" w:line="183"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by $7.5 million, or 31%, for the three months ended June 30, 2025 compared to the same period in the prior year. The increase was primarily driven by higher headcount and personnel-related costs including deploying a medical science liaison team and Afrezza promotional costs.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by $10.2 million, or 22%, for the six months ended June 30, 2025 compared to the same period in the prior year. The increase was largely attributable to higher headcount and personnel-related expense as well as deploying a medical science liaison team and Afrezza promotional costs. These increases were partially offset by a $1.4 million charge recorded in the prior year period for estimated returns associated with sales of V-Go that pre-dated our acquisition of the product.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Loss on foreign currency transaction was $5.4 million for the three months ended June 30, 2025 compared to a gain of $0.5 million for the same period in the prior year and a loss of $7.9 million for the six months ended June 30, 2025 compared to a gain of $1.9 million for the same period in the prior year. This was due to fluctuations in U.S. dollar to Euro exchange rates. Under the Insulin Supply Agreement with Amphastar, payment obligations for future purchases are denominated in Euros. We are required to record the foreign currency transaction impact of the U.S. dollar to Euro exchange rate associated with the recognized gain or loss on purchase commitments.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comparison of the other income (expense) categories for the three and six months ended June 30, 2025 and 2024 (dollars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(1,345)</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(6,051)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(5,766)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(3,473)</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(4,383)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(910)</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(2,433)</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(7,050)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(7,050)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49"/>
        </w:trPr>
        <w:tc>
          <w:tcPr>
            <w:tcW w:w="57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(18,301)</w:t>
            </w:r>
          </w:p>
        </w:tc>
        <w:tc>
          <w:tcPr>
            <w:tcW w:w="240" w:type="dxa"/>
            <w:vAlign w:val="bottom"/>
            <w:tcBorders>
              <w:top w:val="single" w:sz="8" w:color="CFF0FC"/>
              <w:bottom w:val="single" w:sz="8" w:color="CFF0FC"/>
            </w:tcBorders>
            <w:shd w:val="clear" w:color="auto" w:fill="CFF0FC"/>
          </w:tcPr>
          <w:p>
            <w:pPr>
              <w:spacing w:after="0"/>
              <w:rPr>
                <w:sz w:val="21"/>
                <w:szCs w:val="21"/>
                <w:color w:val="auto"/>
              </w:rPr>
            </w:pPr>
          </w:p>
        </w:tc>
        <w:tc>
          <w:tcPr>
            <w:tcW w:w="260" w:type="dxa"/>
            <w:vAlign w:val="bottom"/>
            <w:tcBorders>
              <w:top w:val="single" w:sz="8" w:color="CFF0FC"/>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(13,942)</w:t>
            </w:r>
          </w:p>
        </w:tc>
        <w:tc>
          <w:tcPr>
            <w:tcW w:w="14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88"/>
        </w:trPr>
        <w:tc>
          <w:tcPr>
            <w:tcW w:w="5740" w:type="dxa"/>
            <w:vAlign w:val="bottom"/>
          </w:tcPr>
          <w:p>
            <w:pPr>
              <w:spacing w:after="0" w:line="89" w:lineRule="exact"/>
              <w:rPr>
                <w:sz w:val="20"/>
                <w:szCs w:val="20"/>
                <w:color w:val="auto"/>
              </w:rPr>
            </w:pPr>
            <w:r>
              <w:rPr>
                <w:rFonts w:ascii="Times New Roman" w:cs="Times New Roman" w:eastAsia="Times New Roman" w:hAnsi="Times New Roman"/>
                <w:sz w:val="10"/>
                <w:szCs w:val="10"/>
                <w:color w:val="auto"/>
              </w:rPr>
              <w:t>_________________________</w:t>
            </w: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1"/>
        </w:trPr>
        <w:tc>
          <w:tcPr>
            <w:tcW w:w="5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center"/>
              <w:ind w:left="555"/>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173"/>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2"/>
                <w:szCs w:val="12"/>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(2,823)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(4,930)</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(8,618)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(3,688)</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on liability for sale of future royalties</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(7,050)</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(8,631)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(1,581)</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financing liability</w:t>
            </w: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(4,843)</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(4,891)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settlement of debt</w:t>
            </w: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(7,050)</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(7,050)</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Loss on available-for-sale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57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(13,035)</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(24,129)</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(11,094)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88"/>
        </w:trPr>
        <w:tc>
          <w:tcPr>
            <w:tcW w:w="5740" w:type="dxa"/>
            <w:vAlign w:val="bottom"/>
            <w:tcBorders>
              <w:top w:val="single" w:sz="8" w:color="CFF0FC"/>
            </w:tcBorders>
          </w:tcPr>
          <w:p>
            <w:pPr>
              <w:spacing w:after="0" w:line="88" w:lineRule="exact"/>
              <w:rPr>
                <w:sz w:val="20"/>
                <w:szCs w:val="20"/>
                <w:color w:val="auto"/>
              </w:rPr>
            </w:pPr>
            <w:r>
              <w:rPr>
                <w:rFonts w:ascii="Times New Roman" w:cs="Times New Roman" w:eastAsia="Times New Roman" w:hAnsi="Times New Roman"/>
                <w:sz w:val="10"/>
                <w:szCs w:val="10"/>
                <w:color w:val="auto"/>
              </w:rPr>
              <w:t>_________________________</w:t>
            </w:r>
          </w:p>
        </w:tc>
        <w:tc>
          <w:tcPr>
            <w:tcW w:w="2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240" w:type="dxa"/>
            <w:vAlign w:val="bottom"/>
            <w:tcBorders>
              <w:top w:val="single" w:sz="8" w:color="CFF0FC"/>
            </w:tcBorders>
          </w:tcPr>
          <w:p>
            <w:pPr>
              <w:spacing w:after="0"/>
              <w:rPr>
                <w:sz w:val="7"/>
                <w:szCs w:val="7"/>
                <w:color w:val="auto"/>
              </w:rPr>
            </w:pPr>
          </w:p>
        </w:tc>
        <w:tc>
          <w:tcPr>
            <w:tcW w:w="260" w:type="dxa"/>
            <w:vAlign w:val="bottom"/>
            <w:tcBorders>
              <w:top w:val="single" w:sz="8" w:color="CFF0FC"/>
            </w:tcBorders>
          </w:tcPr>
          <w:p>
            <w:pPr>
              <w:spacing w:after="0"/>
              <w:rPr>
                <w:sz w:val="7"/>
                <w:szCs w:val="7"/>
                <w:color w:val="auto"/>
              </w:rPr>
            </w:pPr>
          </w:p>
        </w:tc>
        <w:tc>
          <w:tcPr>
            <w:tcW w:w="86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c>
          <w:tcPr>
            <w:tcW w:w="1200" w:type="dxa"/>
            <w:vAlign w:val="bottom"/>
            <w:tcBorders>
              <w:top w:val="single" w:sz="8" w:color="CFF0FC"/>
            </w:tcBorders>
          </w:tcPr>
          <w:p>
            <w:pPr>
              <w:spacing w:after="0"/>
              <w:rPr>
                <w:sz w:val="7"/>
                <w:szCs w:val="7"/>
                <w:color w:val="auto"/>
              </w:rPr>
            </w:pPr>
          </w:p>
        </w:tc>
        <w:tc>
          <w:tcPr>
            <w:tcW w:w="220" w:type="dxa"/>
            <w:vAlign w:val="bottom"/>
            <w:tcBorders>
              <w:top w:val="single" w:sz="8" w:color="CFF0FC"/>
            </w:tcBorders>
          </w:tcPr>
          <w:p>
            <w:pPr>
              <w:spacing w:after="0"/>
              <w:rPr>
                <w:sz w:val="7"/>
                <w:szCs w:val="7"/>
                <w:color w:val="auto"/>
              </w:rPr>
            </w:pPr>
          </w:p>
        </w:tc>
      </w:tr>
      <w:tr>
        <w:trPr>
          <w:trHeight w:val="210"/>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 Not meaningful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-1804670</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-1786890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-1950085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-1804670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-1786890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-1950085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-226695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-210185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-226695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-210185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Interest income, net, consisting of interest and accretion on investments net of amortization, decreased by $1.3 million for the three months ended June 30, 2025 compared to the same period in the prior year and $2.8 million for the six months ended June 30, 2025 compared to the same period in the prior year. This was primarily due to a lower average balance on our securities portfolio and lower yields.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20"/>
        <w:spacing w:after="0" w:line="258" w:lineRule="auto"/>
        <w:rPr>
          <w:sz w:val="20"/>
          <w:szCs w:val="20"/>
          <w:color w:val="auto"/>
        </w:rPr>
      </w:pPr>
      <w:r>
        <w:rPr>
          <w:rFonts w:ascii="Times New Roman" w:cs="Times New Roman" w:eastAsia="Times New Roman" w:hAnsi="Times New Roman"/>
          <w:sz w:val="18"/>
          <w:szCs w:val="18"/>
          <w:color w:val="auto"/>
        </w:rPr>
        <w:t>Interest expense decreased by $5.8 million for the three months ended June 30, 2025 compared to the same period in the prior year and $3.7 million for the six months ended June 30, 2025 compared to the same period in the prior year. The decrease in interest was a result of the following principal debt reductions that occurred in 2024: (i) the exchange of an aggregate principal amount of approximately $193.7 million of our senior convertible notes due March 2026 in December 2024, (ii) $28.3 million full repayment to MidCap under the MidCap credit facility in April 2024, and (iii) the discharge and termination of $8.8 million of the outstanding principal balance under the Mann Group convertible note in April 2024.</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Interest expense on liability for sale of future royalties decreased by $0.9 million and decreased by $1.6 million for the three and six months ended June 30, 2025 compared to the same periods in the prior year, respectively. Interest consists of imputed interest and the amortization of debt issuance costs on the liability recorded in connection with the sale of 1% of our Tyvaso DPI royalties in December 2023. See Note 14 – </w:t>
      </w:r>
      <w:r>
        <w:rPr>
          <w:rFonts w:ascii="Times New Roman" w:cs="Times New Roman" w:eastAsia="Times New Roman" w:hAnsi="Times New Roman"/>
          <w:sz w:val="18"/>
          <w:szCs w:val="18"/>
          <w:i w:val="1"/>
          <w:iCs w:val="1"/>
          <w:color w:val="auto"/>
        </w:rPr>
        <w:t>Commitments and Contingencies.</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Interest expense on financing liability was $2.4 million for the three months ended June 30, 2025 and 2024, and $4.8 million and $4.9 million for the six months ended June 30, 2025 and 2024, respectively. Interest expense on financing liability represented interest incurred on the sale lease-back transaction for our manufacturing facility in Danbury, Connecticut.</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Loss on settlement of debt of $7.1 million for the three and six months ended June 30, 2024 was incurred in connection with the repayment of the MidCap credit facility and Mann Group convertible note in April 2024.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Loss on available-for-sale securities for the three and six months ended June 30, 2024 was $1.6 million as a result of modification of the Thirona investment.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on-GAAP Measures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under GAAP, we are presenting non-GAAP financial measures for net income and net income per share – basic. We are providing these non-GAAP financial measures, which are among the indicators management uses as a basis for evaluating our financial performance, to disclose additional information to facilitate the comparison of past and present operations. We believe that these non-GAAP financial measures, when considered together with our GAAP financial results, provide management and investors with an additional understanding of our business operating results, including underlying trends.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are not meant to be considered in isolation or as a substitute for comparable GAAP measures; 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cease to exclude items that we have historically excluded for purposes of our non-GAAP financial measures. Likewise, we may determine to modify the nature of its adjustments to arrive at our non-GAAP financial measures. Because of the non-standardized definitions of non-GAAP financial measures, the non-GAAP financial measures as used by us in this Quarterly Report on Form 10-Q have limits in their usefulness to investors and may be calculated differently from, and therefore may not be directly comparable to, similarly titled measures used by other companies.</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our financial measures for net income and net income per share ("EPS") for basic weighted average shares as reported in our condensed consolidated statements of operations to a non-GAAP presentation as adjusted by certain non-cash items identified below.</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1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Basic EPS</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100" w:type="dxa"/>
            <w:vAlign w:val="bottom"/>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Basic EPS</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11"/>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GAAP reported net income</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668</w:t>
            </w:r>
          </w:p>
        </w:tc>
        <w:tc>
          <w:tcPr>
            <w:tcW w:w="140" w:type="dxa"/>
            <w:vAlign w:val="bottom"/>
            <w:shd w:val="clear" w:color="auto" w:fill="CFF0FC"/>
          </w:tcPr>
          <w:p>
            <w:pPr>
              <w:spacing w:after="0"/>
              <w:rPr>
                <w:sz w:val="11"/>
                <w:szCs w:val="11"/>
                <w:color w:val="auto"/>
              </w:rPr>
            </w:pPr>
          </w:p>
        </w:tc>
        <w:tc>
          <w:tcPr>
            <w:tcW w:w="28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320" w:type="dxa"/>
            <w:vAlign w:val="bottom"/>
            <w:gridSpan w:val="2"/>
            <w:shd w:val="clear" w:color="auto" w:fill="CFF0FC"/>
          </w:tcPr>
          <w:p>
            <w:pPr>
              <w:ind w:lef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6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13,826</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8,616</w:t>
            </w:r>
          </w:p>
        </w:tc>
        <w:tc>
          <w:tcPr>
            <w:tcW w:w="1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Non-GAAP adjustments: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Sold portion of royalty revenue </w:t>
            </w:r>
            <w:r>
              <w:rPr>
                <w:rFonts w:ascii="Times New Roman" w:cs="Times New Roman" w:eastAsia="Times New Roman" w:hAnsi="Times New Roman"/>
                <w:sz w:val="15"/>
                <w:szCs w:val="15"/>
                <w:color w:val="auto"/>
                <w:vertAlign w:val="superscript"/>
              </w:rPr>
              <w:t>(1)</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(3,123)</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(2,559)</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(6,123)</w:t>
            </w:r>
          </w:p>
        </w:tc>
        <w:tc>
          <w:tcPr>
            <w:tcW w:w="1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0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(4,824)</w:t>
            </w: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40" w:type="dxa"/>
            <w:vAlign w:val="bottom"/>
            <w:gridSpan w:val="2"/>
            <w:shd w:val="clear" w:color="auto" w:fill="CFF0FC"/>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Interest expense on liability for sale of future royalties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3,473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Stock compensation</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6,428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12,905</w:t>
            </w: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10,313</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(gain) on foreign currency transaction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5,363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(529)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7,872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(1,928)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35"/>
        </w:trPr>
        <w:tc>
          <w:tcPr>
            <w:tcW w:w="35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on settlement of debt</w:t>
            </w:r>
          </w:p>
        </w:tc>
        <w:tc>
          <w:tcPr>
            <w:tcW w:w="7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7,050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Loss on available-for-sale securities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1,550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0.01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500" w:type="dxa"/>
            <w:vAlign w:val="bottom"/>
            <w:tcBorders>
              <w:bottom w:val="single" w:sz="8" w:color="CFF0FC"/>
            </w:tcBorders>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rPr>
              <w:t>Non-GAAP adjusted net income</w:t>
            </w:r>
          </w:p>
        </w:tc>
        <w:tc>
          <w:tcPr>
            <w:tcW w:w="7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13,901</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0.05</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14,309</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0.05</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35,530</w:t>
            </w:r>
          </w:p>
        </w:tc>
        <w:tc>
          <w:tcPr>
            <w:tcW w:w="2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0.12</w:t>
            </w: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29,408</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auto"/>
            </w:tcBorders>
            <w:shd w:val="clear" w:color="auto" w:fill="CFF0FC"/>
          </w:tcPr>
          <w:p>
            <w:pPr>
              <w:jc w:val="right"/>
              <w:ind w:right="98"/>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0.11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500" w:type="dxa"/>
            <w:vAlign w:val="bottom"/>
          </w:tcPr>
          <w:p>
            <w:pPr>
              <w:spacing w:after="0" w:line="98" w:lineRule="exact"/>
              <w:rPr>
                <w:sz w:val="20"/>
                <w:szCs w:val="20"/>
                <w:color w:val="auto"/>
              </w:rPr>
            </w:pPr>
            <w:r>
              <w:rPr>
                <w:rFonts w:ascii="Times New Roman" w:cs="Times New Roman" w:eastAsia="Times New Roman" w:hAnsi="Times New Roman"/>
                <w:sz w:val="10"/>
                <w:szCs w:val="10"/>
                <w:color w:val="auto"/>
              </w:rPr>
              <w:t>Weighted average shares used to compute net income</w:t>
            </w: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 share – basic</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304,954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273,056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304,222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271,706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-195580</wp:posOffset>
            </wp:positionV>
            <wp:extent cx="7683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-178435</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-195580</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-178435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-195580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-178435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-195580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-178435</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-195580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-178435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-195580</wp:posOffset>
            </wp:positionV>
            <wp:extent cx="6858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-178435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-195580</wp:posOffset>
            </wp:positionV>
            <wp:extent cx="685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-178435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-195580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-178435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_________________________</w:t>
      </w:r>
    </w:p>
    <w:p>
      <w:pPr>
        <w:spacing w:after="0" w:line="1" w:lineRule="exact"/>
        <w:rPr>
          <w:sz w:val="20"/>
          <w:szCs w:val="20"/>
          <w:color w:val="auto"/>
        </w:rPr>
      </w:pPr>
    </w:p>
    <w:p>
      <w:pPr>
        <w:ind w:left="380" w:right="40" w:hanging="372"/>
        <w:spacing w:after="0" w:line="267" w:lineRule="auto"/>
        <w:tabs>
          <w:tab w:leader="none" w:pos="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Represents the non-cash portion of the 1% royalty on net sales of Tyvaso DPI earned during the three and six months ended June 30, 2025 and 2024, which is remitted to the royalty purchaser and recognized as royalties from collaborations in our condensed consolidated statements of operations. Our royalties from collaborations during the three and six months ended June 30, 2025 totaled $31.2 million and $61.2 million, respectively, of which $3.1 million and $6.1 million, respectively were remitted to the royalty purchaser.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principal sources of liquidity are our cash, cash equivalents, and investments. Our primary uses of cash include development of our product pipeline, manufacturing and marketing of Afrezza and V-Go, manufacturing Tyvaso DPI, selling, general and administrative expenses, and principal and interest payments on our financing liability and debt.</w:t>
      </w:r>
    </w:p>
    <w:p>
      <w:pPr>
        <w:spacing w:after="0" w:line="176"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Historically, we have funded our operations primarily through the sale of equity and convertible debt securities, from the receipt of upfront and milestone payments from collaborations, from borrowings, from the sale of certain assets and from the sale of a portion of our future royalties that we receive from UT. More recently, sales of Afrezza and V-Go, and royalties and manufacturing revenue from UT, have become a more significant source of funding for our operations. In combination with our cash, cash equivalents and investments on hand, we believe that these sources of revenue, as well as the potential financing sources currently available to us, will allow us to meet our liquidity needs over the next 12 months and in the longer term.</w:t>
      </w:r>
    </w:p>
    <w:p>
      <w:pPr>
        <w:spacing w:after="0" w:line="1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2025, we had $66.1 million in insulin purchase commitments and $36.3 million principal amount of outstanding senior convertible notes bearing interest at 2.50% and maturing on March 1, 2026, unless earlier converted, redeemed or repurchased by us. The senior convertible notes are convertible at an initial conversion price of approximately $5.21 per share of common stock. The conversion rate is subject to adjustment under certain circumstances in accordance with the terms of the Indenture. We may from time to time seek to retire or purchase our outstanding senior convertible notes, through cash purchases and/or exchanges for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3" w:name="page44"/>
    <w:bookmarkEnd w:id="43"/>
    <w:p>
      <w:pPr>
        <w:ind w:right="120"/>
        <w:spacing w:after="0" w:line="266" w:lineRule="auto"/>
        <w:rPr>
          <w:sz w:val="20"/>
          <w:szCs w:val="20"/>
          <w:color w:val="auto"/>
        </w:rPr>
      </w:pPr>
      <w:r>
        <w:rPr>
          <w:rFonts w:ascii="Times New Roman" w:cs="Times New Roman" w:eastAsia="Times New Roman" w:hAnsi="Times New Roman"/>
          <w:sz w:val="18"/>
          <w:szCs w:val="18"/>
          <w:color w:val="auto"/>
        </w:rPr>
        <w:t>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July 2013, we issued the Milestone Rights pursuant to the Milestone Rights Agreement to the Original Milestone Purchasers. The Milestone Rights were subsequently assigned the Milestone Purchasers. The Milestone Rights provide the Milestone Purchasers certain rights to receive payments of up to $90.0 million upon the occurrence of specified strategic and sales milestones, $45.0 million of which remain payable as of June 30, 2025.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for further information related to the Milestone Rights.</w:t>
      </w:r>
    </w:p>
    <w:p>
      <w:pPr>
        <w:spacing w:after="0" w:line="7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 xml:space="preserve">In August 2025, we entered into the Backstone Credit Facility, pursuant to which we made an additional borrowing of $75.0 million. See Note 16 - </w:t>
      </w:r>
      <w:r>
        <w:rPr>
          <w:rFonts w:ascii="Times New Roman" w:cs="Times New Roman" w:eastAsia="Times New Roman" w:hAnsi="Times New Roman"/>
          <w:sz w:val="18"/>
          <w:szCs w:val="18"/>
          <w:i w:val="1"/>
          <w:iCs w:val="1"/>
          <w:color w:val="auto"/>
        </w:rPr>
        <w:t xml:space="preserve">Subsequent Events </w:t>
      </w:r>
      <w:r>
        <w:rPr>
          <w:rFonts w:ascii="Times New Roman" w:cs="Times New Roman" w:eastAsia="Times New Roman" w:hAnsi="Times New Roman"/>
          <w:sz w:val="18"/>
          <w:szCs w:val="18"/>
          <w:color w:val="auto"/>
        </w:rPr>
        <w:t>for additional information.</w:t>
      </w:r>
    </w:p>
    <w:p>
      <w:pPr>
        <w:spacing w:after="0" w:line="54"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In addition to the above, we also expect to have material cash requirements relating to paying our employees and consultants, professional services fees, marketing expenses, manufacturing expenditures, and clinical trial expenses. In addition, we make substantial and often long-term investments in our supply chain in order to ensure we have enough inventory and drug product to meet current and future revenue forecasts, as well as clinical trial needs.</w:t>
      </w:r>
    </w:p>
    <w:p>
      <w:pPr>
        <w:spacing w:after="0" w:line="5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February 2018, we entered into the CF Sales Agreement with Cantor Fitzgerald, as sales agent, which was amended and restated in February 2025. Under the CF Sales Agreement, Cantor Fitzgerald may sell shares of our common stock by any method deemed to be an “at-the-market offering” as defined in Rule 415 under the Securities Act of 1933, as amended. In February 2025, we filed a sales agreement prospectus under a registration statement on Form S-3 covering the sale of up to $200.0 million of our common stock through Cantor Fitzgerald under the CF Sales Agreement, of which $200.0 million remained available as of June 30, 2025.</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we generated $2.6 million of cash from our operating activities. Cash used in operating activities consisted of net income of $13.8 million offset by non-cash adjustments of $30.6 million and a net decrease in cash flows from operating assets and liabilities of $41.8 million. Non-cash items primarily included stock-based compensation of $12.9 million, loss on foreign currency transactions of $7.9 million and interest on liability for sale of future royalties of $7.1 million. These charges were partially offset by the sold portion of royalty revenue of $6.1 million. The net decrease in cash flows from operating assets and liabilities was primarily due to an increase of $15.3 million in accounts receivable, decrease of $9.3 million in accrued expenses and other current liabilities and decrease of $7.1 million in deferred revenue.</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we generated $10.5 million of cash from our operating activities. Cash used in operating activities consisted of net income of $8.6 million offset by non-cash adjustments of $26.5 million and a net decrease in cash flows from operating assets and liabilities of $24.6 million. Non-cash items primarily included stock-based compensation of $10.3 million and interest on liability for sale of future royalties of $8.6 million. These charges were partially offset by the sold portion of royalty revenue of $4.8 million. The net decrease in cash flows from operating assets and liabilities was primarily due to an increase of $8.9 million in accounts receivable, increase of $5.3 million in prepaid expenses and other current assets and a decrease of $5.3 million in deferred revenue.</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of $12.2 million for the six months ended June 30, 2025 was primarily due to the maturity of $101.8 million of debt securities, partially offset by the purchase of $88.1 million of debt securities.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$103.6 million for the six months ended June 30, 2024 was primarily due to the purchase of $187.4 million of debt securities and $5.4 million of property and equipment, partially offset by the maturity of $88.8 million of debt securities.</w:t>
      </w:r>
    </w:p>
    <w:p>
      <w:pPr>
        <w:spacing w:after="0" w:line="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of $4.1 million for the six months ended June 30, 2025 was primarily due to $4.4 million of payments to taxing authorities from equity withheld upon vesting of RSUs and stock options partially offset by $1.3 million in proceeds from our market price stock purchase plan and employee stock purchase plan.</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of $48.0 million for the six months ended June 30, 2024 was primarily due to principal and early extinguishment payments on the MidCap credit facility of $36.6 million and Mann Group convertible note of $8.9 million, and $4.7 million of payments to taxing authorities from equity withheld upon vesting of RSUs and stock options, partially offset by $2.3 million in proceeds from the market price stock purchase plan and employee stock purchase plan.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Future Liquidity Needs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will be able to meet our near-term liquidity needs based on our cash, cash equivalents and investments on hand, sales of Afrezza and V-Go, and royalties and manufacturing revenue from the production and sale of Tyvaso DPI as well as through debt or equity financing, if necessary, for our long-term liquidity needs. We expect to continue to incur expenditures for the foreseeable future in support of our manufacturing operations, sales and marketing costs for our products and development costs for other product candidates in our pipeline. As of June 30, 2025, we had capital resources comprised of cash, cash equivalents, short-term investments and long-term investments totaling $201.2 million, and total principal amount of outstanding borrowings of $36.3 million.</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We believe our resources will be sufficient to fund our operations for at least the next 12 months from the date of issuance of our condensed consolidated financial statements included in Part I – Financial Statements (Unaudited).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 xml:space="preserve">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 xml:space="preserve">The senior convertible notes have a fixed interest rate of 2.50%, and therefore the interest expense associated with such debt is not exposed to changes in market interest rates. See Note 8 –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for information about the principal amount of outstanding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We incur and will continue to incur significant expenditures for insulin supply obligations under our Insulin Supply Agreement.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 Euro. For the six months ended June 30, 2025, we realized a $7.9 million currency loss, which was reflected as loss on foreign currency transaction in the accompanying condensed consolidated statements of operations.</w:t>
      </w:r>
    </w:p>
    <w:p>
      <w:pPr>
        <w:spacing w:after="0" w:line="18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Exchange rate fluctuations may adversely affect our expenses, results of operations, financial position and cash flows. If a change in the U.S. dollar to Euro exchange rate equal to 10% of the U.S. dollar to Euro exchange rate on June 30, 2025 were to have occurred, this change would have resulted in a foreign currency impact to our pre-tax income of approximately $6.6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(the “Exchange Act”), as of June 30,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2025, our Chief Executive Officer and our Chief Financial Officer have concluded, as of such date, that our disclosure controls and procedures were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6" w:name="page47"/>
    <w:bookmarkEnd w:id="46"/>
    <w:p>
      <w:pPr>
        <w:ind w:left="458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legal proceedings and claims that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 See Note 14 –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in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immediately following the below summary, and should be carefully considered, together with other information in this Quarterly Report on Form 10-Q and our other filings with the SEC before making investment decisions regarding our common stock.</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that we or our collaboration partner are commercializing may only achieve a limited degree of commercial success.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risks may adversely affect our ability to manufacture our products and Tyvaso DPI, which could reduce our gross margin and profitability.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policies, including tariffs, sanctions and trade barriers may adversely affect our business, financial condition, results of operations and prospects.</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do not cover our approved products, such products might not be prescribed, used or purchased, which would adversely affect our revenues.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raise additional capital to fund our operations.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data or our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1"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our results of operations will fluctuate for the foreseeable future, which may make it difficult to predict our future performance from period to period.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testing of our products and product candidates may not yield successful results, and even if it does, we may still be unable to successfully commercialize our current or future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safety and efficacy of approved products may differ from clinical studies, which could negatively impact sales and could lead to reputational harm or other negative effects.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product candidates may be rendered obsolete by rapid technological change.</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undertake internal restructuring activities in the future that could result in disruptions to our business or otherwise materially harm our results of operations or financial condition.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7" w:name="page48"/>
    <w:bookmarkEnd w:id="47"/>
    <w:p>
      <w:pPr>
        <w:ind w:left="1020" w:right="80" w:hanging="503"/>
        <w:spacing w:after="0" w:line="26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71" w:lineRule="exact"/>
        <w:rPr>
          <w:rFonts w:ascii="Times New Roman" w:cs="Times New Roman" w:eastAsia="Times New Roman" w:hAnsi="Times New Roman"/>
          <w:sz w:val="18"/>
          <w:szCs w:val="18"/>
          <w:color w:val="auto"/>
        </w:rPr>
      </w:pPr>
    </w:p>
    <w:p>
      <w:pPr>
        <w:ind w:left="1020" w:right="640" w:hanging="503"/>
        <w:spacing w:after="0" w:line="266"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9" w:lineRule="exact"/>
        <w:rPr>
          <w:sz w:val="20"/>
          <w:szCs w:val="20"/>
          <w:color w:val="auto"/>
        </w:rPr>
      </w:pPr>
    </w:p>
    <w:p>
      <w:pPr>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ongoing government regulation.</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3"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9"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volatile.</w:t>
      </w:r>
    </w:p>
    <w:p>
      <w:pPr>
        <w:spacing w:after="0" w:line="117"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our common stock in the public market, or the perception that such sales may occur, may depress our stock price and adversely impact the market price of our common stock and other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21" w:lineRule="exact"/>
        <w:rPr>
          <w:sz w:val="20"/>
          <w:szCs w:val="20"/>
          <w:color w:val="auto"/>
        </w:rPr>
      </w:pPr>
    </w:p>
    <w:p>
      <w:pPr>
        <w:ind w:left="1020" w:right="40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economic and geopolitical conditions may have serious adverse consequences on our business, financial condition and stock price.</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products that we or our collaboration partner are commercializing may only achieve a limited degree of commercial success.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Successful commercialization of therapeutic products is subject to many risks, including some that are outside our control. There are numerous examples of failures to fully exploit the market potential of therapeutic products, including by biopharmaceutical and device companies with more experience and resources than us. Products that we commercialize ourselves (including any products that we may develop or acquire in the future) and the product that is commercialized by our current collaboration partner (including future products that may be commercialized by a collaboration partner) may not gain market acceptance among physicians, patients, third-party payers and the healthcare community. The degree of market acceptance of our or a collaboration partner’s products depends on many factors, including the following:</w:t>
      </w:r>
    </w:p>
    <w:p>
      <w:pPr>
        <w:spacing w:after="0" w:line="7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labeling claims;</w:t>
      </w:r>
    </w:p>
    <w:p>
      <w:pPr>
        <w:spacing w:after="0" w:line="117" w:lineRule="exact"/>
        <w:rPr>
          <w:rFonts w:ascii="Times New Roman" w:cs="Times New Roman" w:eastAsia="Times New Roman" w:hAnsi="Times New Roman"/>
          <w:sz w:val="18"/>
          <w:szCs w:val="18"/>
          <w:color w:val="auto"/>
        </w:rPr>
      </w:pPr>
    </w:p>
    <w:p>
      <w:pPr>
        <w:ind w:left="1020" w:right="2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efforts by us and/or any current or future collaboration or marketing partner to support and educate patients and physicians about the benefits and proper administration of our products, and the perceived advantages of our products and the disadvantages of competitive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the healthcare community and patients to adopt new technologies or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manufacture the product in sufficient quantities with acceptable quality and cost;</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of patients and the healthcare community, including third-party payers, regarding the safety, efficacy and benefits compared to competing products or therapies;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relative to existing treatment methods;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as well as pricing relative to other treatment therapeutics and methods;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distribution support.</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Because of these and other factors, the products described above may not gain market acceptance or otherwise be commercially successful. Failure to achieve market acceptance would limit our ability to generate revenue and would adversely affect our results of operations. We and our current or any future collaboration partner may need to enhance our/their commercialization capabilities in order to successfully commercialize such products in the United States or any other jurisdiction in which such product is approved for commercial sale, and we or the collaboration partner may not have sufficient resources to do so.</w:t>
      </w:r>
    </w:p>
    <w:p>
      <w:pPr>
        <w:spacing w:after="0" w:line="2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increase adoption and sales of our products, we need to continue to develop our commercial organization, including maintaining and growing a highly experienced and skilled workforce with qualified sales representatives.</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built a sales force that promotes our products to endocrinologists and selected primary care physicians. In order to successfully commercialize any approved products, we must continue to build our sales, marketing, distribution, managerial and other commercial capabilities. The market for skilled commercial personnel is highly competitive, and we may not be able to hire all of the personnel we need on a timely basis or retain them for a sufficient period. Factors that may hinder our ability to successfully market and commercially distribute our products include:</w:t>
      </w:r>
    </w:p>
    <w:p>
      <w:pPr>
        <w:spacing w:after="0" w:line="72"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retain and effectively manage adequate numbers of effective sales personnel;</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complementary products to be offered by sales personnel, which may put us at a competitive disadvantage relative to companies that have more extensive product lines;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delays, costs and expenses associated with maintaining our sales organization.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are unable to maintain an effective sales force for our products, including potential future products, we may not be able to generate sufficient product revenue in the United States. We are required to expend significant time and resources to train our sales force to educate physicians about our products. In addition, we must continually train our sales force and equip them with effective marketing materials to ensure that a consistent and appropriate message about our products is being delivered to our potential customers. We currently have limited resources compared to some of our competitors, and the continued development of our own commercial organization to market our products and any additional products we may develop or acquire will be expensive and time-consuming. We also cannot be certain that we will be able to continue to successfully develop this capability.</w:t>
      </w:r>
    </w:p>
    <w:p>
      <w:pPr>
        <w:spacing w:after="0" w:line="22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Similarly, if UT does not effectively engage or maintain its sales force for Tyvaso DPI, our ability to recognize royalties and manufacturing revenue from this collaboration will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Manufacturing risks may adversely affect our ability to manufacture our products and Tyvaso DPI, which could reduce our gross margin and profitability.*</w:t>
      </w:r>
    </w:p>
    <w:p>
      <w:pPr>
        <w:spacing w:after="0" w:line="5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Danbury, Connecticut facility, we assemble the inhalers from their individual molded parts, formulate both the Afrezza and Tyvaso DPI inhalation powders, fill plastic cartridges with the powders, package the cartridges into secondary packaging and assemble the final kits. If and when needed, we also utilize a contract packager to assemble final kits for commercial sale.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production to commercial batch sizes. These problems include difficulties with production costs, capacity utilization and yields. We may also experience shortages of qualified personnel, which could impact our ability to meet manufacturing requirements. In addition, there is a need to comply with strictly enforced federal, state and foreign regulations, including inspections. Our facility is inspected on a regular basis by the FDA. If the FDA makes any major observations during future inspections, the corrective actions required could be onerous and time-consuming.</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Any of these factors could cause us to delay or suspend production, could entail higher costs and may result in our being unable to obtain sufficient quantities for the commercialization of drug products at the costs that we currently anticipate. If we fail to deliver the required commercial quantities of the product on a timely basis, at commercially reasonable prices and at acceptable quality, and we were unable to promptly find on a timely basis one or more replacement manufacturers capable of production at a substantially equivalent cost, in substantially equivalent volume and quality, we would likely be unable to meet demand for such drug products and we would lose potential revenues.</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demand for our products increases, we may have to invest additional resources to purchase components, hire and train employees, and enhance our manufacturing processes. If we fail to increase our production capacity efficiently, our sales may not increase in line with our forecasts and our operating margins could fluctuate or decline. In addition, we may be unable to support commercialization of Tyvaso DPI.</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Unlike Afrezza and Tyvaso DPI, which are assembled and formulated domestically, V-Go is wholly manufactured on our behalf by contract manufacturers located in China. Our contract manufacturer uses MannKind-owned custom-designed, semi-automated manufacturing equipment and production lines to meet our quality requirements. Separate contract manufacturers in China perform release testing, sterilization, inspection and packaging functions. As a result, our V-Go business is subject to risks associated with doing business in China, including:</w:t>
      </w:r>
    </w:p>
    <w:p>
      <w:pPr>
        <w:spacing w:after="0" w:line="72" w:lineRule="exact"/>
        <w:rPr>
          <w:sz w:val="20"/>
          <w:szCs w:val="20"/>
          <w:color w:val="auto"/>
        </w:rPr>
      </w:pPr>
    </w:p>
    <w:p>
      <w:pPr>
        <w:ind w:left="1020" w:right="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political and economic conditions, particularly those potentially negatively affecting the trade relationship between the United States and China;</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and import and export licensing and control requirements, although in July 2025, we received a ruling from U.S. Customs and Border Protection that V-Go qualifies for duty-free treatment under subheading 9817.00.96 of the Harmonized Tariff Schedule of the United States (“HTSUS”);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negative consequences from changes in tax laws;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the Chinese legal system, including increased costs and uncertainties associated with enforcing contractual obligations in China;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lower protection of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unfavorable changes in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volatility in currency exchange rates;</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patient or physician preferences for more established pharmaceutical products and medical devices manufactured in the United States;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relationships and operations generally.</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These risks may be exacerbated by our limited experience with V-Go and its manufacturing processes. If V-Go does not continue to qualify for duty-free treatment, any tariffs that apply to imported goods from China could materially and adversely affect our margins on V-Go sales.</w:t>
      </w:r>
    </w:p>
    <w:p>
      <w:pPr>
        <w:spacing w:after="0" w:line="26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fail to deliver materials and services needed for commercial manufacturing in a timely and sufficient manner or fail to comply with applicable regulations, and if we fail to timely identify and qualify alternative suppliers, our business, financial</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 and results of operations would be harmed and the market price of our common stock and other securities could decline.*</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the commercial manufacture of inhaled drug products, we need access to sufficient, reliable and affordable supplies of raw materials for formulating powders, such as FDKP, as well as other components, such as the inhaler, the related cartridges and packaging materials. For Afrezza, we also require a supply of insulin. Currently, the only source of insulin that we have qualified for Afrezza is manufactured by Amphastar. We must rely on all of our suppliers to comply with relevant regulatory and other legal requirements, including the production of insulin and FDKP in accordance with cGMP for drug products, and the molding of the inhaler and cartridges components in accordance with QSRs.</w:t>
      </w:r>
    </w:p>
    <w:p>
      <w:pPr>
        <w:spacing w:after="0" w:line="18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For V-Go, we obtain parts from a small number of suppliers, including some parts and components that are purchased from single-source vendors. Depending on a limited number of suppliers exposes us to risks, including limited control over pricing, availability, quality and delivery schedules. In addition, we do not have long-term supply agreements with most of our suppliers and, in many cases, we make our purchases on a purchase order basis. Under many of our supply agreements, we have no obligation to buy any given quantity of components, and our suppliers have no obligation to manufacture for us or sell to us any given quantity of components.</w:t>
      </w:r>
    </w:p>
    <w:p>
      <w:pPr>
        <w:spacing w:after="0" w:line="18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Because we do not have long-standing relationships with all of our suppliers, we may not be able to convince them to continue to make components available to us unless there is demand for such components from their other customers. If any one or more of our suppliers cease to provide us with sufficient quantities of components in a timely manner or on pricing and quality terms acceptable to us, we would have to seek alternative sources of supply. Because of factors such as the proprietary nature of our products, our quality control standards and regulatory requirements, we cannot quickly engage additional or replacement suppliers for some of our critical components.</w:t>
      </w:r>
    </w:p>
    <w:p>
      <w:pPr>
        <w:spacing w:after="0" w:line="18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In addition, materials sourced from suppliers located outside the United States have or may become subject to tariffs under U.S. trade policies. Although our current inventories of such materials are sufficient to meet our projected production levels for 2025, our manufacturing costs may be impacted by any prevailing tariffs on imports at the time such materials enter the United States. Components made domestically from imported materials, such as steel and aluminum, that are currently subject to tariffs are also expected to become more expensive in the future. These and any future tariffs will increase our cost of goods and decrease our operating margins.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meet the requirements of the FDA or other regulatory agencies.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production.</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result, our ability to purchase adequate quantities of the components for our products may be limited. Additionally, our suppliers may encounter problems that limit their ability to manufacture components for us, including financial difficulties or damage to their manufacturing equipment or facilities.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8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w:t>
      </w:r>
    </w:p>
    <w:p>
      <w:pPr>
        <w:spacing w:after="0" w:line="18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While we manufacture Afrezza and Tyvaso DPI in our Danbury, Connecticut facility, we source raw materials, chemicals, device components, and specialized equipment from international suppliers. In addition, V-Go is manufactured for us by contract manufacturers in China. Tariff policies, particularly those affecting China and pharmaceutical products, could materially increase our</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1" w:name="page52"/>
    <w:bookmarkEnd w:id="51"/>
    <w:p>
      <w:pPr>
        <w:ind w:right="160"/>
        <w:spacing w:after="0" w:line="282" w:lineRule="auto"/>
        <w:rPr>
          <w:sz w:val="20"/>
          <w:szCs w:val="20"/>
          <w:color w:val="auto"/>
        </w:rPr>
      </w:pPr>
      <w:r>
        <w:rPr>
          <w:rFonts w:ascii="Times New Roman" w:cs="Times New Roman" w:eastAsia="Times New Roman" w:hAnsi="Times New Roman"/>
          <w:sz w:val="18"/>
          <w:szCs w:val="18"/>
          <w:color w:val="auto"/>
        </w:rPr>
        <w:t>costs and reduce our profitability. Recent and potential future changes in international trade policies, particularly regarding U.S.-China trade relations and pharmaceutical-specific tariffs, present material risks to our operations and financial performance.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Recent and potential future changes in international trade policies, particularly regarding pharmaceutical-specific tariffs, present material risks to our operations and financial performance. While we manufacture Afrezza and Tyvaso DPI in our Danbury, Connecticut facility, we source raw materials, chemicals, device components, and specialized equipment from international suppliers. In addition, V-Go is manufactured for us by contract manufacturers in China, although this product is currently eligible for duty-free treatment under a specific exemption in the HTSUS.</w:t>
      </w:r>
    </w:p>
    <w:p>
      <w:pPr>
        <w:spacing w:after="0" w:line="180"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ability to pass increased costs to customers is limited by the structure of pharmaceutical and medical device pricing and reimbursement systems. Pricing for our products is established through annual or multi-year contracts with commercial, third-party payers and pharmacy benefit managers, customers, and group purchasing organizations, and reimbursement methodologies established by government programs, such as Medicare. These arrangements typically include fixed pricing terms that were negotiated prior to the implementation of the recently announced tariffs. As a result, and depending on the timing and scope of the implementation of these tariffs, cost increases due to tariffs may be difficult or impossible to pass through to customers until the next negotiation cycle, which could be up to 36 months away.</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Current or future tariffs will also result in increased manufacturing expense, as well as research and development expenses, including with respect to increased costs associated with APIs, raw materials, laboratory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royalty revenue and results of operations may also be adversely impacted if our marketing and collaboration partner, United Therapeutics, is adversely impacted by any of the factors described above.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 addition, tariffs and other trade developments have and may continue to heighten the risks related to the other risk factors described elsewhere in this report.</w:t>
      </w:r>
    </w:p>
    <w:p>
      <w:pPr>
        <w:spacing w:after="0" w:line="26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payers do not cover our approved products, such products might not be prescribed, used or purchased, which would adversely affect our revenues.*</w:t>
      </w:r>
    </w:p>
    <w:p>
      <w:pPr>
        <w:spacing w:after="0" w:line="5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the United States and elsewhere, sales of prescription pharmaceuticals depend in large part on the availability of coverage and adequate reimbursement to the consumer from third-party payers, such as government health administration authorities and private insurance plans. In general, patients are less likely to use our products unless coverage is provided and reimbursement is adequate to cover a significant portion of the cost of our products. Third-party payers are increasingly challenging the prices charged for medical products and services. The market for our approved products depends significantly on access to third-party payers’ formularies, which are the lists of medications and devices for which third-party payers provide coverage and reimbursement. The industry competition to be included in such formularies often leads to downward pricing pressures on pharmaceutical and device companies. Also, third-party payers may refuse to include a particular branded product in their formularies or otherwise restrict patient access to a branded product when a less costly generic equivalent or other alternative is available. Because each third-party payer individually approves coverage and reimbursement levels, obtaining coverage and adequate reimbursement is a time-consuming and costly process. We may be required to provide scientific and clinical support for the use of any product to each third-party payer separately with no assurance that approval would be obtained. Even if favorable coverage and reimbursement status is attained from some payers for our products, less favorable coverage policies and reimbursement rates may be implemented in the future. Such less favorable coverage could impact the market acceptance of any product and could have a negative effect on our revenues and operating results. Even if we succeed in bringing more products to market, we cannot be certain that any such products would be considered cost-effective or that coverage and adequate reimbursement to the consumer would be available.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140"/>
        <w:spacing w:after="0" w:line="254"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Inflation Reduction Act of 2022 (“IRA”) limited insulin copays to $35 per month for Medicare Part D beneficiaries starting in 2023. In certain foreign markets, the pricing of prescription pharmaceuticals is subject to direct governmental control.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or any collaboration partner is unable to obtain and maintain coverage of, and adequate third-party reimbursement for, our approved products, physicians may limit how much or under what circumstances they will prescribe or administer them and patients may decline to purchase them. This in turn could affect our or any collaboration partner’s ability to successfully commercialize such products and would impact our profitability, results of operations, financial condition, and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to fund our operations.*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our products and the development of our product candidates. It may be difficult for us to raise additional funds on favorable terms, or at all. The extent of our additional funding requirements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we are able to generate revenue from products that we or a collaboration partner commercialize;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Afrezza;</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by any or all of the holders of our senior convertible notes to require us to repay or repurchase such debt securities if and when required;</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or refinance existing indebtedness, and the extent to which our senior convertible notes or any other convertible debt securities we may issue are converted into or exchanged for shares of our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of our clinical studies and R&amp;D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procuring raw materials and operating our manufacturing facility;</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the FDA and other regulatory authorities affecting Afrezza, V-Go, Tyvaso DPI, our product candidates or competitive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market developments;</w:t>
      </w:r>
    </w:p>
    <w:p>
      <w:pPr>
        <w:spacing w:after="0" w:line="117"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maintaining and enforcing patent claims and other intellectual property rights or defending against claims of infringement by others;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legal and litigation expenses;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raised capital in the past through borrowings and the sale of equity and debt securities and the sale of certain assets. In the future, we may pursue the sale of additional equity, debt securities and/or assets, or the establishment of other funding facilities including asset-based borrowings. There can be no assurances, however, that we will be able to raise additional capital in the future on acceptable terms, or at all. Volatility and disruptions of the global supply chain and financial markets, if sustained or recurrent, could prevent us or make it more difficult for us to access capital.</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Issuances of additional debt or equity securities or the issuance of common stock upon conversion of outstanding convertible debt securities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200"/>
        <w:spacing w:after="0" w:line="261" w:lineRule="auto"/>
        <w:rPr>
          <w:sz w:val="20"/>
          <w:szCs w:val="20"/>
          <w:color w:val="auto"/>
        </w:rPr>
      </w:pPr>
      <w:r>
        <w:rPr>
          <w:rFonts w:ascii="Times New Roman" w:cs="Times New Roman" w:eastAsia="Times New Roman" w:hAnsi="Times New Roman"/>
          <w:sz w:val="18"/>
          <w:szCs w:val="18"/>
          <w:color w:val="auto"/>
        </w:rPr>
        <w:t>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w:t>
      </w:r>
    </w:p>
    <w:p>
      <w:pPr>
        <w:spacing w:after="0" w:line="17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18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data or information technology systems, or those of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6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and third parties with whom we work, employ and are increasingly dependent upon information technology systems, infrastructure, applications, websites and other resources. Our business, and that of the third parties with whom we work, requires collecting, receiving, manipulating, analyzing, storing, processing, generating, using, disclosing, protecting, securing, transmitting, sharing, disposing of, and making accessible (collectively “processing”) large amounts of data, including proprietary, confidential and sensitive data (such as personal or health-related data), intellectual property, and trade secrets (collectively, “sensitive information”). As a result, we and the third parties with whom we work face a variety of evolving threats that could cause security incidents.</w:t>
      </w:r>
    </w:p>
    <w:p>
      <w:pPr>
        <w:spacing w:after="0" w:line="18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increase, are increasingly difficult to detect, and come from a variety of sources, including traditional computer “hackers,” threat actors “hacktivists,” organized criminal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may be subject to physical threats, such as telecommunications failures, earthquakes, fires or floods, as well as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(such as credential stuffing), credentials harvesting, personnel misconduct or error, ransomware attacks, supply-chain attacks, software bugs, server malfunctions, software or hardware failures, loss of data or other information technology assets, adware, attacks enhanced or facilitated by artificial intelligence,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Some of our workforce works remotely, which also poses increased risks to our information technology systems and data, as employees working from home, in transit or in public locations, utilize network connections, computers and devices outside our premises or network.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0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 cloud-based infrastructure, data center facilities, encryption and authentication technology, employee email and productivity software, and other functions. We also rely on third-party service providers to provide other products or services, or otherwise to operate our business. Our business, including our ability to manufacture drug products and conduct clinical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t>trials, therefore depends on the continuous, effective, reliable and secure operation of our information technology resources and those of third parties with whom we work, including computer hardware, software, networks, Internet servers and related infrastructure.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In particular,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 While we may be entitled to damages if our third-party service providers fail to satisfy their privacy or security-related obligations to us, any award may be insufficient to cover our damages, or we may be unable to recover such award.</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technology systems (such as our hardware and/or software, including that of third parties with whom we work), but we may not be able to detect, mitigate, and remediate all such vulnerabilities on a timely basis. It may also be difficult and/or costly to detect, investigate, mitigate, contain, and remediate a security incident. Further, we may experience delays in developing and deploying remedial measures and patches designed to address identified vulnerabilities, which could be exploited and result in a security incident.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A security incident or other interruption could disrupt our ability (and that of third parties with whom we work) to provide our products. We may expend significant resources or modify our business activities (including our clinical trial activities) to try to protect against security incidents. Certain data privacy and security obligations have required us to implement and maintain specific security measures, industry-standards or reasonable security measures to protect our information technology systems and sensitive information.</w:t>
      </w:r>
    </w:p>
    <w:p>
      <w:pPr>
        <w:spacing w:after="0" w:line="1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For example, although we have not directly experienced a cyberattack, third parties with whom we work have experienced security incidents, such as the SolarWinds attack in December 2020, the ransomware attack on Kronos Private Cloud in December 2021 and the Change Healthcare data breach in February 2024. In all of these cases, we were able to apply software patches or move operations to a new provider in order to avoid any negative impact on our operations or the sensitive information we may process. Nonetheless, these incidents illustrate that despite our efforts to identify and remediate vulnerabilities, if any, in our information technology systems and those of third parties with whom we work, our efforts may not be successful.</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disclosures or the failure to comply with such applicable requirements could lead to adverse consequences. If we (or a third party with whom we work) experience a security incident or are perceived to have experienced a security incident, we may experience material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material attendant consequences may cause customers to stop using our products, deter new customers from using our products, and negatively impact our ability to grow and operate our business. Additionally, 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cybersecurity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Sensitive information of the Company or our customers could also be leaked, disclosed, or revealed as a result of or in connection with the use of generative artificial intelligence (“AI”) technologies by our employees, personnel or vendors.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15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In addition, the current inflationary environment related to increased aggregate demand and supply chain constraints has the potential to adversely affect our operating expenses.</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believe that comparisons from period to period of our financial results are not necessarily meaningful and should not be relied upon as indications of our future performance.</w:t>
      </w:r>
    </w:p>
    <w:p>
      <w:pPr>
        <w:spacing w:after="0" w:line="266" w:lineRule="exact"/>
        <w:rPr>
          <w:sz w:val="20"/>
          <w:szCs w:val="20"/>
          <w:color w:val="auto"/>
        </w:rPr>
      </w:pPr>
    </w:p>
    <w:p>
      <w:pPr>
        <w:ind w:right="5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Blackstone Credit Facility contains restrictive covenants that may materially limit our operating flexibility. A default under the instruments governing our indebtedness, including the Blackstone Credit Facility, could materially and adversely affect our financial position.*</w:t>
      </w:r>
    </w:p>
    <w:p>
      <w:pPr>
        <w:spacing w:after="0" w:line="2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Blackstone Credit Facility requires us, and any debt arrangements we may enter into in the future may require us, to comply with various covenants that limit our ability to, among other things:</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mergers or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or modify existing debt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certain material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additional lines of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to holders of our capital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certain key management personnel or organizational documents;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our affiliates.</w:t>
      </w:r>
    </w:p>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addition, the Blackstone Credit Facility requires us to maintain at least $40.0 million of liquidity, tested quarterly, with liquidity defined as our unrestricted cash and cash equivalents held in collateral accounts of the lenders. The covenants in the Blackstone Credit Facility could prevent us from pursuing business opportunities that we or our stockholders may consider beneficial.</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obligations under the Blackstone Credit Facility are guaranteed and secured by a security interest in substantially all of our assets, including intellectual property. A breach of any of these covenants could result in an event of default under the Blackstone Credit Facility. If we default under our obligations under the Blackstone Credit Facility, the lenders could proceed against the collateral granted to them to secure our indebtedness or declare all obligations under the Blackstone Credit Facility to be due and payable. In certain circumstances, procedures by the lenders could result in a loss by us of all of our equipment and inventory, which are included in the collateral granted to the lenders.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There can be no assurance that we will have sufficient resources to make any required repayments of principal and interest under the terms of our indebtedness when required. If we fail to pay interest on the Blackstone Credit Facility when required or principal at maturity, we will be in default and may also suffer an event of default under the terms of other borrowing arrangements that we may enter into from time to time. In addition, a default under our senior convertible notes would constitute an event of default under the Blackstone Credit Facility. Any of these events could have a material adverse effect on our business, results of operations and financial condition, up to and including lenders initiating bankruptcy proceedings or causing us to cease operations altogether.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6" w:name="page57"/>
    <w:bookmarkEnd w:id="56"/>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and may not generate positive or sufficient cash flow from operations in the future which may have an adverse impact on our working capital, total assets and stockholders' equity and our ability to service all of our indebtedness and commitments.*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achieve and sustain positive cash flow from operations and profitability depends heavily upon successfully commercializing our products, and although we had positive cash flows from operations and net income in the year ended December 31, 2024, we may not continue to generate positive cash flow from operations or be profitable in the future. In addition, we cannot assure you that we will maintain a level of cash flows from operating activities sufficient to permit us to make scheduled payments on our insulin purchase commitments and debt obligations. If our cash flows and capital resources are insufficient to fund our obligations, we may be forced to reduce or delay capital expenditures, sell assets or operations, seek additional capital or restructure or refinance our obligations. In the past, we have had losses that have had, and we may in the future have losses that have, an adverse impact on our working capital, total assets and stockholders’ equity.</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June 30, 2025, we had an accumulated deficit of $3.2 billion. The accumulated deficit has resulted principally from costs incurred in our R&amp;D programs, the write-off of assets (including goodwill, inventory and property, plant and equipment) and general operating expenses. We expect to make substantial expenditures and may incur operating losses in the future in order to continue commercializing our products and to advance development of product candidates in our pipeline.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we may from time to time seek to retire or purchase our outstanding debt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For example, in December 2024, we exchanged an aggregate principal amount of approximately $193.7 million of our senior convertible notes for 26,749,559 shares of our common stock and a cash payment of approximately $89.2 million, and we may seek to retire or purchase the remaining senior convertible notes.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29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product sales, results of operations and ability to access capital could be adversely affected by the effects of health pandemics or epidemics, in regions where we or third parties distribute our products or where we or third parties on which we rely have significant manufacturing facilities, concentrations of clinical trial sites or other business operations.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 regions where we have business operations, and we could experience significant disruptions in the operations of third-party manufacturers and distributors upon whom we rely. For example, sales and demand for Afrezza were adversely affected by the global COVID-19 pandemic, and future pandemics or epidemics could adversely affect the demand for and sales of our products in the future. Quarantines, shelter-in-place and similar government orders, or the perception that such orders, shutdowns or other restrictions on the conduct of business operations could occur, related to infectious diseases, could impact personnel at third-party manufacturing facilities in the United States and other countries, or the availability or cost of materials, which would disrupt our supply chain. In addition, our contract manufacturers in China could be impacted by that country’s policy of strict lockdowns in order to reduce the spread of disease. Disruptions in sales and demand for our products would be expected to occur:</w:t>
      </w:r>
    </w:p>
    <w:p>
      <w:pPr>
        <w:spacing w:after="0" w:line="8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are physically quarantined or are unable or unwilling to visit healthcare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restrict access to their facilities for a material period of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healthcare providers prioritize treatment of acute or communicable illnesses over chronic disease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pharmacies are closed or suffering supply chain disruptions,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patients lose access to employer-sponsored health insurance due to periods of high unemployment, or</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general disruptions in the operations of payers, distributors, logistics providers and other third parties that are necessary for our products to be prescribed and reimbursed.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Clinical trials of our products were delayed as a result of the COVID-19 pandemic and may be affected by a future health pandemic or epidemic. Clinical site initiation and patient enrollment may be delayed due to prioritization of hospital resources toward the health pandemic or epidemic. Some patients may not be able or willing to comply with clinical trial protocols if quarantines impede patient movement or interrupt healthcare services. Similarly, our ability to recruit and retain patients and principal investigators and site staff would adversely impact our clinical trial operations.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pandemic or epidemic also has the potential for disruption of global financial markets. This disruption, if sustained or recurrent, could make it more difficult for us to access capital, which could negatively affect our liquidity. In addition, a recession or market correction as a result of a health pandemic or epidemic could materially affect our business and the value of our common stock.</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7" w:name="page58"/>
    <w:bookmarkEnd w:id="57"/>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regulatory approval of our products in foreign jurisdictions, we will not be able to market in such jurisdictions, which could limit our commercial revenues. We may not be able to establish additional regional partnerships or other arrangements with third parties for the commercialization of our products outside of the United States.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Afrezza has been approved in the United States, Brazil and India, but we have not yet obtained approval in any other jurisdiction. Similarly, V-Go has received 510(k) clearance from the FDA, but has not received a comparable approval in any other country. In order to market our products in a foreign jurisdiction, we must obtain regulatory approval in each such foreign jurisdiction, and we may never be able to obtain such approvals. The research, testing, manufacturing, labeling, sale, import, export, marketing, and distribution of therapeutic products outside the United States are subject to extensive regulation by foreign regulatory authorities, whose regulations differ from country to country. We will be required to comply with the different regulations and policies of the jurisdictions where we seek approval for our products, and we have not yet identified all of the requirements that we will need to satisfy to submit our products for approval for other jurisdictions. This will require additional time, expertise and expense, including the potential need to conduct additional studies or development work for other jurisdictions beyond the work that we have conducted to support the approval of our products in the United States.</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Our current strategy for the future commercialization of our products outside of the United States, subject to receipt of the necessary regulatory approvals, is to seek, establish and maintain regional partnerships in foreign jurisdictions where there are commercial opportunities. It may be difficult to find or maintain collaboration partners that are able and willing to devote the time and resources necessary to successfully commercialize our products.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our products in foreign jurisdictions and could have a material and adverse impact on our business, financial condition and results of operations and the market price of our common stock and other securities could decline.</w:t>
      </w:r>
    </w:p>
    <w:p>
      <w:pPr>
        <w:spacing w:after="0" w:line="2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testing of our products and product candidates may not yield successful results, and even if it does, we may still be unable to successfully commercialize our current or future products.</w:t>
      </w:r>
    </w:p>
    <w:p>
      <w:pPr>
        <w:spacing w:after="0" w:line="5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have generally sought to develop product candidates through our internal research programs. All product candidates require preclinical, clinical and other testing prior to seeking regulatory approval to market them. Accordingly, the development timelines for product candidates can stretch over many years. Further research and development on these programs requires significant financial resources. Given our limited financial resources, we may not be able to complete the full clinical development of our product candidates unless we are able to obtain specific funding for these programs or enter into collaborations with third parties.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68" w:lineRule="exact"/>
        <w:rPr>
          <w:sz w:val="20"/>
          <w:szCs w:val="20"/>
          <w:color w:val="auto"/>
        </w:rPr>
      </w:pPr>
    </w:p>
    <w:p>
      <w:pPr>
        <w:ind w:left="1020" w:right="20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data collected from clinical studies of our products and product candidates may not reach the statistical significance necessary, or otherwise be sufficient to support FDA or other regulatory approval for the claimed indications;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reviewing clinical data, we or any collaborators may abandon projects that we previously believed were promising;</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53"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a result of any of these events, we, any collaborator, the FDA, or any other regulatory authorities may suspend or terminate clinical studies or marketing of any of our products or product candidates at any time. Any suspension or termination of our clinical studies or marketing activities may harm our business, financial condition and results of operations and the market price of our common stock and other securities may decline.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7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costs and results of our clinical studies and preclinical research and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enroll patients who meet clinical study eligibility criteria;</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sufficient, reliable and affordable supplies of components used in the manufacture of our product candidates or to source clinical supplies from contract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expanding and maintaining manufacturing operations, as necessary;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clinical studies compete for clinical sites and eligible subjects with clinical studies sponsored by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regulators; and</w:t>
      </w:r>
    </w:p>
    <w:p>
      <w:pPr>
        <w:spacing w:after="0" w:line="117"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geopolitical conflicts, man-made or natural disasters or public health pandemics or epidemics or other business interruptions.</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we fail to commence or complete, or experience delays in or are forced to curtail, our proposed development programs or otherwise fail to adhere to our projected development goals in the timeframes we expect (or within the timeframes expected by analysts or investors), our business, financial condition and results of operations may be harmed and the market price of our common stock and other securities may decline. In addition, we may be delayed or prevented from generating revenues from milestone or other payments that depend on our ability to achieve any milestone obligations specified in an out-licensing arrangement.</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long-term safety and efficacy of approved products may differ from clinical studies, which could negatively impact sales and could lead to reputational harm or other negative effects.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effects of approved therapeutic products over terms longer than the clinical studies or in much larger populations may not be consistent with earlier clinical results. If long-term use of an approved therapeutic product results in adverse health effects or reduced efficacy or both, the FDA or other regulatory agencies may terminate our or any collaboration partner’s ability to market and sell the product, may narrow the approved indications for use or otherwise require restrictive product labeling or marketing, or may require further clinical studies, which may be time-consuming and expensive and may not produce favorable results.</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V-Go received pre-market clearance in 2010 under Section 510(k) of the U.S. Federal Food, Drug, and Cosmetic Act ("FDCA"). This process typically requires the submission of less supporting documentation than other FDA approval processes and does not always require long-term clinical studies. As a result, we currently lack significant published long-term clinical data supporting the safety and efficacy of V-Go and the benefits it offers that might have been generated in connection with other approval processes. For these reasons, adults who require insulin and their healthcare providers may be slower to adopt or recommend V-Go, we may not have comparative data that our competitors have or are generating, and third-party payers may not be willing to provide coverage or reimbursement for V-Go. Further, future studies or clinical experience may indicate that treatment with V-Go is not superior to treatment with competitive products. Such results could slow the adoption of V-Go and significantly reduce our sales, which could prevent us from achieving our forecasted sales targets or achieving or sustaining profitability. Moreover, if future results and experience indicate that V-Go causes unexpected or serious complications or other unforeseen negative effects, we could be subject to mandatory product recalls, suspension or withdrawal of FDA clearance or approval, significant legal liability or harm to our business reputation.</w:t>
      </w:r>
    </w:p>
    <w:p>
      <w:pPr>
        <w:spacing w:after="0" w:line="2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of any future acquisition or strategic transaction; we may be unable to successfully integrate new products, technologies or businesses we may acquire.</w:t>
      </w:r>
    </w:p>
    <w:p>
      <w:pPr>
        <w:spacing w:after="0" w:line="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periodically evaluate and pursue acquisition of therapeutic products or product candidates and technologies. The integration of any acquired business, product, technology or other assets into our company may be complex and time-consuming and, if such businesses, products, technologies or assets are not successfully integrated, we may not achieve the anticipated benefits, cost-savings or growth opportunities. Potential difficulties that may be encountered in the integration process include the following:</w:t>
      </w:r>
    </w:p>
    <w:p>
      <w:pPr>
        <w:spacing w:after="0" w:line="72" w:lineRule="exact"/>
        <w:rPr>
          <w:sz w:val="20"/>
          <w:szCs w:val="20"/>
          <w:color w:val="auto"/>
        </w:rPr>
      </w:pPr>
    </w:p>
    <w:p>
      <w:pPr>
        <w:ind w:left="5540" w:right="4500" w:hanging="5023"/>
        <w:spacing w:after="0" w:line="532" w:lineRule="auto"/>
        <w:tabs>
          <w:tab w:leader="none" w:pos="103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assets, companies or joint ventures;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9" w:name="page60"/>
    <w:bookmarkEnd w:id="59"/>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operations and systems, while maintaining focus on producing and delivering consistent, high quality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attracting new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inefficiencies associated with integrating the operations of our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assets, businesses or joint ventures.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Furthermore, these acquisitions and other arrangements, even if successfully integrated, may fail to further our business strategy as anticipated, expose us to increased competition or challenges with respect to our products or geographic markets, and expose us to additional liabilities associated with an acquired business, product, technology or other asset or arrangement. Any one of these challenges or risks could impair our ability to realize any benefit from our acquisitions or arrangements after we have expended resources on them.</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Future acquisitions or dispositions could also result in potentially dilutive issuances of our equity securities, the incurrence of debt, contingent liabilities or amortization expenses or write-offs of goodwill, any of which could harm our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product candidates may be rendered obsolete by rapid technological change.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rapid rate of scientific discoveries and technological changes could result in our approved products or one or more of our product candidates becoming obsolete or noncompetitive. Our competitors may develop or introduce new products that render our technology or products less competitive, uneconomical or obsolete. Our future success may depend not only on our ability to develop our product candidates, but also our ability to improve them in order to keep pace with emerging industry developments. We cannot assure you that we will be able to do so.</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our approved products.</w:t>
      </w:r>
    </w:p>
    <w:p>
      <w:pPr>
        <w:spacing w:after="0" w:line="5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There are a number of clinical studies being conducted by other pharmaceutical companies involving compounds similar to, or potentially competitive with, our product candidates. Adverse results reported by these other companies in their clinical studies or by companies that use our proprietary formulation and inhaler technologies could delay or prevent us from obtaining regulatory approval, may subject our products to class warnings in their labels or negatively impact public perception of our product candidates, which could harm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product liability claims are brought against us, we may incur significant liabilities and suffer damage to our reputation.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testing, manufacturing, marketing and sales of our products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as well as an errors and omissions policy in the amount of $1.0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any key employees, our operations and our ability to execute our business strategy could be materially harmed.</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we may be required to expand our workforce.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2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51"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or modifications in financial accounting standards may harm our results of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29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annual reconciliation bill signed into law on July 4, 2025, commonly referred to as the One Big Beautiful Bill Act (“OBBBA”), the IRA, the Coronavirus Aid, Relief, and Economic Security Act and legislation informally titled the Tax Cuts and Jobs Act enacted made significant changes to the U.S. tax laws. For example, the Tax Cuts and Jobs Act of 2017 (the "Tax Act") required taxpayers to capitalize and amortize U.S.-based and non-U.S.-based research and experimental, or R&amp;E, expenditures over five and fifteen years, respectively. The OBBBA restored the deductibility of domestic R&amp;E expenditures in the year incurred for tax years beginning after December 31, 2024, but retained the capitalization and amortization requirement for foreign R&amp;E expenditures. Further guidance from the Internal Revenue Service and other tax authorities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1" w:name="page62"/>
    <w:bookmarkEnd w:id="61"/>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with respect to such legislation may affect us, and certain aspects of any legislation could be repealed, modified or sunset in future years. In addition, it is uncertain if and to what extent various states will conform to federal tax laws. Future tax reform legislation could have a material impact on the value of our deferred tax assets and could increase our future U.S. tax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to offset future taxable income may be subject to limitations.</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federal and state net operating loss carryforwards of approximately $1.9 billion and $1.3 billion available, respectively, to reduce future taxable income. $492.9 million of the federal net operating loss carryforwards do not expire and the remaining federal net operating loss carryforwards will begin expiring in 2026 through various future dates.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Internal Revenue Code Sections 382 and 383, annual use of the Company’s federal and California net operating loss and research and development credit carryforwards may be limited in the event a cumulative change in ownership of more than 50% occurs within a three-year period. As a result of the Company's initial public offering, an ownership change within the meaning of Section 382 occurred in August 2004. As a result, federal net operating loss and credit carryforwards of approximately $105.8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December 31, 2024, to determine whether additional limitations apply to the net operating loss carryforwards and other tax attributes, and no additional changes in ownership that met the Section 382 study ownership change threshold have been identified through December 31, 2024. There is a risk that changes in ownership may occur in tax years after December 31, 2024. If a change in ownership were to occur, our net operating loss carryforwards and other tax attributes could be further limited or restricted. If limited,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U.S. will not impact the Company’s effective tax rate.</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2024 through 2026. As a result, if we earn net taxable income, we may be unable to use all or a material portion of our net operating loss carryforwards and other tax attributes, which could potentially result in increased future tax liability to us and adversely affect our future cash flows.</w:t>
      </w:r>
    </w:p>
    <w:p>
      <w:pPr>
        <w:spacing w:after="0" w:line="28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We deal with hazardous materials and must comply with environmental laws and regulations, which can be expensive and restrict how we do business.</w:t>
      </w:r>
    </w:p>
    <w:p>
      <w:pPr>
        <w:spacing w:after="0" w:line="12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Our research and development work involves the controlled storage and use of hazardous materials, including chemical and biological materials.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When we purchased our facility in Connecticut in 2001, a soil and groundwater investigation and remediation was being conducted by a former site operator (a “responsible party”) under the oversight of the Connecticut Department of Energy &amp; Environmental Protection (formerly the Connecticut Department of Environmental Protection), which investigation and remediation is ongoing. The former site operator and responsible party will make further filings necessary to achieve closure for the environmental investigation and remediation it has conducted at the site, and has agreed to indemnify us for any future costs and expenses we may incur that are directly related to its prior operations at the facility. If we are unable to collect these future costs and expenses, if any, from the responsible party, our business, financial condition and results of operations may be harmed. When we sold a portion of the property upon which our facility is located to the entity that is now our landlord, we became an additional responsible party for any environmental investigation and remediation on that portion of the property, including with respect to investigation or remediation that may be required as a result of our activities since 2001. To date, we have not identified any material environmental investigation or remediation activities that we are required to perform.</w:t>
      </w:r>
    </w:p>
    <w:p>
      <w:pPr>
        <w:spacing w:after="0" w:line="292"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staffing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Disruptions or significant changes in staffing levels at the FDA and other agencies may also slow the time necessary for new drugs to be reviewed and/or approved by necessary government agencies, which would adversely affect our business. For example, over the last decade, the U.S. government has shut down several times and certain regulatory agencies, such as the FDA and the SEC, have had to furlough critical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at banking institutions in the United States that we believe are of high quality. Cash held in these accounts often exceed the Federal Deposit Insurance Corporation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develop in the review and approval by a regulatory agency may subject us to unanticipated delays or prevent us from marketing any products.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for product candidates, as well as the manufacturing and marketing of approved products,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6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manufacture and testing;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storage and shipping;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or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requirements governing the conduct of clinical studies as well as the manufacturing and marketing of drug products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6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Even if we comply with regulatory requirements, we may not be able to obtain the labeling claims necessary or desirable for product promotion. We may also be required to undertake post-marketing studies.</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ongoing government regulation.</w:t>
      </w:r>
    </w:p>
    <w:p>
      <w:pPr>
        <w:spacing w:after="0" w:line="121"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FDA and comparable foreign regulatory authorities subject any approved therapeutic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good clinical practice guidelines for any clinical trials that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4" w:name="page65"/>
    <w:bookmarkEnd w:id="64"/>
    <w:p>
      <w:pPr>
        <w:ind w:right="180"/>
        <w:spacing w:after="0" w:line="282" w:lineRule="auto"/>
        <w:rPr>
          <w:sz w:val="20"/>
          <w:szCs w:val="20"/>
          <w:color w:val="auto"/>
        </w:rPr>
      </w:pPr>
      <w:r>
        <w:rPr>
          <w:rFonts w:ascii="Times New Roman" w:cs="Times New Roman" w:eastAsia="Times New Roman" w:hAnsi="Times New Roman"/>
          <w:sz w:val="18"/>
          <w:szCs w:val="18"/>
          <w:color w:val="auto"/>
        </w:rPr>
        <w:t>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54" w:lineRule="exact"/>
        <w:rPr>
          <w:sz w:val="20"/>
          <w:szCs w:val="20"/>
          <w:color w:val="auto"/>
        </w:rPr>
      </w:pPr>
    </w:p>
    <w:p>
      <w:pPr>
        <w:ind w:left="1020" w:right="66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approved labeling to add new safety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are required to register our establishments and list our products with the FDA and certain state agencies. We and any third-party manufacturers or suppliers must continually adhere to federal regulations setting forth cGMP (for drugs) and QSR (for medical devices), and their foreign equivalents, which are enforced by the FDA and other national regulatory bodies through their facilities inspection programs. In complying with cGMP and foreign regulatory requirements, we and any of our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part of the approval of Afrezza, the FDA required us to conduct certain additional clinical studies of Afrezza, including a long-term safety study that was originally intended to compare the incidence of pulmonary malignancy observed with Afrezza to that observed in a standard of care control group. We have an ongoing dialogue with the FDA regarding the agency’s current interest in the long-term safety of Afrezza and an appropriate study design or registry to address any concerns. To date, we have not commenced a long-term safety study or budgeted any amount for it, but such a study in its original design would be anticipated to require substantial capital resources that we may not be able to obtain.</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FDA and other regulatory authorities impose significant restrictions on approved products through regulations on advertising, promotional and distribution activities. This oversight encompasses, but is not limited to, direct-to-consumer advertising, healthcare provider-directed advertising and promotion, sales representative communications to healthcare professionals, promotional programming and promotional activities involving the Internet. Regulatory authorities may also review industry-sponsored scientific and educational activities that make representations regarding product safety or efficacy in a promotional context. Prescription drugs may be promoted only for the approved indications in accordance with the approved label. The FDA and other regulatory authorities may take enforcement action against a company for promoting unapproved uses of a product or for other violations of its advertising and labeling laws and regulations.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Enforcement action may include product seizures, injunctions, significant civil or criminal penalties or regulatory letters, which may require corrective advertising or other corrective communications to healthcare professionals. Failure to comply with such regulations also can result in adverse publicity or increased scrutiny of company activities by the U.S. Congress or other legislators. Certain states have also adopted regulations and reporting requirements surrounding the promotion of pharmaceuticals. Failure to comply with state requirements may affect our ability to promote or sell our products in certain states.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delay the submission or review of an application or require additional expenditures by us. In addition, interested parties (such as individuals, advocacy groups and competing pharmaceutical companies) can file a citizen petition with the FDA to request policy change or some form of administrative action on the FDA’s part, including with respect to a New Drug Application ("NDA"). For example, in July 2021, a third party submitted a citizen petition to the FDA requesting that the FDA refuse to approve Tyvaso DPI, and/or impose additional requirements in order to approve the product. This prompted the FDA to request additional information concerning Tyvaso DPI prior to granting approval in May 2022. If successful, a citizen petition can significantly delay, or even prevent, the approval of a drug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ind w:right="100"/>
        <w:spacing w:after="0" w:line="254"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abroad. We also cannot be sure that actions by foreign regulatory bodies pertaining to the safety of drugs or medical devices will not adversely affect our operations. If we are slow or unable to adapt to changes in existing requirements or the adoption of new requirements or policies, or if we are not able to maintain regulatory compliance, we may be denied marketing approval or lose any marketing approval that we have already obtained.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legislation may make it more difficult to receive revenues.*</w:t>
      </w:r>
    </w:p>
    <w:p>
      <w:pPr>
        <w:spacing w:after="0" w:line="12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has been a number of legislative and regulatory proposals in recent years to change the healthcare system in ways that could impact our ability to sell our products profitably. For example, the Patient Protection and Affordable Care Act ("PPACA"), enacted in March 2010, substantially changed the way healthcare is financed by both governmental and private insurers and continues to significantly affect the healthcare industry. There have been executive, judicial and congressional challenges and amendments to certain provisions of the PPACA. In addition, there have been proposed and enacted health reform initiatives affecting the PPACA. For example, the IRA extends enhanced subsidies for individuals purchasing health insurance coverage in PPACA marketplaces through plan year 2025, eliminates the “donut hole” under the Medicare Part D program beginning in 2025 by significantly lowering the beneficiary maximum out-of-pocket cost and through a newly established manufacturer discount program, and capped the out-of-pocket cost of insulin (including Afrezza) at $35 per month for Medicare recipients beginning in 2023. It is possible that the PPACA will be subject to judicial or Congressional challenges in the future. It is unclear how any such challenges, other litigation, and the healthcare reform measures of the current administration will impact the PPACA.</w:t>
      </w:r>
    </w:p>
    <w:p>
      <w:pPr>
        <w:spacing w:after="0" w:line="19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7"/>
          <w:szCs w:val="17"/>
          <w:color w:val="auto"/>
        </w:rPr>
        <w:t>Recently there has been heightened governmental scrutiny over the manner in which manufacturers set prices for their marketed products. Specifically, there have been several recent U.S. Presidential executive orders,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on July 4, 2025, the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PPACA marketplace exchange enrollment and declines to extend the PPACA enhanced advanced premium tax credits, set to expire in 2025, which, among other provisions in the law, are anticipated to reduce the number of Americans with health insurance. These new laws and initiatives may result in additional reductions in Medicare and other healthcare funding, which could have a material adverse effect on our customers and accordingly, our financial operations.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future revenues and ability to generate positive cash flow from operations may be affected by the continuing efforts of government and other third-party payers to contain or reduce the costs of healthcare through various means.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See the discussion above in Item 1 – Business; Government Regulation, Price and Reimbursement.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expect that there will continue to be a number of federal and state proposals to implement similar and/or additional governmental controls. We cannot be certain what legislative proposals will be adopted or what actions federal, state or private third-party payers may take in response to any drug pricing and reimbursement reform proposals or legislation. Further, to the extent that such reforms have a material adverse effect on our ability to commercialize our products and product candidates under development, our business, financial condition and profitability may be adversely affected.</w:t>
      </w:r>
    </w:p>
    <w:p>
      <w:pPr>
        <w:spacing w:after="0" w:line="18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expect that the IRA, as well as other healthcare reform measures that may be adopted in the future, are likely to have a significant effect on the pharmaceutical industry,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payers. The implementation of cost containment measures or other healthcare reforms may prevent us from being able to generate revenue, attain profitability, or commercialize our products.</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including at the U.S. Department of Health and Human Services ("HHS"), the FDA, the Centers for Medicare and Medicaid Services (“CMS”) and related agencies. These actions, presently directed by executive orders or memoranda from the Office of Management and Budget, may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spacing w:after="0" w:line="252" w:lineRule="auto"/>
        <w:rPr>
          <w:sz w:val="20"/>
          <w:szCs w:val="20"/>
          <w:color w:val="auto"/>
        </w:rPr>
      </w:pPr>
      <w:r>
        <w:rPr>
          <w:rFonts w:ascii="Times New Roman" w:cs="Times New Roman" w:eastAsia="Times New Roman" w:hAnsi="Times New Roman"/>
          <w:sz w:val="18"/>
          <w:szCs w:val="18"/>
          <w:color w:val="auto"/>
        </w:rPr>
        <w:t>propose policy changes that create additional uncertainty for MannKind’s business. These actions and proposals include (1) reducing agency workforce; (2) rescinding a Biden administration executive order tasking the Center for Medicare and Medicaid Innovation (“CMMI”) to consider new payment and healthcare models to limit drug spending; (3) eliminating the Biden administration’s executive order that directed HHS to establish an AI task force and developing a strategic plan; (4) directing HHS and other agencies to lower prescription drug costs for Medicare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by standardizing prices across hospitals and health plans. If Most-Favored-Nation pricing for pharmaceutical products is implemented and applicable to Afrezza, our revenue opportunities for Afrezza may be adversely affected, as our U.S. pricing for Afrezza would have to be reduced to the lowest price paid for Afrezza outside of the United States. In such event and subject to the terms of our agreements with our ex-U.S. partners, we may choose to forgo the ex-U.S. market. Likewise, our royalty revenue from Tyvaso DPI could suffer for the same reason. Additionally, in its June 2024 decision in Loper Bright Enterprises v. Raimondo (“Loper Bright”),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29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partner fails to comply with federal and state healthcare laws, including fraud and abuse and health information laws, we could face substantial penalties and our business, results of operations, financial condition and prospects could be adversely affected.</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a biopharmaceutical company, even though we do not and will not control referrals of healthcare services or bill directly to Medicare, Medicaid or other third-party payers, certain federal and state healthcare laws and regulations, including those pertaining to fraud and abuse and patients’ rights, are and will be applicable to our business. The number and scope of these laws, regulations and industry standards are changing, subject to differing applications and interpretations, and may be inconsistent between jurisdictions or in conflict with each other, making compliance difficult. The key laws that may affect our ability to operate include, among others:</w:t>
      </w:r>
    </w:p>
    <w:p>
      <w:pPr>
        <w:spacing w:after="0" w:line="75" w:lineRule="exact"/>
        <w:rPr>
          <w:sz w:val="20"/>
          <w:szCs w:val="20"/>
          <w:color w:val="auto"/>
        </w:rPr>
      </w:pPr>
    </w:p>
    <w:p>
      <w:pPr>
        <w:ind w:left="1020" w:right="160" w:hanging="503"/>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9" w:lineRule="exact"/>
        <w:rPr>
          <w:rFonts w:ascii="Times New Roman" w:cs="Times New Roman" w:eastAsia="Times New Roman" w:hAnsi="Times New Roman"/>
          <w:sz w:val="18"/>
          <w:szCs w:val="18"/>
          <w:color w:val="auto"/>
        </w:rPr>
      </w:pPr>
    </w:p>
    <w:p>
      <w:pPr>
        <w:ind w:left="1020" w:right="140" w:hanging="503"/>
        <w:spacing w:after="0" w:line="25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79" w:lineRule="exact"/>
        <w:rPr>
          <w:rFonts w:ascii="Times New Roman" w:cs="Times New Roman" w:eastAsia="Times New Roman" w:hAnsi="Times New Roman"/>
          <w:sz w:val="18"/>
          <w:szCs w:val="18"/>
          <w:color w:val="auto"/>
        </w:rPr>
      </w:pPr>
    </w:p>
    <w:p>
      <w:pPr>
        <w:ind w:left="1020" w:right="60" w:hanging="503"/>
        <w:spacing w:after="0" w:line="258"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under PPACA, which requires certain manufacturers of drugs, devices, biologics, and medical supplies to report annually to the CMS information related to payments and other transfers of value to physicians (defined to include defined to include doctors, dentists, optometrists, podiatrists and chiropractors), certain other healthcare professionals (such as physician assistants and nurse practitioners), and teaching hospitals, and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1020" w:right="600" w:hanging="503"/>
        <w:spacing w:after="0" w:line="266"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6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their respective implementing regulations, which impose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ind w:left="1020" w:right="620"/>
        <w:spacing w:after="0" w:line="282" w:lineRule="auto"/>
        <w:rPr>
          <w:sz w:val="20"/>
          <w:szCs w:val="20"/>
          <w:color w:val="auto"/>
        </w:rPr>
      </w:pPr>
      <w:r>
        <w:rPr>
          <w:rFonts w:ascii="Times New Roman" w:cs="Times New Roman" w:eastAsia="Times New Roman" w:hAnsi="Times New Roman"/>
          <w:sz w:val="18"/>
          <w:szCs w:val="18"/>
          <w:color w:val="auto"/>
        </w:rPr>
        <w:t>them that involve the creation, use, maintenance or disclosure of, individually identifiable health information as well as their covered subcontractors.</w:t>
      </w:r>
    </w:p>
    <w:p>
      <w:pPr>
        <w:spacing w:after="0" w:line="54" w:lineRule="exact"/>
        <w:rPr>
          <w:sz w:val="20"/>
          <w:szCs w:val="20"/>
          <w:color w:val="auto"/>
        </w:rPr>
      </w:pPr>
    </w:p>
    <w:p>
      <w:pPr>
        <w:ind w:left="1020" w:hanging="503"/>
        <w:spacing w:after="0" w:line="254"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and foreign law equivalents of each of the above federal laws, such as anti-kickback and false claims laws which may apply to items or services reimbursed by any third-party payer, including commercial insurers, and state and foreign laws governing the privacy and security and other processing of personal data (including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9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exceptions and regulatory safe harbors, it is possible that some of our business activities could be subject to challenge under one or more of such laws. We cannot ensure that all our employees, agents, contractors, vendors, licensees, partners or collaborators will comply with all applicable laws and regulations. If we or our operations are found to be in violation of any of the laws described above or any other governmental regulations that apply to us, or any contractual obligations related to the same, we may be subject to governmental enforcement actions, investigations, litigation (including class action lawsuits) and other penalties, including significant civil, criminal and administrative penalties, damages, fines, imprisonment, disgorgement, defense costs, exclusion from U.S. federal or state healthcare programs, additional reporting requirements and/or oversight (including if we become subject to a corporate integrity agreement or similar agreement to resolve allegations of non-compliance with these laws), bans or restrictions on our processing of personal data, indemnity obligations and the curtailment or restructuring of our operations. Any such event or consequence, including penalties, damages, fines, and curtailment or restructuring of our operations, could materially adversely affect our ability to operate our business, including our ability to run clinical trials, and our financial results and harm our reputation. Although compliance programs can help mitigate the risk of investigation and prosecution for violations of these laws, the risks cannot be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fraud laws may prove costly.</w:t>
      </w:r>
    </w:p>
    <w:p>
      <w:pPr>
        <w:spacing w:after="0" w:line="30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or that of the third parties with whom we work,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process sensitive information (as those terms are defined above).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(like other U.S. comprehensive privacy laws) exempts some data processed in the context of clinical trials, the CCPA may increase compliance costs and potential liability with respect to other personal data we maintain about California residents. Similar laws are being considered in several other states, as well as at the federal and local levels, and we expect more states to pass similar laws in the future. These developments further complicate compliance efforts and increase legal risk and compliance costs for us and the third parties with whom we work.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spacing w:after="0" w:line="254"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and the United Kingdom’s GDPR (“UK GDPR”) (collectively “GDPR”), Brazil’s General Data Protection Law (Lei Geral de Proteção de Dados Pessoais, or “LGPD”) (Law No. 13,709/2018), and Australia’s Privacy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We may also be subject to new and emerging data privacy regimes in Asia, including Japan’s Act on the Protection of Personal Information.</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prevented companies from transferring personal data out of Europe for allegedly violating the GDPR’s cross-border data transfer limitations. Regulators in the United States, such as the Department of Justice, are also increasingly scrutinizing certain personal data transfers and have imposed certain data localization requirements, particularly if we transfer personal data to, or process personal data of residents of, high risk or sanctioned jurisdictions, such as the Biden Administration’s executive order Preventing Access to Americans’ Bulk Sensitive Personal Data and United States Government-Related Data by Countries of Concern.</w:t>
      </w:r>
    </w:p>
    <w:p>
      <w:pPr>
        <w:spacing w:after="0" w:line="19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We publish privacy policies, marketing materials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In addition, privacy advocates and industry groups have proposed, and may propose, standards with which we are legally or contractually bound to comply, or may become subject to in the future.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obligations related to data privacy and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28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6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payers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environmental, social and corporate governance ("ESG") matters or our reporting of such matters.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partners, and other stakeholders concerning ESG matters. We may be, or be perceived to be, not acting responsibly in connection with these matters, which could negatively impact us. For example, we have not previously reported our environmental emissions.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impact our reputation negatively and/or that harm our stock price.</w:t>
      </w:r>
    </w:p>
    <w:p>
      <w:pPr>
        <w:spacing w:after="0" w:line="291"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portfolio of investment securities may require us to register with the SEC as an “investment company” in accordance with the Investment Company Act of 1940 (“‘40 Act”).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rules and interpretations of the SEC and the courts relating to the definition of "investment company" are very complex. Although we are a biopharmaceutical company and we do not hold ourselves out as an investment company, the value of our investment securities relative to our total assets (exclusive of government securities and cash items) has in the past exceeded safe harbor limits prescribed in the '40 Act. If our asset mix does not continue to qualify for one of the safe harbor limits prescribed in the ‘40 Act, it is possible that the SEC would take the position that we would be required to register under the ‘40 Act and comply with the ‘40 Act’s registration and reporting requirements, capital structure requirements, affiliate transaction restrictions, conflict of interest rules, requirements for disinterested directors, and other substantive provisions. If we were required to register as an “investment company” and be subject to the restrictions of the ‘40 Act, those restrictions likely would require significant changes in the way we do business and add significant administrative costs and burdens to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rights, we may not be able to compete effectively, or operate profitably.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Furthermore, patents already issued to us or our pending applications may become subject to disputes that could be resolved against us. In the United States and certain other countries, applications are generally published 18 months after the application’s priority date.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the United States moved to a first inventor to file system. In general, the AIA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Moreover, the term of a patent is limited and, as a result, the patents protecting our products expire at various dates. As and when these different patents expire, our products could become subject to increased competition. As a consequence, we may not be able to recover our development costs.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 In addition, any of these parties may breach the agreements and disclose our confidential information or our competitors might learn of the information in some other way. Thus,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1" w:name="page72"/>
    <w:bookmarkEnd w:id="71"/>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8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Interference proceedings brought by the United States Patent and Trademark Office ("USPTO"), may be necessary to determine the priority of inventions with respect to our pre-AIA patent applications or those of our collaborators or licensors. Additionally, the AIA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8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Moreover, certain components of our products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9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Although we do not believe that our products or product candidates infringe any third-party patents, if a plaintiff was to allege infringement of their patent rights, we would have to establish with the court that their patents are invalid or unenforceable in order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t>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obtain trademark registrations for our potential trade names.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volatile.*</w:t>
      </w:r>
    </w:p>
    <w:p>
      <w:pPr>
        <w:spacing w:after="0" w:line="12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volatile.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8" w:lineRule="exact"/>
        <w:rPr>
          <w:sz w:val="20"/>
          <w:szCs w:val="20"/>
          <w:color w:val="auto"/>
        </w:rPr>
      </w:pPr>
    </w:p>
    <w:p>
      <w:pPr>
        <w:ind w:left="1020" w:right="11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products outside of the United States and to find collaboration partners for the commercialization of our products in foreign jurisdictions;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estimates of product sales, royalties, prescriptions or other operating metrics;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other products;</w:t>
      </w:r>
    </w:p>
    <w:p>
      <w:pPr>
        <w:spacing w:after="0" w:line="117"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preclinical and clinical studies of our product candidates and of post-approval studies of approved products that are required by the FDA;</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 such as inflation, tariffs, and other fiscal and trade policy changes, especially for emerging growth and pharmaceutical market sectors;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man-made or natural disasters or public health pandemics or epidemics or other business interruptions;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3" w:name="page74"/>
    <w:bookmarkEnd w:id="73"/>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critical materials used in developing and manufacturing our products and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relationship with any of our current or future collaborators or third 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patents or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time associated with, and the extent of our ultimate success in, securing regulatory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concerning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condition or operating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trades of short sellers;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perception of investors of our ability, to continue to meet all applicable requirements for continued listing of our common stock on The Nasdaq Global Market, and the possible delisting of our common stock if we are unable to do so;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any legal proceedings or regulatory matters against or involving us or any of our executive officers and directors; and</w:t>
      </w:r>
    </w:p>
    <w:p>
      <w:pPr>
        <w:spacing w:after="0" w:line="117"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 of our products, competitors’ products, or our stock price by the financial and scientific press, the healthcare community and online investor communities such as chat rooms. In particular, it may be difficult to verify statements about us that appear on interactive websites that permit users to generate content anonymously or under a pseudonym. Statements attributed to company officials may, in fact, have originated elsewhere.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as well as other factors, could cause the market value of our common stock and other securities to decline.</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bookmarkStart w:id="74" w:name="page75"/>
    <w:bookmarkEnd w:id="7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w:t>
      </w:r>
    </w:p>
    <w:p>
      <w:pPr>
        <w:spacing w:after="0" w:line="287"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92"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to the fullest extent permitted by law and subject to the court’s having personal jurisdiction over the indispensable parties named as defendants, the Court of Chancery of the State of Delaware is the exclusive forum for the following types of actions or proceedings under Delaware statutory or common law:</w:t>
      </w:r>
    </w:p>
    <w:p>
      <w:pPr>
        <w:spacing w:after="0" w:line="68"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breach of fiduciary duty owed by any of our current or former directors, officers or other employees to us or our stockholders;</w:t>
      </w:r>
    </w:p>
    <w:p>
      <w:pPr>
        <w:spacing w:after="0" w:line="53" w:lineRule="exact"/>
        <w:rPr>
          <w:rFonts w:ascii="Times New Roman" w:cs="Times New Roman" w:eastAsia="Times New Roman" w:hAnsi="Times New Roman"/>
          <w:sz w:val="18"/>
          <w:szCs w:val="18"/>
          <w:color w:val="auto"/>
        </w:rPr>
      </w:pPr>
    </w:p>
    <w:p>
      <w:pPr>
        <w:jc w:val="both"/>
        <w:ind w:left="1020" w:right="18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certificate of incorporation or amended and restated bylaws;</w:t>
      </w:r>
    </w:p>
    <w:p>
      <w:pPr>
        <w:spacing w:after="0" w:line="6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that is governed by the internal affairs doctrine.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provision does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5" w:name="page76"/>
    <w:bookmarkEnd w:id="75"/>
    <w:p>
      <w:pPr>
        <w:ind w:right="280"/>
        <w:spacing w:after="0" w:line="261"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bylaws to be inapplicable or unenforceable in an action, we may incur further significant additional costs associated with resolving the dispute in other jurisdictions, all of which could seriously harm our business.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capital stock to date, and we currently intend to retain our future earnings, if any, to fund the development and growth of our business. In addition, we are restricted from paying dividends on our capital stock pursuant to the terms of the Blackstone Credit Facility.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There is no guarantee that our common stock will appreciate or maintain its current price. You could lose the entire value of any investment in our common stock.</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may need to raise substantial additional capital in the future to fund our operations. If we raise additional funds by issuing equity securities or additional convertible debt, the market price of our common stock and other securities may decline. Similarly, if our existing stockholders sell substantial amounts of our common stock in the public market, the market price of our common stock and other securities could decrease. The perception in the public market that we or our existing stockholders might sell shares of common stock could also depress the market price of our common stock and the market price of our other securities.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Likewise, the issuance of additional shares of our common stock upon the exchange or conversion of the senior convertible notes could adversely affect the market price of our common stock and other securities. Moreover, the existence of these notes may encourage short selling of our common stock by market participants, which could adversely affect the market price of our common stock and other securities.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a substantial number of shares of our common stock is reserved for issuance upon the exercise of stock options, the vesting of restricted stock unit awards and purchases under our ESPP. The issuance or sale of substantial amounts of common stock, or the perception that such issuances or sales may occur, could adversely affect the market price of our common stock and other securities.</w:t>
      </w:r>
    </w:p>
    <w:p>
      <w:pPr>
        <w:spacing w:after="0" w:line="2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5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Public companies in general, including companies listed on The Nasdaq Stock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economic and geopolitical conditions may have serious adverse consequences on our business, financial condition and stock price.*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These disruptions can result in severely diminished liquidity and credit availability, increase in inflation, declines in consumer confidence, declines in economic growth, increases in unemployment rates and uncertainty about economic stability. There can be no assurance that deterioration in credit and financial markets and confidence in economic conditions will not occur. Our general business strategy may be adversely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right="80"/>
        <w:spacing w:after="0" w:line="255" w:lineRule="auto"/>
        <w:rPr>
          <w:sz w:val="20"/>
          <w:szCs w:val="20"/>
          <w:color w:val="auto"/>
        </w:rPr>
      </w:pPr>
      <w:r>
        <w:rPr>
          <w:rFonts w:ascii="Times New Roman" w:cs="Times New Roman" w:eastAsia="Times New Roman" w:hAnsi="Times New Roman"/>
          <w:sz w:val="18"/>
          <w:szCs w:val="18"/>
          <w:color w:val="auto"/>
        </w:rPr>
        <w:t>affected by any such economic downturn, volatile business environment, currency fluctuations, actual or anticipated bank failures, tariffs and trade wars,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Other international and geopolitical events could also have a serious adverse impact on our business. For instance, in February 2022, Russia initiated military action against Ukraine and the two countries are now at war. In response, the United States and certain other countries imposed significant sanctions and trade actions against Russia and could impose further sanctions, trade restrictions, and other retaliatory actions. Additionally, in October 2023, Hamas initiated an attack against Israel, provoking a state of war and subsequently a larger regional conflict. Furthermore, following Hamas’ attack on Israel, the Houthi movement, which controls parts of Yemen, launched a number of attacks on commercial marine vessels in the Red Sea. The Red Sea is an important maritime route for international trade and as such disruptions to these trade routes can have an impact on global supply chains. Additionally, in 2025, Israel and Iran traded a number of attacks on each other and the U.S. has taken a military action against Iran. As a result of such disruptions, we may experience in the future extended lead times, delays in supplier deliveries, and increased freight costs.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might be interrupted by the occurrence of a natural disaster or other catastrophic event.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Currently, our manufacturing facility in Connecticut is the sole location for the manufacturing of Afrezza and Tyvaso DPI. Similarly, our contract manufacturer in Southern China is the only location for the assembly of V-Go. Additional contract manufacturers in China perform release testing, sterilization, inspection and packaging functions. These facilities and the specialized manufacturing equipment we use at them would be costly to replace and could require substantial lead-time to repair or replace. We depend on our facilities and on collaborators, contractors and vendors for the continued operation of our business. Natural disasters, such as interruptions in the supply of natural resources, public health pandemics or epidemics, earthquakes and extreme weather conditions, including, but not limited to, hurricanes, floods, tornados, wildfires, and winter storms, or other catastrophic events, including political and governmental changes, conflicts, explosions, actions of animal rights activists, terrorist attacks and wars, could disrupt our operations or those of our collaborators, contractors and vendors. Such conditions may be further exacerbated by the effects of climate change.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our products.</w:t>
      </w:r>
    </w:p>
    <w:p>
      <w:pPr>
        <w:spacing w:after="0" w:line="18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Adverse developments that affect financial institutions, such as events involving liquidity that are rumored or actual, have in the past and may in the future lead to bank failures and market-wide liquidity problems. For example, in March 2023, Silicon Valley Bank (“SVB”) was closed by the California Department of Financial Protection and Innovation, which appointed the FDIC as receiver. Similarly, days later, Signature Bank and Silvergate Capital Corp. were each swept into receivership. In addition, in May 2023, the FDIC seized First Republic Bank and sold its assets to JPMorgan Chase &amp; Co. While the U.S. Department of Treasury, FDIC and Federal Reserve Board have implemented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 liquidity may exceed the capacity of such program, there is no guarantee that such programs will be sufficient. Additionally, it is uncertain whether the U.S. Department of Treasury, FDIC and Federal Reserve Board will provide access to uninsured funds in the future in the event of the closure of other banks or financial institutions, or that they would do so in a timely fashion.</w:t>
      </w:r>
    </w:p>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ind w:right="320"/>
        <w:spacing w:after="0" w:line="266" w:lineRule="auto"/>
        <w:rPr>
          <w:sz w:val="20"/>
          <w:szCs w:val="20"/>
          <w:color w:val="auto"/>
        </w:rPr>
      </w:pPr>
      <w:r>
        <w:rPr>
          <w:rFonts w:ascii="Times New Roman" w:cs="Times New Roman" w:eastAsia="Times New Roman" w:hAnsi="Times New Roman"/>
          <w:sz w:val="18"/>
          <w:szCs w:val="18"/>
          <w:color w:val="auto"/>
        </w:rPr>
        <w:t>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0" w:lineRule="exact"/>
        <w:rPr>
          <w:sz w:val="20"/>
          <w:szCs w:val="20"/>
          <w:color w:val="auto"/>
        </w:rPr>
      </w:pPr>
    </w:p>
    <w:p>
      <w:pPr>
        <w:spacing w:after="0" w:line="201" w:lineRule="exact"/>
        <w:rPr>
          <w:sz w:val="20"/>
          <w:szCs w:val="20"/>
          <w:color w:val="auto"/>
        </w:rPr>
      </w:pPr>
    </w:p>
    <w:p>
      <w:pPr>
        <w:ind w:right="414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 Disclosure</w:t>
      </w:r>
    </w:p>
    <w:p>
      <w:pPr>
        <w:spacing w:after="0" w:line="1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one of our officers (as defined in Rule 16a-1(f) under the Exchange Act) adopted a written trading plan for the orderly disposition of the Company’s securities as set forth in the table below:</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9"/>
              </w:rPr>
              <w:t>Type of Trading Arrangement</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Shares of</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Adoption</w:t>
            </w:r>
          </w:p>
        </w:tc>
        <w:tc>
          <w:tcPr>
            <w:tcW w:w="13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Rule</w:t>
            </w:r>
          </w:p>
        </w:tc>
        <w:tc>
          <w:tcPr>
            <w:tcW w:w="120" w:type="dxa"/>
            <w:vAlign w:val="bottom"/>
          </w:tcPr>
          <w:p>
            <w:pPr>
              <w:spacing w:after="0"/>
              <w:rPr>
                <w:sz w:val="17"/>
                <w:szCs w:val="17"/>
                <w:color w:val="auto"/>
              </w:rPr>
            </w:pPr>
          </w:p>
        </w:tc>
        <w:tc>
          <w:tcPr>
            <w:tcW w:w="1080" w:type="dxa"/>
            <w:vAlign w:val="bottom"/>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Non-Rule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3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Action</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22"/>
                <w:szCs w:val="22"/>
                <w:color w:val="auto"/>
              </w:rPr>
            </w:pPr>
          </w:p>
        </w:tc>
        <w:tc>
          <w:tcPr>
            <w:tcW w:w="134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(1)</w:t>
            </w:r>
          </w:p>
        </w:tc>
        <w:tc>
          <w:tcPr>
            <w:tcW w:w="120" w:type="dxa"/>
            <w:vAlign w:val="bottom"/>
          </w:tcPr>
          <w:p>
            <w:pPr>
              <w:spacing w:after="0"/>
              <w:rPr>
                <w:sz w:val="22"/>
                <w:szCs w:val="22"/>
                <w:color w:val="auto"/>
              </w:rPr>
            </w:pPr>
          </w:p>
        </w:tc>
        <w:tc>
          <w:tcPr>
            <w:tcW w:w="1080" w:type="dxa"/>
            <w:vAlign w:val="bottom"/>
            <w:tcBorders>
              <w:bottom w:val="single" w:sz="8" w:color="auto"/>
            </w:tcBorders>
          </w:tcPr>
          <w:p>
            <w:pPr>
              <w:jc w:val="center"/>
              <w:ind w:left="90"/>
              <w:spacing w:after="0" w:line="258" w:lineRule="exact"/>
              <w:rPr>
                <w:sz w:val="20"/>
                <w:szCs w:val="20"/>
                <w:color w:val="auto"/>
              </w:rPr>
            </w:pPr>
            <w:r>
              <w:rPr>
                <w:rFonts w:ascii="Times New Roman" w:cs="Times New Roman" w:eastAsia="Times New Roman" w:hAnsi="Times New Roman"/>
                <w:sz w:val="18"/>
                <w:szCs w:val="18"/>
                <w:b w:val="1"/>
                <w:bCs w:val="1"/>
                <w:color w:val="auto"/>
                <w:w w:val="93"/>
              </w:rPr>
              <w:t>10b5-1</w:t>
            </w:r>
            <w:r>
              <w:rPr>
                <w:rFonts w:ascii="Times New Roman" w:cs="Times New Roman" w:eastAsia="Times New Roman" w:hAnsi="Times New Roman"/>
                <w:sz w:val="24"/>
                <w:szCs w:val="24"/>
                <w:b w:val="1"/>
                <w:bCs w:val="1"/>
                <w:color w:val="auto"/>
                <w:w w:val="93"/>
                <w:vertAlign w:val="superscript"/>
              </w:rPr>
              <w:t>(2)</w:t>
            </w:r>
          </w:p>
        </w:tc>
        <w:tc>
          <w:tcPr>
            <w:tcW w:w="1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to be Sold </w:t>
            </w:r>
            <w:r>
              <w:rPr>
                <w:rFonts w:ascii="Times New Roman" w:cs="Times New Roman" w:eastAsia="Times New Roman" w:hAnsi="Times New Roman"/>
                <w:sz w:val="24"/>
                <w:szCs w:val="24"/>
                <w:b w:val="1"/>
                <w:bCs w:val="1"/>
                <w:color w:val="auto"/>
                <w:w w:val="94"/>
                <w:vertAlign w:val="superscript"/>
              </w:rPr>
              <w:t>(3)</w:t>
            </w:r>
          </w:p>
        </w:tc>
        <w:tc>
          <w:tcPr>
            <w:tcW w:w="220" w:type="dxa"/>
            <w:vAlign w:val="bottom"/>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189"/>
        </w:trPr>
        <w:tc>
          <w:tcPr>
            <w:tcW w:w="230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Stuart Tross</w:t>
            </w: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Adoption</w:t>
            </w:r>
          </w:p>
        </w:tc>
        <w:tc>
          <w:tcPr>
            <w:tcW w:w="120" w:type="dxa"/>
            <w:vAlign w:val="bottom"/>
            <w:shd w:val="clear" w:color="auto" w:fill="CFF0FC"/>
          </w:tcPr>
          <w:p>
            <w:pPr>
              <w:spacing w:after="0"/>
              <w:rPr>
                <w:sz w:val="16"/>
                <w:szCs w:val="16"/>
                <w:color w:val="auto"/>
              </w:rPr>
            </w:pPr>
          </w:p>
        </w:tc>
        <w:tc>
          <w:tcPr>
            <w:tcW w:w="1500" w:type="dxa"/>
            <w:vAlign w:val="bottom"/>
            <w:gridSpan w:val="2"/>
            <w:shd w:val="clear" w:color="auto" w:fill="CFF0FC"/>
          </w:tcPr>
          <w:p>
            <w:pPr>
              <w:jc w:val="center"/>
              <w:ind w:right="140"/>
              <w:spacing w:after="0" w:line="189" w:lineRule="exact"/>
              <w:rPr>
                <w:sz w:val="20"/>
                <w:szCs w:val="20"/>
                <w:color w:val="auto"/>
              </w:rPr>
            </w:pPr>
            <w:r>
              <w:rPr>
                <w:rFonts w:ascii="Times New Roman" w:cs="Times New Roman" w:eastAsia="Times New Roman" w:hAnsi="Times New Roman"/>
                <w:sz w:val="18"/>
                <w:szCs w:val="18"/>
                <w:color w:val="auto"/>
                <w:w w:val="99"/>
              </w:rPr>
              <w:t>June 17, 2025</w:t>
            </w:r>
          </w:p>
        </w:tc>
        <w:tc>
          <w:tcPr>
            <w:tcW w:w="13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507,575</w:t>
            </w: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1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Chief People and Workplace</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36"/>
        </w:trPr>
        <w:tc>
          <w:tcPr>
            <w:tcW w:w="2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30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_________________________</w:t>
            </w: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Contract, instruction or written plan intended to satisfy the affirmative defense conditions of Rule 10b5-1(c) under the Exchange Act.</w:t>
      </w:r>
    </w:p>
    <w:p>
      <w:pPr>
        <w:spacing w:after="0" w:line="108" w:lineRule="exact"/>
        <w:rPr>
          <w:rFonts w:ascii="Times New Roman" w:cs="Times New Roman" w:eastAsia="Times New Roman" w:hAnsi="Times New Roman"/>
          <w:sz w:val="13"/>
          <w:szCs w:val="13"/>
          <w:color w:val="auto"/>
        </w:rPr>
      </w:pPr>
    </w:p>
    <w:p>
      <w:pPr>
        <w:ind w:left="260" w:hanging="252"/>
        <w:spacing w:after="0"/>
        <w:tabs>
          <w:tab w:leader="none" w:pos="26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"Non-Rule 10b5-1 trading arrangement" as defined in Item 408(c) of Regulation S-K under the Exchange Act.</w:t>
      </w:r>
    </w:p>
    <w:p>
      <w:pPr>
        <w:spacing w:after="0" w:line="126" w:lineRule="exact"/>
        <w:rPr>
          <w:rFonts w:ascii="Times New Roman" w:cs="Times New Roman" w:eastAsia="Times New Roman" w:hAnsi="Times New Roman"/>
          <w:sz w:val="13"/>
          <w:szCs w:val="13"/>
          <w:color w:val="auto"/>
        </w:rPr>
      </w:pPr>
    </w:p>
    <w:p>
      <w:pPr>
        <w:ind w:left="380" w:right="500" w:hanging="372"/>
        <w:spacing w:after="0" w:line="298" w:lineRule="auto"/>
        <w:tabs>
          <w:tab w:leader="none" w:pos="258"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6"/>
          <w:szCs w:val="16"/>
          <w:color w:val="auto"/>
        </w:rPr>
        <w:t>These trading plans include the potential exercise and sale by Stuart Tross of short-dated options exercisable for up to 272,575 shares of common stock as well as 235,000 restricted stock unit awards held by Stuart Tross, for total estimated shares of common stock to be sold of up to 507,575.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Blackstone Credit Facility</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August 6, 2025 (the “Closing Date”), the Company entered into a senior secured term loan agreement (the “Credit Agreement”) with Blackstone Alternative Credit Advisors LP (“Blackstone”), as Blackstone Representative and Lead Arranger, the lenders party thereto from time to time, the subsidiary guarantors party thereto from time to time, and Wilmington Trust, National Association, as administrative agent and collateral agent for the lenders, providing for up to $500 million in term loans (the “Blackstone Credit Facility”). The Blackstone Credit Facility consists of (i) a $75 million initial term loan, which is being funded on the Closing Date, (ii) $125 million in delayed draw term loan commitments, which the Company may draw at its option during the 24 months immediately following the Closing Date, subject to customary conditions set forth in the Credit Agreement, and (iii) up to $300 million in the form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ind w:right="80"/>
        <w:spacing w:after="0" w:line="282" w:lineRule="auto"/>
        <w:rPr>
          <w:sz w:val="20"/>
          <w:szCs w:val="20"/>
          <w:color w:val="auto"/>
        </w:rPr>
      </w:pPr>
      <w:r>
        <w:rPr>
          <w:rFonts w:ascii="Times New Roman" w:cs="Times New Roman" w:eastAsia="Times New Roman" w:hAnsi="Times New Roman"/>
          <w:sz w:val="18"/>
          <w:szCs w:val="18"/>
          <w:color w:val="auto"/>
        </w:rPr>
        <w:t>of an uncommitted delayed draw term loans, which the Company may borrower in the future subject to mutual agreement with Blackstone and the lenders under the Credit Agreement.</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Blackstone Credit Facility will mature on the fifth anniversary of the Closing Date. The loans thereunder bear interest at a rate per annum equal to 1, 3 or 6 month term SOFR (at the Company’s election), subject to a 2% floor, plus a margin of 4.75%. Interest is paid quarterly or, if the Company elects 1-month SOFR, monthly. The interest rate margin will increase to 5.00% at any time the Company’s ratio of indebtedness to adjusted EBITDA (measured on a trailing four quarter basis) is greater than or equal to 5.00:1.00 as of the most recent fiscal quarter for which the Company has delivered financial statements. Term loans under the Credit Agreement are funded net of an upfront fee payable by the Company.</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has the option to prepay the loans under the Blackstone Credit Facility in whole or in part, subject to early prepayment fees in an amount equal to (a) a full interest make-whole plus 3.00% if prepayment occurs on or prior to the first anniversary of the Closing Date, (b) 3.00% of principal prepaid if prepayment occurs after the first anniversary of the Closing Date but on or prior to the second anniversary of the Closing Date, and (c) 1.00% of principal prepaid if prepayment occurs after the second anniversary of the Closing Date and prior to or on the third anniversary of the Closing Date.</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Blackstone Credit Facility are guaranteed by each of the Company’s subsidiaries and any future subsidiaries, subject to limited exceptions set forth in the Credit Agreement, and are secured by a security interest on substantially all of the assets of the Company and the subsidiary guarantors, including intellectual property.</w:t>
      </w:r>
    </w:p>
    <w:p>
      <w:pPr>
        <w:spacing w:after="0" w:line="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Credit Agreement includes representations and warranties, affirmative covenants (including reporting obligations), negative covenants and events of default that are usual and customary for facilities of this type, in each case, subject to certain permitted exceptions as set forth therein. The Company also contains a financial covenant for the benefit of the lenders, which requires the Company to have liquidity of at least $40 million as of the last business day of each fiscal quarter ending after the Closing Date, with liquidity defined as our unrestricted cash and cash equivalents.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qualified in its entirety by reference to the Credit Agreement, a copy of which is filed as Exhibit 10.2 to this Quarterly Report on Form 10-Q.</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60" w:type="dxa"/>
            <w:vAlign w:val="bottom"/>
            <w:gridSpan w:val="27"/>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260" w:type="dxa"/>
            <w:vAlign w:val="bottom"/>
            <w:tcBorders>
              <w:bottom w:val="single" w:sz="8" w:color="auto"/>
            </w:tcBorders>
            <w:gridSpan w:val="2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24"/>
                <w:szCs w:val="24"/>
                <w:color w:val="auto"/>
              </w:rPr>
            </w:pPr>
          </w:p>
        </w:tc>
        <w:tc>
          <w:tcPr>
            <w:tcW w:w="9820" w:type="dxa"/>
            <w:vAlign w:val="bottom"/>
            <w:tcBorders>
              <w:bottom w:val="single" w:sz="8" w:color="0000FF"/>
            </w:tcBorders>
            <w:gridSpan w:val="35"/>
          </w:tcPr>
          <w:p>
            <w:pPr>
              <w:spacing w:after="0"/>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Amended and Restated Certificate of Incorporation (incorporated by reference to Exhibit 3.1 to MannKind’s Quarterly Report on Form 10-Q (File No.</w:t>
              </w:r>
            </w:hyperlink>
          </w:p>
        </w:tc>
        <w:tc>
          <w:tcPr>
            <w:tcW w:w="2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bottom w:val="single" w:sz="8" w:color="0000FF"/>
            </w:tcBorders>
            <w:gridSpan w:val="15"/>
          </w:tcPr>
          <w:p>
            <w:pPr>
              <w:spacing w:after="0" w:line="183" w:lineRule="exact"/>
              <w:rPr>
                <w:rFonts w:ascii="Times New Roman" w:cs="Times New Roman" w:eastAsia="Times New Roman" w:hAnsi="Times New Roman"/>
                <w:sz w:val="16"/>
                <w:szCs w:val="16"/>
                <w:color w:val="0000FF"/>
              </w:rPr>
            </w:pPr>
            <w:hyperlink r:id="rId358">
              <w:r>
                <w:rPr>
                  <w:rFonts w:ascii="Times New Roman" w:cs="Times New Roman" w:eastAsia="Times New Roman" w:hAnsi="Times New Roman"/>
                  <w:sz w:val="16"/>
                  <w:szCs w:val="16"/>
                  <w:color w:val="0000FF"/>
                </w:rPr>
                <w:t>000-50865), filed with the SEC on August 9, 2016).</w:t>
              </w:r>
            </w:hyperlink>
          </w:p>
        </w:tc>
        <w:tc>
          <w:tcPr>
            <w:tcW w:w="20" w:type="dxa"/>
            <w:vAlign w:val="bottom"/>
            <w:tcBorders>
              <w:bottom w:val="single" w:sz="8" w:color="0000EE"/>
            </w:tcBorders>
          </w:tcPr>
          <w:p>
            <w:pPr>
              <w:spacing w:after="0"/>
              <w:rPr>
                <w:sz w:val="15"/>
                <w:szCs w:val="15"/>
                <w:color w:val="auto"/>
              </w:rPr>
            </w:pPr>
          </w:p>
        </w:tc>
        <w:tc>
          <w:tcPr>
            <w:tcW w:w="6700" w:type="dxa"/>
            <w:vAlign w:val="bottom"/>
            <w:gridSpan w:val="29"/>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24"/>
                <w:szCs w:val="24"/>
                <w:color w:val="auto"/>
              </w:rPr>
            </w:pPr>
          </w:p>
        </w:tc>
        <w:tc>
          <w:tcPr>
            <w:tcW w:w="99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720" w:type="dxa"/>
            <w:vAlign w:val="bottom"/>
            <w:tcBorders>
              <w:bottom w:val="single" w:sz="8" w:color="0000FF"/>
            </w:tcBorders>
            <w:gridSpan w:val="23"/>
          </w:tcPr>
          <w:p>
            <w:pPr>
              <w:spacing w:after="0" w:line="183" w:lineRule="exact"/>
              <w:rPr>
                <w:rFonts w:ascii="Times New Roman" w:cs="Times New Roman" w:eastAsia="Times New Roman" w:hAnsi="Times New Roman"/>
                <w:sz w:val="16"/>
                <w:szCs w:val="16"/>
                <w:color w:val="0000FF"/>
              </w:rPr>
            </w:pPr>
            <w:hyperlink r:id="rId359">
              <w:r>
                <w:rPr>
                  <w:rFonts w:ascii="Times New Roman" w:cs="Times New Roman" w:eastAsia="Times New Roman" w:hAnsi="Times New Roman"/>
                  <w:sz w:val="16"/>
                  <w:szCs w:val="16"/>
                  <w:color w:val="0000FF"/>
                </w:rPr>
                <w:t>MannKind’s Current Report on Form 8-K (File No. 000-50865), filed with the SEC on March 2, 2017).</w:t>
              </w:r>
            </w:hyperlink>
          </w:p>
        </w:tc>
        <w:tc>
          <w:tcPr>
            <w:tcW w:w="20" w:type="dxa"/>
            <w:vAlign w:val="bottom"/>
            <w:tcBorders>
              <w:bottom w:val="single" w:sz="8" w:color="0000EE"/>
            </w:tcBorders>
          </w:tcPr>
          <w:p>
            <w:pPr>
              <w:spacing w:after="0"/>
              <w:rPr>
                <w:sz w:val="15"/>
                <w:szCs w:val="15"/>
                <w:color w:val="auto"/>
              </w:rPr>
            </w:pPr>
          </w:p>
        </w:tc>
        <w:tc>
          <w:tcPr>
            <w:tcW w:w="336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24"/>
                <w:szCs w:val="24"/>
                <w:color w:val="auto"/>
              </w:rPr>
            </w:pPr>
          </w:p>
        </w:tc>
        <w:tc>
          <w:tcPr>
            <w:tcW w:w="99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40" w:type="dxa"/>
            <w:vAlign w:val="bottom"/>
            <w:tcBorders>
              <w:bottom w:val="single" w:sz="8" w:color="0000FF"/>
            </w:tcBorders>
            <w:gridSpan w:val="25"/>
          </w:tcPr>
          <w:p>
            <w:pPr>
              <w:spacing w:after="0" w:line="183" w:lineRule="exact"/>
              <w:rPr>
                <w:rFonts w:ascii="Times New Roman" w:cs="Times New Roman" w:eastAsia="Times New Roman" w:hAnsi="Times New Roman"/>
                <w:sz w:val="16"/>
                <w:szCs w:val="16"/>
                <w:color w:val="0000FF"/>
              </w:rPr>
            </w:pPr>
            <w:hyperlink r:id="rId360">
              <w:r>
                <w:rPr>
                  <w:rFonts w:ascii="Times New Roman" w:cs="Times New Roman" w:eastAsia="Times New Roman" w:hAnsi="Times New Roman"/>
                  <w:sz w:val="16"/>
                  <w:szCs w:val="16"/>
                  <w:color w:val="0000FF"/>
                </w:rPr>
                <w:t>MannKind’s Current Report on Form 8-K (File No. 000-50865), filed with the SEC on December 13, 2017).</w:t>
              </w:r>
            </w:hyperlink>
          </w:p>
        </w:tc>
        <w:tc>
          <w:tcPr>
            <w:tcW w:w="20" w:type="dxa"/>
            <w:vAlign w:val="bottom"/>
            <w:tcBorders>
              <w:bottom w:val="single" w:sz="8" w:color="0000EE"/>
            </w:tcBorders>
          </w:tcPr>
          <w:p>
            <w:pPr>
              <w:spacing w:after="0"/>
              <w:rPr>
                <w:sz w:val="15"/>
                <w:szCs w:val="15"/>
                <w:color w:val="auto"/>
              </w:rPr>
            </w:pPr>
          </w:p>
        </w:tc>
        <w:tc>
          <w:tcPr>
            <w:tcW w:w="304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4"/>
                <w:szCs w:val="24"/>
                <w:color w:val="auto"/>
              </w:rPr>
            </w:pPr>
          </w:p>
        </w:tc>
        <w:tc>
          <w:tcPr>
            <w:tcW w:w="99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80" w:type="dxa"/>
            <w:vAlign w:val="bottom"/>
            <w:tcBorders>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361">
              <w:r>
                <w:rPr>
                  <w:rFonts w:ascii="Times New Roman" w:cs="Times New Roman" w:eastAsia="Times New Roman" w:hAnsi="Times New Roman"/>
                  <w:sz w:val="16"/>
                  <w:szCs w:val="16"/>
                  <w:color w:val="0000FF"/>
                </w:rPr>
                <w:t>MannKind’s Current Report on Form 8-K (File No. 000-50865), filed with the SEC on May 27, 2020).</w:t>
              </w:r>
            </w:hyperlink>
          </w:p>
        </w:tc>
        <w:tc>
          <w:tcPr>
            <w:tcW w:w="20" w:type="dxa"/>
            <w:vAlign w:val="bottom"/>
            <w:tcBorders>
              <w:bottom w:val="single" w:sz="8" w:color="0000EE"/>
            </w:tcBorders>
          </w:tcPr>
          <w:p>
            <w:pPr>
              <w:spacing w:after="0"/>
              <w:rPr>
                <w:sz w:val="15"/>
                <w:szCs w:val="15"/>
                <w:color w:val="auto"/>
              </w:rPr>
            </w:pPr>
          </w:p>
        </w:tc>
        <w:tc>
          <w:tcPr>
            <w:tcW w:w="34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tcPr>
          <w:p>
            <w:pPr>
              <w:spacing w:after="0"/>
              <w:rPr>
                <w:sz w:val="24"/>
                <w:szCs w:val="24"/>
                <w:color w:val="auto"/>
              </w:rPr>
            </w:pPr>
          </w:p>
        </w:tc>
        <w:tc>
          <w:tcPr>
            <w:tcW w:w="9900" w:type="dxa"/>
            <w:vAlign w:val="bottom"/>
            <w:tcBorders>
              <w:bottom w:val="single" w:sz="8" w:color="0000FF"/>
            </w:tcBorders>
            <w:gridSpan w:val="38"/>
          </w:tcPr>
          <w:p>
            <w:pPr>
              <w:spacing w:after="0"/>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Certificate of Amendment of Amended and Restated Certificate of Incorporation of MannKind Corporation (incorporated by reference to Exhibit 3.1 to</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80" w:type="dxa"/>
            <w:vAlign w:val="bottom"/>
            <w:tcBorders>
              <w:bottom w:val="single" w:sz="8" w:color="0000FF"/>
            </w:tcBorders>
            <w:gridSpan w:val="21"/>
          </w:tcPr>
          <w:p>
            <w:pPr>
              <w:spacing w:after="0" w:line="183" w:lineRule="exact"/>
              <w:rPr>
                <w:rFonts w:ascii="Times New Roman" w:cs="Times New Roman" w:eastAsia="Times New Roman" w:hAnsi="Times New Roman"/>
                <w:sz w:val="16"/>
                <w:szCs w:val="16"/>
                <w:color w:val="0000FF"/>
              </w:rPr>
            </w:pPr>
            <w:hyperlink r:id="rId362">
              <w:r>
                <w:rPr>
                  <w:rFonts w:ascii="Times New Roman" w:cs="Times New Roman" w:eastAsia="Times New Roman" w:hAnsi="Times New Roman"/>
                  <w:sz w:val="16"/>
                  <w:szCs w:val="16"/>
                  <w:color w:val="0000FF"/>
                </w:rPr>
                <w:t>MannKind’s Current Report on Form 8-K (File No. 000-50865), filed with the SEC on May 30, 2023).</w:t>
              </w:r>
            </w:hyperlink>
          </w:p>
        </w:tc>
        <w:tc>
          <w:tcPr>
            <w:tcW w:w="20" w:type="dxa"/>
            <w:vAlign w:val="bottom"/>
            <w:tcBorders>
              <w:bottom w:val="single" w:sz="8" w:color="0000EE"/>
            </w:tcBorders>
          </w:tcPr>
          <w:p>
            <w:pPr>
              <w:spacing w:after="0"/>
              <w:rPr>
                <w:sz w:val="15"/>
                <w:szCs w:val="15"/>
                <w:color w:val="auto"/>
              </w:rPr>
            </w:pPr>
          </w:p>
        </w:tc>
        <w:tc>
          <w:tcPr>
            <w:tcW w:w="340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24"/>
                <w:szCs w:val="24"/>
                <w:color w:val="auto"/>
              </w:rPr>
            </w:pPr>
          </w:p>
        </w:tc>
        <w:tc>
          <w:tcPr>
            <w:tcW w:w="10080" w:type="dxa"/>
            <w:vAlign w:val="bottom"/>
            <w:tcBorders>
              <w:bottom w:val="single" w:sz="8" w:color="0000FF"/>
            </w:tcBorders>
            <w:gridSpan w:val="44"/>
          </w:tcPr>
          <w:p>
            <w:pPr>
              <w:spacing w:after="0"/>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Amended and Restated Bylaws (incorporated by reference to Exhibit 3.2 to MannKind’s Current Report on Form 8-K (File No. 000-50865), filed with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rFonts w:ascii="Times New Roman" w:cs="Times New Roman" w:eastAsia="Times New Roman" w:hAnsi="Times New Roman"/>
                <w:sz w:val="16"/>
                <w:szCs w:val="16"/>
                <w:color w:val="0000FF"/>
              </w:rPr>
            </w:pPr>
            <w:hyperlink r:id="rId363">
              <w:r>
                <w:rPr>
                  <w:rFonts w:ascii="Times New Roman" w:cs="Times New Roman" w:eastAsia="Times New Roman" w:hAnsi="Times New Roman"/>
                  <w:sz w:val="16"/>
                  <w:szCs w:val="16"/>
                  <w:color w:val="0000FF"/>
                </w:rPr>
                <w:t>SEC on May 27, 2020).</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4.1</w:t>
            </w:r>
          </w:p>
        </w:tc>
        <w:tc>
          <w:tcPr>
            <w:tcW w:w="140" w:type="dxa"/>
            <w:vAlign w:val="bottom"/>
          </w:tcPr>
          <w:p>
            <w:pPr>
              <w:spacing w:after="0"/>
              <w:rPr>
                <w:sz w:val="24"/>
                <w:szCs w:val="24"/>
                <w:color w:val="auto"/>
              </w:rPr>
            </w:pPr>
          </w:p>
        </w:tc>
        <w:tc>
          <w:tcPr>
            <w:tcW w:w="10100" w:type="dxa"/>
            <w:vAlign w:val="bottom"/>
            <w:gridSpan w:val="45"/>
          </w:tcPr>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Reference is made to Exhibits </w:t>
            </w:r>
            <w:hyperlink r:id="rId358">
              <w:r>
                <w:rPr>
                  <w:rFonts w:ascii="Times New Roman" w:cs="Times New Roman" w:eastAsia="Times New Roman" w:hAnsi="Times New Roman"/>
                  <w:sz w:val="16"/>
                  <w:szCs w:val="16"/>
                  <w:color w:val="0000FF"/>
                </w:rPr>
                <w:t>3.1</w:t>
              </w:r>
            </w:hyperlink>
            <w:r>
              <w:rPr>
                <w:rFonts w:ascii="Times New Roman" w:cs="Times New Roman" w:eastAsia="Times New Roman" w:hAnsi="Times New Roman"/>
                <w:sz w:val="16"/>
                <w:szCs w:val="16"/>
                <w:color w:val="auto"/>
              </w:rPr>
              <w:t xml:space="preserve">, </w:t>
            </w:r>
            <w:hyperlink r:id="rId359">
              <w:r>
                <w:rPr>
                  <w:rFonts w:ascii="Times New Roman" w:cs="Times New Roman" w:eastAsia="Times New Roman" w:hAnsi="Times New Roman"/>
                  <w:sz w:val="16"/>
                  <w:szCs w:val="16"/>
                  <w:color w:val="0000FF"/>
                </w:rPr>
                <w:t>3.2</w:t>
              </w:r>
            </w:hyperlink>
            <w:r>
              <w:rPr>
                <w:rFonts w:ascii="Times New Roman" w:cs="Times New Roman" w:eastAsia="Times New Roman" w:hAnsi="Times New Roman"/>
                <w:sz w:val="16"/>
                <w:szCs w:val="16"/>
                <w:color w:val="auto"/>
              </w:rPr>
              <w:t xml:space="preserve">, </w:t>
            </w:r>
            <w:hyperlink r:id="rId360">
              <w:r>
                <w:rPr>
                  <w:rFonts w:ascii="Times New Roman" w:cs="Times New Roman" w:eastAsia="Times New Roman" w:hAnsi="Times New Roman"/>
                  <w:sz w:val="16"/>
                  <w:szCs w:val="16"/>
                  <w:color w:val="0000FF"/>
                </w:rPr>
                <w:t>3.3</w:t>
              </w:r>
            </w:hyperlink>
            <w:r>
              <w:rPr>
                <w:rFonts w:ascii="Times New Roman" w:cs="Times New Roman" w:eastAsia="Times New Roman" w:hAnsi="Times New Roman"/>
                <w:sz w:val="16"/>
                <w:szCs w:val="16"/>
                <w:color w:val="auto"/>
              </w:rPr>
              <w:t xml:space="preserve">, </w:t>
            </w:r>
            <w:hyperlink r:id="rId361">
              <w:r>
                <w:rPr>
                  <w:rFonts w:ascii="Times New Roman" w:cs="Times New Roman" w:eastAsia="Times New Roman" w:hAnsi="Times New Roman"/>
                  <w:sz w:val="16"/>
                  <w:szCs w:val="16"/>
                  <w:color w:val="0000FF"/>
                </w:rPr>
                <w:t>3.4</w:t>
              </w:r>
            </w:hyperlink>
            <w:r>
              <w:rPr>
                <w:rFonts w:ascii="Times New Roman" w:cs="Times New Roman" w:eastAsia="Times New Roman" w:hAnsi="Times New Roman"/>
                <w:sz w:val="16"/>
                <w:szCs w:val="16"/>
                <w:color w:val="auto"/>
              </w:rPr>
              <w:t xml:space="preserve">, </w:t>
            </w:r>
            <w:hyperlink r:id="rId362">
              <w:r>
                <w:rPr>
                  <w:rFonts w:ascii="Times New Roman" w:cs="Times New Roman" w:eastAsia="Times New Roman" w:hAnsi="Times New Roman"/>
                  <w:sz w:val="16"/>
                  <w:szCs w:val="16"/>
                  <w:color w:val="0000FF"/>
                </w:rPr>
                <w:t>3.5</w:t>
              </w:r>
              <w:r>
                <w:rPr>
                  <w:rFonts w:ascii="Times New Roman" w:cs="Times New Roman" w:eastAsia="Times New Roman" w:hAnsi="Times New Roman"/>
                  <w:sz w:val="16"/>
                  <w:szCs w:val="16"/>
                  <w:color w:val="auto"/>
                </w:rPr>
                <w:t xml:space="preserve"> </w:t>
              </w:r>
            </w:hyperlink>
            <w:r>
              <w:rPr>
                <w:rFonts w:ascii="Times New Roman" w:cs="Times New Roman" w:eastAsia="Times New Roman" w:hAnsi="Times New Roman"/>
                <w:sz w:val="16"/>
                <w:szCs w:val="16"/>
                <w:color w:val="auto"/>
              </w:rPr>
              <w:t xml:space="preserve">and </w:t>
            </w:r>
            <w:hyperlink r:id="rId363">
              <w:r>
                <w:rPr>
                  <w:rFonts w:ascii="Times New Roman" w:cs="Times New Roman" w:eastAsia="Times New Roman" w:hAnsi="Times New Roman"/>
                  <w:sz w:val="16"/>
                  <w:szCs w:val="16"/>
                  <w:color w:val="0000FF"/>
                </w:rPr>
                <w:t>3.6</w:t>
              </w:r>
            </w:hyperlink>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tcPr>
          <w:p>
            <w:pPr>
              <w:spacing w:after="0"/>
              <w:rPr>
                <w:sz w:val="24"/>
                <w:szCs w:val="24"/>
                <w:color w:val="auto"/>
              </w:rPr>
            </w:pPr>
          </w:p>
        </w:tc>
        <w:tc>
          <w:tcPr>
            <w:tcW w:w="10060" w:type="dxa"/>
            <w:vAlign w:val="bottom"/>
            <w:tcBorders>
              <w:bottom w:val="single" w:sz="8" w:color="0000FF"/>
            </w:tcBorders>
            <w:gridSpan w:val="43"/>
          </w:tcPr>
          <w:p>
            <w:pPr>
              <w:spacing w:after="0"/>
              <w:rPr>
                <w:rFonts w:ascii="Times New Roman" w:cs="Times New Roman" w:eastAsia="Times New Roman" w:hAnsi="Times New Roman"/>
                <w:sz w:val="16"/>
                <w:szCs w:val="16"/>
                <w:color w:val="0000FF"/>
              </w:rPr>
            </w:pPr>
            <w:hyperlink r:id="rId364">
              <w:r>
                <w:rPr>
                  <w:rFonts w:ascii="Times New Roman" w:cs="Times New Roman" w:eastAsia="Times New Roman" w:hAnsi="Times New Roman"/>
                  <w:sz w:val="16"/>
                  <w:szCs w:val="16"/>
                  <w:color w:val="0000FF"/>
                </w:rPr>
                <w:t>Form of common stock certificate (incorporated by reference to Exhibit 4.2 to MannKind’s Annual Report on Form 10-K (File No. 000-50865), filed with</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rFonts w:ascii="Times New Roman" w:cs="Times New Roman" w:eastAsia="Times New Roman" w:hAnsi="Times New Roman"/>
                <w:sz w:val="16"/>
                <w:szCs w:val="16"/>
                <w:color w:val="0000FF"/>
              </w:rPr>
            </w:pPr>
            <w:hyperlink r:id="rId364">
              <w:r>
                <w:rPr>
                  <w:rFonts w:ascii="Times New Roman" w:cs="Times New Roman" w:eastAsia="Times New Roman" w:hAnsi="Times New Roman"/>
                  <w:sz w:val="16"/>
                  <w:szCs w:val="16"/>
                  <w:color w:val="0000FF"/>
                </w:rPr>
                <w:t>the SEC on March 16,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3060" w:type="dxa"/>
            <w:vAlign w:val="bottom"/>
            <w:gridSpan w:val="1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24"/>
                <w:szCs w:val="24"/>
                <w:color w:val="auto"/>
              </w:rPr>
            </w:pPr>
          </w:p>
        </w:tc>
        <w:tc>
          <w:tcPr>
            <w:tcW w:w="9720" w:type="dxa"/>
            <w:vAlign w:val="bottom"/>
            <w:tcBorders>
              <w:bottom w:val="single" w:sz="8" w:color="0000FF"/>
            </w:tcBorders>
            <w:gridSpan w:val="34"/>
          </w:tcPr>
          <w:p>
            <w:pPr>
              <w:spacing w:after="0"/>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Milestone Rights Purchase Agreement, dated as of July 1, 2013, by and among MannKind, Deerfield Private Design Fund II, L.P. and Horizon Santé</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0" w:type="dxa"/>
            <w:vAlign w:val="bottom"/>
            <w:tcBorders>
              <w:bottom w:val="single" w:sz="8" w:color="0000FF"/>
            </w:tcBorders>
            <w:gridSpan w:val="41"/>
          </w:tcPr>
          <w:p>
            <w:pPr>
              <w:spacing w:after="0" w:line="183" w:lineRule="exact"/>
              <w:rPr>
                <w:rFonts w:ascii="Times New Roman" w:cs="Times New Roman" w:eastAsia="Times New Roman" w:hAnsi="Times New Roman"/>
                <w:sz w:val="16"/>
                <w:szCs w:val="16"/>
                <w:color w:val="0000FF"/>
              </w:rPr>
            </w:pPr>
            <w:hyperlink r:id="rId365">
              <w:r>
                <w:rPr>
                  <w:rFonts w:ascii="Times New Roman" w:cs="Times New Roman" w:eastAsia="Times New Roman" w:hAnsi="Times New Roman"/>
                  <w:sz w:val="16"/>
                  <w:szCs w:val="16"/>
                  <w:color w:val="0000FF"/>
                </w:rPr>
                <w:t>FLML SÁRL (incorporated by reference to Exhibit 99.3 to MannKind’s Current Report on Form 8-K (File No. 000-50865), filed with the SEC on July 1,</w:t>
              </w:r>
            </w:hyperlink>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365">
              <w:r>
                <w:rPr>
                  <w:rFonts w:ascii="Times New Roman" w:cs="Times New Roman" w:eastAsia="Times New Roman" w:hAnsi="Times New Roman"/>
                  <w:sz w:val="16"/>
                  <w:szCs w:val="16"/>
                  <w:color w:val="0000FF"/>
                  <w:w w:val="96"/>
                </w:rPr>
                <w:t>2013).</w:t>
              </w:r>
            </w:hyperlink>
          </w:p>
        </w:tc>
        <w:tc>
          <w:tcPr>
            <w:tcW w:w="20" w:type="dxa"/>
            <w:vAlign w:val="bottom"/>
            <w:tcBorders>
              <w:bottom w:val="single" w:sz="8" w:color="0000EE"/>
            </w:tcBorders>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tcPr>
          <w:p>
            <w:pPr>
              <w:spacing w:after="0"/>
              <w:rPr>
                <w:sz w:val="24"/>
                <w:szCs w:val="24"/>
                <w:color w:val="auto"/>
              </w:rPr>
            </w:pPr>
          </w:p>
        </w:tc>
        <w:tc>
          <w:tcPr>
            <w:tcW w:w="10040" w:type="dxa"/>
            <w:vAlign w:val="bottom"/>
            <w:tcBorders>
              <w:bottom w:val="single" w:sz="8" w:color="0000FF"/>
            </w:tcBorders>
            <w:gridSpan w:val="42"/>
          </w:tcPr>
          <w:p>
            <w:pPr>
              <w:spacing w:after="0"/>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Form of Warrant to Purchase Stock issued to MidCap Financial Trust on August 6, 2019 (incorporated by reference to Exhibit 4.1 to MannKind’s Current</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rFonts w:ascii="Times New Roman" w:cs="Times New Roman" w:eastAsia="Times New Roman" w:hAnsi="Times New Roman"/>
                <w:sz w:val="16"/>
                <w:szCs w:val="16"/>
                <w:color w:val="0000FF"/>
              </w:rPr>
            </w:pPr>
            <w:hyperlink r:id="rId366">
              <w:r>
                <w:rPr>
                  <w:rFonts w:ascii="Times New Roman" w:cs="Times New Roman" w:eastAsia="Times New Roman" w:hAnsi="Times New Roman"/>
                  <w:sz w:val="16"/>
                  <w:szCs w:val="16"/>
                  <w:color w:val="0000FF"/>
                </w:rPr>
                <w:t>Report on Form 8-K (File No. 000-50865), filed with the SEC on August 7,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Borders>
              <w:right w:val="single" w:sz="8" w:color="0000FF"/>
            </w:tcBorders>
            <w:gridSpan w:val="19"/>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tcPr>
          <w:p>
            <w:pPr>
              <w:spacing w:after="0"/>
              <w:rPr>
                <w:sz w:val="24"/>
                <w:szCs w:val="24"/>
                <w:color w:val="auto"/>
              </w:rPr>
            </w:pPr>
          </w:p>
        </w:tc>
        <w:tc>
          <w:tcPr>
            <w:tcW w:w="9980" w:type="dxa"/>
            <w:vAlign w:val="bottom"/>
            <w:tcBorders>
              <w:bottom w:val="single" w:sz="8" w:color="0000FF"/>
            </w:tcBorders>
            <w:gridSpan w:val="40"/>
          </w:tcPr>
          <w:p>
            <w:pPr>
              <w:spacing w:after="0"/>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Indenture, dated as of March 4, 2021, by and between MannKind Corporation and U.S. Bank National Association, as Trustee (incorporated by reference</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rFonts w:ascii="Times New Roman" w:cs="Times New Roman" w:eastAsia="Times New Roman" w:hAnsi="Times New Roman"/>
                <w:sz w:val="16"/>
                <w:szCs w:val="16"/>
                <w:color w:val="0000FF"/>
              </w:rPr>
            </w:pPr>
            <w:hyperlink r:id="rId367">
              <w:r>
                <w:rPr>
                  <w:rFonts w:ascii="Times New Roman" w:cs="Times New Roman" w:eastAsia="Times New Roman" w:hAnsi="Times New Roman"/>
                  <w:sz w:val="16"/>
                  <w:szCs w:val="16"/>
                  <w:color w:val="0000FF"/>
                </w:rPr>
                <w:t>to Exhibit 4.1 to MannKind’s Current Report on Form 8-K (File No. 000-50865), filed with the SEC on March 5,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Borders>
              <w:right w:val="single" w:sz="8" w:color="0000FF"/>
            </w:tcBorders>
            <w:gridSpan w:val="19"/>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24"/>
                <w:szCs w:val="24"/>
                <w:color w:val="auto"/>
              </w:rPr>
            </w:pPr>
          </w:p>
        </w:tc>
        <w:tc>
          <w:tcPr>
            <w:tcW w:w="9840" w:type="dxa"/>
            <w:vAlign w:val="bottom"/>
            <w:tcBorders>
              <w:bottom w:val="single" w:sz="8" w:color="0000FF"/>
            </w:tcBorders>
            <w:gridSpan w:val="36"/>
          </w:tcPr>
          <w:p>
            <w:pPr>
              <w:spacing w:after="0"/>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Form of Global Note, representing MannKind Corporation’s 2.50% Convertible Senior Notes due 2026 (included as Exhibit A to the Indenture filed as</w:t>
              </w:r>
            </w:hyperlink>
          </w:p>
        </w:tc>
        <w:tc>
          <w:tcPr>
            <w:tcW w:w="2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40" w:type="dxa"/>
            <w:vAlign w:val="bottom"/>
            <w:tcBorders>
              <w:bottom w:val="single" w:sz="8" w:color="0000FF"/>
            </w:tcBorders>
            <w:gridSpan w:val="42"/>
          </w:tcPr>
          <w:p>
            <w:pPr>
              <w:spacing w:after="0" w:line="183" w:lineRule="exact"/>
              <w:rPr>
                <w:rFonts w:ascii="Times New Roman" w:cs="Times New Roman" w:eastAsia="Times New Roman" w:hAnsi="Times New Roman"/>
                <w:sz w:val="16"/>
                <w:szCs w:val="16"/>
                <w:color w:val="0000FF"/>
              </w:rPr>
            </w:pPr>
            <w:hyperlink r:id="rId368">
              <w:r>
                <w:rPr>
                  <w:rFonts w:ascii="Times New Roman" w:cs="Times New Roman" w:eastAsia="Times New Roman" w:hAnsi="Times New Roman"/>
                  <w:sz w:val="16"/>
                  <w:szCs w:val="16"/>
                  <w:color w:val="0000FF"/>
                </w:rPr>
                <w:t>Exhibit 4.15) (incorporated by reference to Exhibit 4.2 to MannKind’s Current Report on Form 8-K (File No. 000-50865), filed with the SEC on March 5,</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0000FF"/>
            </w:tcBorders>
          </w:tcPr>
          <w:p>
            <w:pPr>
              <w:spacing w:after="0" w:line="183" w:lineRule="exact"/>
              <w:rPr>
                <w:rFonts w:ascii="Times New Roman" w:cs="Times New Roman" w:eastAsia="Times New Roman" w:hAnsi="Times New Roman"/>
                <w:sz w:val="16"/>
                <w:szCs w:val="16"/>
                <w:color w:val="0000FF"/>
                <w:w w:val="96"/>
              </w:rPr>
            </w:pPr>
            <w:hyperlink r:id="rId368">
              <w:r>
                <w:rPr>
                  <w:rFonts w:ascii="Times New Roman" w:cs="Times New Roman" w:eastAsia="Times New Roman" w:hAnsi="Times New Roman"/>
                  <w:sz w:val="16"/>
                  <w:szCs w:val="16"/>
                  <w:color w:val="0000FF"/>
                  <w:w w:val="96"/>
                </w:rPr>
                <w:t>2021).</w:t>
              </w:r>
            </w:hyperlink>
          </w:p>
        </w:tc>
        <w:tc>
          <w:tcPr>
            <w:tcW w:w="20" w:type="dxa"/>
            <w:vAlign w:val="bottom"/>
            <w:tcBorders>
              <w:bottom w:val="single" w:sz="8" w:color="0000EE"/>
            </w:tcBorders>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72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Transition and Separation Agreement, dated May 14, 2025, by and between the Company and Burkhard Blank.</w:t>
            </w:r>
          </w:p>
        </w:tc>
        <w:tc>
          <w:tcPr>
            <w:tcW w:w="20" w:type="dxa"/>
            <w:vAlign w:val="bottom"/>
            <w:tcBorders>
              <w:bottom w:val="single" w:sz="8" w:color="0000EE"/>
            </w:tcBorders>
          </w:tcPr>
          <w:p>
            <w:pPr>
              <w:spacing w:after="0"/>
              <w:rPr>
                <w:sz w:val="24"/>
                <w:szCs w:val="24"/>
                <w:color w:val="auto"/>
              </w:rPr>
            </w:pPr>
          </w:p>
        </w:tc>
        <w:tc>
          <w:tcPr>
            <w:tcW w:w="28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24"/>
                <w:szCs w:val="24"/>
                <w:color w:val="auto"/>
              </w:rPr>
            </w:pPr>
          </w:p>
        </w:tc>
        <w:tc>
          <w:tcPr>
            <w:tcW w:w="964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6"/>
                <w:szCs w:val="16"/>
                <w:color w:val="0000FF"/>
              </w:rPr>
              <w:t>Loan Agreement, dated August 6, 2025, among MannKind Corporation, certain subsidiaries of MannKind Corporation, Wilmington Trust, National</w:t>
            </w:r>
          </w:p>
        </w:tc>
        <w:tc>
          <w:tcPr>
            <w:tcW w:w="4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sz w:val="20"/>
                <w:szCs w:val="20"/>
                <w:color w:val="auto"/>
              </w:rPr>
            </w:pPr>
            <w:r>
              <w:rPr>
                <w:rFonts w:ascii="Times New Roman" w:cs="Times New Roman" w:eastAsia="Times New Roman" w:hAnsi="Times New Roman"/>
                <w:sz w:val="16"/>
                <w:szCs w:val="16"/>
                <w:color w:val="0000FF"/>
              </w:rPr>
              <w:t>Association, Blackstone Alternative Credit Advisors LP and the lenders from time to time party thereto.</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Borders>
              <w:right w:val="single" w:sz="8" w:color="0000FF"/>
            </w:tcBorders>
            <w:gridSpan w:val="19"/>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31.1</w:t>
            </w:r>
          </w:p>
        </w:tc>
        <w:tc>
          <w:tcPr>
            <w:tcW w:w="140" w:type="dxa"/>
            <w:vAlign w:val="bottom"/>
          </w:tcPr>
          <w:p>
            <w:pPr>
              <w:spacing w:after="0"/>
              <w:rPr>
                <w:sz w:val="24"/>
                <w:szCs w:val="24"/>
                <w:color w:val="auto"/>
              </w:rPr>
            </w:pPr>
          </w:p>
        </w:tc>
        <w:tc>
          <w:tcPr>
            <w:tcW w:w="91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Rules 13a-14(a) and 15d-14(a) of the Securities Exchange Act of 1934, as amended.</w:t>
            </w:r>
          </w:p>
        </w:tc>
        <w:tc>
          <w:tcPr>
            <w:tcW w:w="10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31.2</w:t>
            </w:r>
          </w:p>
        </w:tc>
        <w:tc>
          <w:tcPr>
            <w:tcW w:w="140" w:type="dxa"/>
            <w:vAlign w:val="bottom"/>
          </w:tcPr>
          <w:p>
            <w:pPr>
              <w:spacing w:after="0"/>
              <w:rPr>
                <w:sz w:val="24"/>
                <w:szCs w:val="24"/>
                <w:color w:val="auto"/>
              </w:rPr>
            </w:pPr>
          </w:p>
        </w:tc>
        <w:tc>
          <w:tcPr>
            <w:tcW w:w="90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Rules 13a-14(a) and 15d-14(a) of the Securities Exchange Act of 1934, as amended.</w:t>
            </w:r>
          </w:p>
        </w:tc>
        <w:tc>
          <w:tcPr>
            <w:tcW w:w="20" w:type="dxa"/>
            <w:vAlign w:val="bottom"/>
            <w:tcBorders>
              <w:bottom w:val="single" w:sz="8" w:color="0000EE"/>
            </w:tcBorders>
          </w:tcPr>
          <w:p>
            <w:pPr>
              <w:spacing w:after="0"/>
              <w:rPr>
                <w:sz w:val="24"/>
                <w:szCs w:val="24"/>
                <w:color w:val="auto"/>
              </w:rPr>
            </w:pPr>
          </w:p>
        </w:tc>
        <w:tc>
          <w:tcPr>
            <w:tcW w:w="10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32.1</w:t>
            </w:r>
          </w:p>
        </w:tc>
        <w:tc>
          <w:tcPr>
            <w:tcW w:w="140" w:type="dxa"/>
            <w:vAlign w:val="bottom"/>
          </w:tcPr>
          <w:p>
            <w:pPr>
              <w:spacing w:after="0"/>
              <w:rPr>
                <w:sz w:val="24"/>
                <w:szCs w:val="24"/>
                <w:color w:val="auto"/>
              </w:rPr>
            </w:pPr>
          </w:p>
        </w:tc>
        <w:tc>
          <w:tcPr>
            <w:tcW w:w="9920" w:type="dxa"/>
            <w:vAlign w:val="bottom"/>
            <w:tcBorders>
              <w:bottom w:val="single" w:sz="8" w:color="0000FF"/>
            </w:tcBorders>
            <w:gridSpan w:val="39"/>
          </w:tcPr>
          <w:p>
            <w:pPr>
              <w:spacing w:after="0"/>
              <w:rPr>
                <w:sz w:val="20"/>
                <w:szCs w:val="20"/>
                <w:color w:val="auto"/>
              </w:rPr>
            </w:pPr>
            <w:r>
              <w:rPr>
                <w:rFonts w:ascii="Times New Roman" w:cs="Times New Roman" w:eastAsia="Times New Roman" w:hAnsi="Times New Roman"/>
                <w:sz w:val="16"/>
                <w:szCs w:val="16"/>
                <w:color w:val="0000FF"/>
              </w:rPr>
              <w:t>Certification of the Chief Executive Officer pursuant to Rules 13a-14(b) and 15d-14(b) of the Securities Exchange Act of 1934, as amended and Section</w:t>
            </w:r>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sz w:val="20"/>
                <w:szCs w:val="20"/>
                <w:color w:val="auto"/>
              </w:rPr>
            </w:pPr>
            <w:r>
              <w:rPr>
                <w:rFonts w:ascii="Times New Roman" w:cs="Times New Roman" w:eastAsia="Times New Roman" w:hAnsi="Times New Roman"/>
                <w:sz w:val="16"/>
                <w:szCs w:val="16"/>
                <w:color w:val="0000FF"/>
              </w:rPr>
              <w:t>1350 of Chapter 63 of Title 18 of the United States Code (18 U.S.C. §1350).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tcBorders>
              <w:right w:val="single" w:sz="8" w:color="0000EE"/>
            </w:tcBorders>
            <w:gridSpan w:val="19"/>
            <w:shd w:val="clear" w:color="auto" w:fill="0000FF"/>
          </w:tcPr>
          <w:p>
            <w:pPr>
              <w:spacing w:after="0" w:line="20" w:lineRule="exact"/>
              <w:rPr>
                <w:sz w:val="1"/>
                <w:szCs w:val="1"/>
                <w:color w:val="auto"/>
              </w:rPr>
            </w:pPr>
          </w:p>
        </w:tc>
        <w:tc>
          <w:tcPr>
            <w:tcW w:w="4900" w:type="dxa"/>
            <w:vAlign w:val="bottom"/>
            <w:gridSpan w:val="18"/>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Pr>
          <w:p>
            <w:pPr>
              <w:spacing w:after="0"/>
              <w:rPr>
                <w:sz w:val="24"/>
                <w:szCs w:val="24"/>
                <w:color w:val="auto"/>
              </w:rPr>
            </w:pPr>
          </w:p>
        </w:tc>
        <w:tc>
          <w:tcPr>
            <w:tcW w:w="988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6"/>
                <w:szCs w:val="16"/>
                <w:color w:val="0000FF"/>
              </w:rPr>
              <w:t>Certification of the Chief Financial Officer pursuant to Rules 13a-14(b) and 15d-14(b) of the Securities Exchange Act of 1934, as amended and Section</w:t>
            </w:r>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100" w:type="dxa"/>
            <w:vAlign w:val="bottom"/>
            <w:gridSpan w:val="45"/>
          </w:tcPr>
          <w:p>
            <w:pPr>
              <w:spacing w:after="0" w:line="183" w:lineRule="exact"/>
              <w:rPr>
                <w:sz w:val="20"/>
                <w:szCs w:val="20"/>
                <w:color w:val="auto"/>
              </w:rPr>
            </w:pPr>
            <w:r>
              <w:rPr>
                <w:rFonts w:ascii="Times New Roman" w:cs="Times New Roman" w:eastAsia="Times New Roman" w:hAnsi="Times New Roman"/>
                <w:sz w:val="16"/>
                <w:szCs w:val="16"/>
                <w:color w:val="0000FF"/>
              </w:rPr>
              <w:t>1350 of Chapter 63 of Title 18 of the United States Code (18 U.S.C. §1350).</w:t>
            </w:r>
          </w:p>
        </w:tc>
        <w:tc>
          <w:tcPr>
            <w:tcW w:w="0" w:type="dxa"/>
            <w:vAlign w:val="bottom"/>
          </w:tcPr>
          <w:p>
            <w:pPr>
              <w:spacing w:after="0"/>
              <w:rPr>
                <w:sz w:val="1"/>
                <w:szCs w:val="1"/>
                <w:color w:val="auto"/>
              </w:rPr>
            </w:pPr>
          </w:p>
        </w:tc>
      </w:tr>
      <w:tr>
        <w:trPr>
          <w:trHeight w:val="419"/>
        </w:trPr>
        <w:tc>
          <w:tcPr>
            <w:tcW w:w="1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tcPr>
          <w:p>
            <w:pPr>
              <w:spacing w:after="0"/>
              <w:rPr>
                <w:sz w:val="24"/>
                <w:szCs w:val="24"/>
                <w:color w:val="auto"/>
              </w:rPr>
            </w:pPr>
          </w:p>
        </w:tc>
        <w:tc>
          <w:tcPr>
            <w:tcW w:w="49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6"/>
                <w:szCs w:val="16"/>
                <w:color w:val="auto"/>
              </w:rPr>
              <w:t>Inline Interactive Data Files pursuant to Rule 405 of Regulation S-T.</w:t>
            </w:r>
          </w:p>
        </w:tc>
        <w:tc>
          <w:tcPr>
            <w:tcW w:w="512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140" w:hanging="970"/>
        <w:spacing w:after="0"/>
        <w:tabs>
          <w:tab w:leader="none" w:pos="11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cover page has been formatted in Inline XBRL.</w:t>
      </w:r>
    </w:p>
    <w:p>
      <w:pPr>
        <w:spacing w:after="0" w:line="234" w:lineRule="exact"/>
        <w:rPr>
          <w:rFonts w:ascii="Times New Roman" w:cs="Times New Roman" w:eastAsia="Times New Roman" w:hAnsi="Times New Roman"/>
          <w:sz w:val="16"/>
          <w:szCs w:val="16"/>
          <w:color w:val="auto"/>
        </w:rPr>
      </w:pPr>
    </w:p>
    <w:p>
      <w:pPr>
        <w:ind w:left="500" w:hanging="118"/>
        <w:spacing w:after="0"/>
        <w:tabs>
          <w:tab w:leader="none" w:pos="500" w:val="left"/>
        </w:tabs>
        <w:numPr>
          <w:ilvl w:val="1"/>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Schedules have been omitted pursuant to Item 601(a)(5) of Regulation S-K.</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color w:val="auto"/>
        </w:rPr>
        <w:t>Dated: August 6, 2025</w:t>
      </w:r>
      <w:r>
        <w:rPr>
          <w:sz w:val="20"/>
          <w:szCs w:val="20"/>
          <w:color w:val="auto"/>
        </w:rPr>
        <w:tab/>
      </w:r>
      <w:r>
        <w:rPr>
          <w:rFonts w:ascii="Times New Roman" w:cs="Times New Roman" w:eastAsia="Times New Roman" w:hAnsi="Times New Roman"/>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34" w:lineRule="exact"/>
        <w:rPr>
          <w:sz w:val="20"/>
          <w:szCs w:val="20"/>
          <w:color w:val="auto"/>
        </w:rPr>
      </w:pPr>
    </w:p>
    <w:p>
      <w:pPr>
        <w:ind w:left="5840"/>
        <w:spacing w:after="0"/>
        <w:tabs>
          <w:tab w:leader="none" w:pos="6260" w:val="left"/>
        </w:tabs>
        <w:rPr>
          <w:sz w:val="20"/>
          <w:szCs w:val="20"/>
          <w:color w:val="auto"/>
        </w:rPr>
      </w:pPr>
      <w:r>
        <w:rPr>
          <w:rFonts w:ascii="Times New Roman" w:cs="Times New Roman" w:eastAsia="Times New Roman" w:hAnsi="Times New Roman"/>
          <w:sz w:val="18"/>
          <w:szCs w:val="18"/>
          <w:color w:val="auto"/>
        </w:rPr>
        <w:t>By:</w:t>
        <w:tab/>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1" w:name="page82"/>
    <w:bookmarkEnd w:id="81"/>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14, 2025</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 Transition and Separation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Burkhard Blank:</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color w:val="auto"/>
        </w:rPr>
        <w:t>This letter sets forth the terms of the transition and separation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that MannKind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offering to you.</w:t>
      </w:r>
    </w:p>
    <w:p>
      <w:pPr>
        <w:spacing w:after="0" w:line="150" w:lineRule="exact"/>
        <w:rPr>
          <w:sz w:val="20"/>
          <w:szCs w:val="20"/>
          <w:color w:val="auto"/>
        </w:rPr>
      </w:pPr>
    </w:p>
    <w:p>
      <w:pPr>
        <w:jc w:val="both"/>
        <w:ind w:firstLine="757"/>
        <w:spacing w:after="0" w:line="246" w:lineRule="auto"/>
        <w:tabs>
          <w:tab w:leader="none" w:pos="1018"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color w:val="auto"/>
        </w:rPr>
        <w:t>. As we have discussed, due to our corporate transition your employment termination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Separation Date</w:t>
      </w:r>
      <w:r>
        <w:rPr>
          <w:rFonts w:ascii="Times New Roman" w:cs="Times New Roman" w:eastAsia="Times New Roman" w:hAnsi="Times New Roman"/>
          <w:sz w:val="22"/>
          <w:szCs w:val="22"/>
          <w:color w:val="auto"/>
        </w:rPr>
        <w:t>”) will be August 1, 2025, or such earlier date as your employment may be terminated by either you or the Company pursuant to Section 2 below.</w:t>
      </w:r>
    </w:p>
    <w:p>
      <w:pPr>
        <w:spacing w:after="0" w:line="16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ransition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eriod</w:t>
      </w:r>
      <w:r>
        <w:rPr>
          <w:rFonts w:ascii="Times New Roman" w:cs="Times New Roman" w:eastAsia="Times New Roman" w:hAnsi="Times New Roman"/>
          <w:sz w:val="22"/>
          <w:szCs w:val="22"/>
          <w:b w:val="1"/>
          <w:bCs w:val="1"/>
          <w:color w:val="auto"/>
        </w:rPr>
        <w:t>.</w:t>
      </w:r>
    </w:p>
    <w:p>
      <w:pPr>
        <w:spacing w:after="0" w:line="206" w:lineRule="exact"/>
        <w:rPr>
          <w:rFonts w:ascii="Times New Roman" w:cs="Times New Roman" w:eastAsia="Times New Roman" w:hAnsi="Times New Roman"/>
          <w:sz w:val="22"/>
          <w:szCs w:val="22"/>
          <w:b w:val="1"/>
          <w:bCs w:val="1"/>
          <w:color w:val="auto"/>
        </w:rPr>
      </w:pPr>
    </w:p>
    <w:p>
      <w:pPr>
        <w:jc w:val="both"/>
        <w:ind w:firstLine="1505"/>
        <w:spacing w:after="0" w:line="235" w:lineRule="auto"/>
        <w:tabs>
          <w:tab w:leader="none" w:pos="203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Transition Period Duties. </w:t>
      </w:r>
      <w:r>
        <w:rPr>
          <w:rFonts w:ascii="Times New Roman" w:cs="Times New Roman" w:eastAsia="Times New Roman" w:hAnsi="Times New Roman"/>
          <w:sz w:val="22"/>
          <w:szCs w:val="22"/>
          <w:color w:val="auto"/>
        </w:rPr>
        <w:t>During the period (the “</w:t>
      </w:r>
      <w:r>
        <w:rPr>
          <w:rFonts w:ascii="Times New Roman" w:cs="Times New Roman" w:eastAsia="Times New Roman" w:hAnsi="Times New Roman"/>
          <w:sz w:val="22"/>
          <w:szCs w:val="22"/>
          <w:b w:val="1"/>
          <w:bCs w:val="1"/>
          <w:color w:val="auto"/>
        </w:rPr>
        <w:t>Transition Period</w:t>
      </w:r>
      <w:r>
        <w:rPr>
          <w:rFonts w:ascii="Times New Roman" w:cs="Times New Roman" w:eastAsia="Times New Roman" w:hAnsi="Times New Roman"/>
          <w:sz w:val="22"/>
          <w:szCs w:val="22"/>
          <w:color w:val="auto"/>
        </w:rPr>
        <w:t>”) between now and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Separation Date, you will remain an employee of the Company and continue to perform your present duties as Executive Vice President, Special Advisor, reporting to Michael Castagna, unless directed by the Company to change your job duties or reporting relationship. You are expected to comply with all Company policies and procedures and with all of your contractual obligations to the Company (including, without limitation, your obligations under your Employee Proprietary Information and Inventions Agreement and this Agreement). During the Transition Period, you will continue to perform your customary duties and responsibilities as directed. In the event a long-term replacement for your position is hired during the Transition Period, your duties will include providing training and transition assistance for your replacement.</w:t>
      </w:r>
    </w:p>
    <w:p>
      <w:pPr>
        <w:spacing w:after="0" w:line="178" w:lineRule="exact"/>
        <w:rPr>
          <w:rFonts w:ascii="Times New Roman" w:cs="Times New Roman" w:eastAsia="Times New Roman" w:hAnsi="Times New Roman"/>
          <w:sz w:val="22"/>
          <w:szCs w:val="22"/>
          <w:b w:val="1"/>
          <w:bCs w:val="1"/>
          <w:color w:val="auto"/>
        </w:rPr>
      </w:pPr>
    </w:p>
    <w:p>
      <w:pPr>
        <w:ind w:firstLine="1505"/>
        <w:spacing w:after="0" w:line="262" w:lineRule="auto"/>
        <w:tabs>
          <w:tab w:leader="none" w:pos="2036" w:val="left"/>
        </w:tabs>
        <w:numPr>
          <w:ilvl w:val="1"/>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Transition Period Work Location. </w:t>
      </w:r>
      <w:r>
        <w:rPr>
          <w:rFonts w:ascii="Times New Roman" w:cs="Times New Roman" w:eastAsia="Times New Roman" w:hAnsi="Times New Roman"/>
          <w:sz w:val="22"/>
          <w:szCs w:val="22"/>
          <w:color w:val="auto"/>
        </w:rPr>
        <w:t>During the period between the Effective Date 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Separation Date, you will continue to perform your services remotely.</w:t>
      </w:r>
    </w:p>
    <w:p>
      <w:pPr>
        <w:spacing w:after="0" w:line="149" w:lineRule="exact"/>
        <w:rPr>
          <w:rFonts w:ascii="Times New Roman" w:cs="Times New Roman" w:eastAsia="Times New Roman" w:hAnsi="Times New Roman"/>
          <w:sz w:val="22"/>
          <w:szCs w:val="22"/>
          <w:b w:val="1"/>
          <w:bCs w:val="1"/>
          <w:color w:val="auto"/>
        </w:rPr>
      </w:pPr>
    </w:p>
    <w:p>
      <w:pPr>
        <w:jc w:val="both"/>
        <w:ind w:left="100" w:firstLine="1495"/>
        <w:spacing w:after="0" w:line="246" w:lineRule="auto"/>
        <w:tabs>
          <w:tab w:leader="none" w:pos="2047"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Standard Compensation/Benefits. </w:t>
      </w:r>
      <w:r>
        <w:rPr>
          <w:rFonts w:ascii="Times New Roman" w:cs="Times New Roman" w:eastAsia="Times New Roman" w:hAnsi="Times New Roman"/>
          <w:sz w:val="22"/>
          <w:szCs w:val="22"/>
          <w:color w:val="auto"/>
        </w:rPr>
        <w:t>During the Transition Period, you will continue to receive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current base salary, subject to standard withholdings and deductions and you will be eligible for the Company’s standard benefits, subject to the terms of such plans and programs and applicable law.</w:t>
      </w:r>
    </w:p>
    <w:p>
      <w:pPr>
        <w:spacing w:after="0" w:line="167" w:lineRule="exact"/>
        <w:rPr>
          <w:rFonts w:ascii="Times New Roman" w:cs="Times New Roman" w:eastAsia="Times New Roman" w:hAnsi="Times New Roman"/>
          <w:sz w:val="22"/>
          <w:szCs w:val="22"/>
          <w:b w:val="1"/>
          <w:bCs w:val="1"/>
          <w:color w:val="auto"/>
        </w:rPr>
      </w:pPr>
    </w:p>
    <w:p>
      <w:pPr>
        <w:jc w:val="both"/>
        <w:ind w:left="100" w:firstLine="1495"/>
        <w:spacing w:after="0" w:line="236" w:lineRule="auto"/>
        <w:tabs>
          <w:tab w:leader="none" w:pos="2047" w:val="left"/>
        </w:tabs>
        <w:numPr>
          <w:ilvl w:val="2"/>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Health Insurance. </w:t>
      </w:r>
      <w:r>
        <w:rPr>
          <w:rFonts w:ascii="Times New Roman" w:cs="Times New Roman" w:eastAsia="Times New Roman" w:hAnsi="Times New Roman"/>
          <w:sz w:val="22"/>
          <w:szCs w:val="22"/>
          <w:color w:val="auto"/>
        </w:rPr>
        <w:t>To the extent provided by the federal COBRA law, or if applicable, state insurance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laws (collectively, “</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and by the Company’s group health insurance policies, you will be eligible to continue your group health insurance benefits, provided that you timely elect continued coverage under COBRA upon a qualifying event. Upon the occurrence of a COBRA qualifying event either on or before the Separation Date, and provided that you timely elect continued health insurance coverage under COBRA, the Company will pay your COBRA premiums sufficient to continue group health insurance coverage at your current level, through the earliest of: (i) two months after the date of the qualifying event; (ii)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2" w:name="page83"/>
    <w:bookmarkEnd w:id="82"/>
    <w:p>
      <w:pPr>
        <w:jc w:val="both"/>
        <w:ind w:right="20"/>
        <w:spacing w:after="0" w:line="239" w:lineRule="auto"/>
        <w:rPr>
          <w:sz w:val="20"/>
          <w:szCs w:val="20"/>
          <w:color w:val="auto"/>
        </w:rPr>
      </w:pPr>
      <w:r>
        <w:rPr>
          <w:rFonts w:ascii="Times New Roman" w:cs="Times New Roman" w:eastAsia="Times New Roman" w:hAnsi="Times New Roman"/>
          <w:sz w:val="22"/>
          <w:szCs w:val="22"/>
          <w:color w:val="auto"/>
        </w:rPr>
        <w:t>you become eligible for group health insurance coverage through a new employer; or (iii) the date you cease to be eligible for COBRA continuation coverage for any reason, including plan termination. In the event you become covered under another employer’s group health plan or otherwise cease to be eligible for COBRA during the COBRA premium period, you must immediately provide written notice to the Company.</w:t>
      </w:r>
    </w:p>
    <w:p>
      <w:pPr>
        <w:spacing w:after="0" w:line="176" w:lineRule="exact"/>
        <w:rPr>
          <w:sz w:val="20"/>
          <w:szCs w:val="20"/>
          <w:color w:val="auto"/>
        </w:rPr>
      </w:pPr>
    </w:p>
    <w:p>
      <w:pPr>
        <w:jc w:val="both"/>
        <w:ind w:firstLine="1495"/>
        <w:spacing w:after="0" w:line="244" w:lineRule="auto"/>
        <w:tabs>
          <w:tab w:leader="none" w:pos="1947"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Stock Options and Restricted Stock Units</w:t>
      </w:r>
      <w:r>
        <w:rPr>
          <w:rFonts w:ascii="Times New Roman" w:cs="Times New Roman" w:eastAsia="Times New Roman" w:hAnsi="Times New Roman"/>
          <w:sz w:val="21"/>
          <w:szCs w:val="21"/>
          <w:color w:val="auto"/>
        </w:rPr>
        <w:t>. To the extent that you may have been previously granted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awards, including but not limited to restricted stock units and performance stock units (the “</w:t>
      </w:r>
      <w:r>
        <w:rPr>
          <w:rFonts w:ascii="Times New Roman" w:cs="Times New Roman" w:eastAsia="Times New Roman" w:hAnsi="Times New Roman"/>
          <w:sz w:val="21"/>
          <w:szCs w:val="21"/>
          <w:b w:val="1"/>
          <w:bCs w:val="1"/>
          <w:color w:val="auto"/>
        </w:rPr>
        <w:t>Stock Units</w:t>
      </w:r>
      <w:r>
        <w:rPr>
          <w:rFonts w:ascii="Times New Roman" w:cs="Times New Roman" w:eastAsia="Times New Roman" w:hAnsi="Times New Roman"/>
          <w:sz w:val="21"/>
          <w:szCs w:val="21"/>
          <w:color w:val="auto"/>
        </w:rPr>
        <w:t>”) in, or options (the “</w:t>
      </w:r>
      <w:r>
        <w:rPr>
          <w:rFonts w:ascii="Times New Roman" w:cs="Times New Roman" w:eastAsia="Times New Roman" w:hAnsi="Times New Roman"/>
          <w:sz w:val="21"/>
          <w:szCs w:val="21"/>
          <w:b w:val="1"/>
          <w:bCs w:val="1"/>
          <w:color w:val="auto"/>
        </w:rPr>
        <w:t>Options</w:t>
      </w:r>
      <w:r>
        <w:rPr>
          <w:rFonts w:ascii="Times New Roman" w:cs="Times New Roman" w:eastAsia="Times New Roman" w:hAnsi="Times New Roman"/>
          <w:sz w:val="21"/>
          <w:szCs w:val="21"/>
          <w:color w:val="auto"/>
        </w:rPr>
        <w:t>”) to purchase, shares of the Company’s common stock, pursuant to the Company’s applicable equity incentive plan documents (collectively,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and your Option and Stock Units grant documents, your Options and Stock Units will continue to vest during the Transition Period pursuant to the Plan; they continue to be governed by the Plan and applicable grant documents; and they will cease vesting as of the Separation Date. For clarity, 52,500 shares from your 2023 time-based restricted stock unit are expected to vest on May 24, 2025 and 32,250 shares from your 2024 time-based restricted stock unit are expected to vest on July 15, 2025. Any vested Option shares will be exercisable pursuant to the terms of the Plan and applicable grant documents. You will not be eligible to receive additional equity awards during the Transition Period. In addition, you acknowledge and agree that all Stock Units, even those subject to ongoing performance measurement periods, will be forfeited upon execution and effectiveness of the Separation Date Release. For clarification purposes, by signing such release, you agree that your 2024 performance stock unit grant is forfeited and that you will not be eligible for a pro-rata delivery of the underlying shares in July 2027. The Company’s 10b5-1 trading plan policy will no longer apply to you after the Separation Date and you will be eligible to place open-market trades in shares of Company common stock as permitted by applicable law.</w:t>
      </w:r>
    </w:p>
    <w:p>
      <w:pPr>
        <w:spacing w:after="0" w:line="180" w:lineRule="exact"/>
        <w:rPr>
          <w:rFonts w:ascii="Times New Roman" w:cs="Times New Roman" w:eastAsia="Times New Roman" w:hAnsi="Times New Roman"/>
          <w:sz w:val="21"/>
          <w:szCs w:val="21"/>
          <w:b w:val="1"/>
          <w:bCs w:val="1"/>
          <w:color w:val="auto"/>
        </w:rPr>
      </w:pPr>
    </w:p>
    <w:p>
      <w:pPr>
        <w:jc w:val="both"/>
        <w:ind w:firstLine="1495"/>
        <w:spacing w:after="0" w:line="250" w:lineRule="auto"/>
        <w:tabs>
          <w:tab w:leader="none" w:pos="1947" w:val="left"/>
        </w:tabs>
        <w:numPr>
          <w:ilvl w:val="0"/>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w:t>
      </w:r>
      <w:r>
        <w:rPr>
          <w:rFonts w:ascii="Times New Roman" w:cs="Times New Roman" w:eastAsia="Times New Roman" w:hAnsi="Times New Roman"/>
          <w:sz w:val="21"/>
          <w:szCs w:val="21"/>
          <w:color w:val="auto"/>
        </w:rPr>
        <w:t>During the Transition Period, you are entitled to resign your employment at any time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any reason. Similarly, during the Transition Period, the Company is entitled to terminate your employment with Cause (as defined below). If the Company terminates your employment </w:t>
      </w:r>
      <w:r>
        <w:rPr>
          <w:rFonts w:ascii="Times New Roman" w:cs="Times New Roman" w:eastAsia="Times New Roman" w:hAnsi="Times New Roman"/>
          <w:sz w:val="21"/>
          <w:szCs w:val="21"/>
          <w:i w:val="1"/>
          <w:iCs w:val="1"/>
          <w:color w:val="auto"/>
        </w:rPr>
        <w:t>with Cause</w:t>
      </w:r>
      <w:r>
        <w:rPr>
          <w:rFonts w:ascii="Times New Roman" w:cs="Times New Roman" w:eastAsia="Times New Roman" w:hAnsi="Times New Roman"/>
          <w:sz w:val="21"/>
          <w:szCs w:val="21"/>
          <w:color w:val="auto"/>
        </w:rPr>
        <w:t xml:space="preserve"> during the Transition Period, your employment ends due to your death or disability, or you resign for any reason, your employment will end immediately and you will not receive any further compensation or benefits from the Company (including the Severance in Section 3 below), except for any unpaid salary and PTO accrued through your Separation Date and any vested benefit under a written ERISA-qualified benefit program.</w:t>
      </w:r>
    </w:p>
    <w:p>
      <w:pPr>
        <w:spacing w:after="0" w:line="164" w:lineRule="exact"/>
        <w:rPr>
          <w:rFonts w:ascii="Times New Roman" w:cs="Times New Roman" w:eastAsia="Times New Roman" w:hAnsi="Times New Roman"/>
          <w:sz w:val="21"/>
          <w:szCs w:val="21"/>
          <w:b w:val="1"/>
          <w:bCs w:val="1"/>
          <w:color w:val="auto"/>
        </w:rPr>
      </w:pPr>
    </w:p>
    <w:p>
      <w:pPr>
        <w:jc w:val="both"/>
        <w:ind w:firstLine="1495"/>
        <w:spacing w:after="0" w:line="237" w:lineRule="auto"/>
        <w:tabs>
          <w:tab w:leader="none" w:pos="1947"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“Cause” Definition. </w:t>
      </w:r>
      <w:r>
        <w:rPr>
          <w:rFonts w:ascii="Times New Roman" w:cs="Times New Roman" w:eastAsia="Times New Roman" w:hAnsi="Times New Roman"/>
          <w:sz w:val="22"/>
          <w:szCs w:val="22"/>
          <w:color w:val="auto"/>
        </w:rPr>
        <w:t>For purposes of this Agreement,</w:t>
      </w:r>
      <w:r>
        <w:rPr>
          <w:rFonts w:ascii="Times New Roman" w:cs="Times New Roman" w:eastAsia="Times New Roman" w:hAnsi="Times New Roman"/>
          <w:sz w:val="22"/>
          <w:szCs w:val="22"/>
          <w:b w:val="1"/>
          <w:bCs w:val="1"/>
          <w:color w:val="auto"/>
        </w:rPr>
        <w:t xml:space="preserve"> “Cause” </w:t>
      </w:r>
      <w:r>
        <w:rPr>
          <w:rFonts w:ascii="Times New Roman" w:cs="Times New Roman" w:eastAsia="Times New Roman" w:hAnsi="Times New Roman"/>
          <w:sz w:val="22"/>
          <w:szCs w:val="22"/>
          <w:color w:val="auto"/>
        </w:rPr>
        <w:t>for termination of your employment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mean any of the following: (i) your commission of any act of fraud, embezzlement, dishonesty or any other willful misconduct that has caused or is reasonably likely to cause injury to the Company; (ii) your unauthorized use or disclosure of any proprietary information or trade secrets of the Company or any other party in breach of a contractual commitment; (iii) your willful breach of any of your obligations under any written agreement with the Company or any Company policy; or (iv) your engaging in employment or performing any work activities competitive with the Company.</w:t>
      </w:r>
    </w:p>
    <w:p>
      <w:pPr>
        <w:spacing w:after="0" w:line="175" w:lineRule="exact"/>
        <w:rPr>
          <w:sz w:val="20"/>
          <w:szCs w:val="20"/>
          <w:color w:val="auto"/>
        </w:rPr>
      </w:pPr>
    </w:p>
    <w:p>
      <w:pPr>
        <w:ind w:left="920" w:hanging="174"/>
        <w:spacing w:after="0"/>
        <w:tabs>
          <w:tab w:leader="none" w:pos="9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everance</w:t>
      </w:r>
      <w:r>
        <w:rPr>
          <w:rFonts w:ascii="Times New Roman" w:cs="Times New Roman" w:eastAsia="Times New Roman" w:hAnsi="Times New Roman"/>
          <w:sz w:val="22"/>
          <w:szCs w:val="22"/>
          <w:b w:val="1"/>
          <w:bCs w:val="1"/>
          <w:color w:val="auto"/>
        </w:rPr>
        <w:t>, O</w:t>
      </w:r>
      <w:r>
        <w:rPr>
          <w:rFonts w:ascii="Times New Roman" w:cs="Times New Roman" w:eastAsia="Times New Roman" w:hAnsi="Times New Roman"/>
          <w:sz w:val="14"/>
          <w:szCs w:val="14"/>
          <w:b w:val="1"/>
          <w:bCs w:val="1"/>
          <w:color w:val="auto"/>
        </w:rPr>
        <w:t>utplacement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and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eparation</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ate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If you remain a Company employee through the</w:t>
      </w:r>
    </w:p>
    <w:p>
      <w:pPr>
        <w:spacing w:after="0" w:line="1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Separation Date, you remain in compliance with this Agreement and all Company policies, and you sign the Separation Date Release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1009650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xml:space="preserve">as </w:t>
      </w:r>
      <w:r>
        <w:rPr>
          <w:rFonts w:ascii="Times New Roman" w:cs="Times New Roman" w:eastAsia="Times New Roman" w:hAnsi="Times New Roman"/>
          <w:sz w:val="22"/>
          <w:szCs w:val="22"/>
          <w:b w:val="1"/>
          <w:bCs w:val="1"/>
          <w:i w:val="1"/>
          <w:iCs w:val="1"/>
          <w:color w:val="auto"/>
        </w:rPr>
        <w:t>Exhibit A</w:t>
      </w:r>
      <w:r>
        <w:rPr>
          <w:rFonts w:ascii="Times New Roman" w:cs="Times New Roman" w:eastAsia="Times New Roman" w:hAnsi="Times New Roman"/>
          <w:sz w:val="22"/>
          <w:szCs w:val="22"/>
          <w:color w:val="auto"/>
        </w:rPr>
        <w:t>) on the Separation Date or within twenty-one (21) days thereafter and allow it to become effective, then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will pay you the following payments, subject to standard employment and income tax deductions and withholdings:</w:t>
      </w:r>
    </w:p>
    <w:p>
      <w:pPr>
        <w:spacing w:after="0" w:line="178" w:lineRule="exact"/>
        <w:rPr>
          <w:sz w:val="20"/>
          <w:szCs w:val="20"/>
          <w:color w:val="auto"/>
        </w:rPr>
      </w:pPr>
    </w:p>
    <w:p>
      <w:pPr>
        <w:jc w:val="both"/>
        <w:ind w:left="-100" w:firstLine="1505"/>
        <w:spacing w:after="0" w:line="246" w:lineRule="auto"/>
        <w:tabs>
          <w:tab w:leader="none" w:pos="1936"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 amount equal to 13 weeks of your base salary at the time of your Separation Date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The Severance will be paid to you in the form of salary continuation payable at normal payroll intervals during the severance period on the dates when you would have received your payments of salary if you were still employed.</w:t>
      </w:r>
    </w:p>
    <w:p>
      <w:pPr>
        <w:spacing w:after="0" w:line="171" w:lineRule="exact"/>
        <w:rPr>
          <w:rFonts w:ascii="Times New Roman" w:cs="Times New Roman" w:eastAsia="Times New Roman" w:hAnsi="Times New Roman"/>
          <w:sz w:val="22"/>
          <w:szCs w:val="22"/>
          <w:b w:val="1"/>
          <w:bCs w:val="1"/>
          <w:color w:val="auto"/>
        </w:rPr>
      </w:pPr>
    </w:p>
    <w:p>
      <w:pPr>
        <w:ind w:left="-100" w:firstLine="1505"/>
        <w:spacing w:after="0" w:line="258" w:lineRule="auto"/>
        <w:tabs>
          <w:tab w:leader="none" w:pos="1936"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one-time payment of $386,000 to be paid on the second payroll period of 2026, approximately on January 16, 2026, and after the Release Effective Date, as defined in the Separation Date Release.</w:t>
      </w:r>
    </w:p>
    <w:p>
      <w:pPr>
        <w:spacing w:after="0" w:line="397" w:lineRule="exact"/>
        <w:rPr>
          <w:rFonts w:ascii="Times New Roman" w:cs="Times New Roman" w:eastAsia="Times New Roman" w:hAnsi="Times New Roman"/>
          <w:sz w:val="22"/>
          <w:szCs w:val="22"/>
          <w:b w:val="1"/>
          <w:bCs w:val="1"/>
          <w:color w:val="auto"/>
        </w:rPr>
      </w:pPr>
    </w:p>
    <w:p>
      <w:pPr>
        <w:ind w:left="-100" w:firstLine="757"/>
        <w:spacing w:after="0" w:line="262" w:lineRule="auto"/>
        <w:tabs>
          <w:tab w:leader="none" w:pos="91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ccrued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alary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Separation Date, or as soon as feasible thereafter, you will receive a final paycheck for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wages earned through the Separation Date (subject to standard withholdings and deductions), and, as required by law.</w:t>
      </w:r>
    </w:p>
    <w:p>
      <w:pPr>
        <w:spacing w:after="0" w:line="149" w:lineRule="exact"/>
        <w:rPr>
          <w:rFonts w:ascii="Times New Roman" w:cs="Times New Roman" w:eastAsia="Times New Roman" w:hAnsi="Times New Roman"/>
          <w:sz w:val="22"/>
          <w:szCs w:val="22"/>
          <w:b w:val="1"/>
          <w:bCs w:val="1"/>
          <w:color w:val="auto"/>
        </w:rPr>
      </w:pPr>
    </w:p>
    <w:p>
      <w:pPr>
        <w:ind w:left="-100" w:firstLine="757"/>
        <w:spacing w:after="0" w:line="262" w:lineRule="auto"/>
        <w:tabs>
          <w:tab w:leader="none" w:pos="91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ompensation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You acknowledge that, except as expressly provided in this Agreement, you will not receive any additional compensation, severance, equity, or benefits after the Separation Date.</w:t>
      </w:r>
    </w:p>
    <w:p>
      <w:pPr>
        <w:spacing w:after="0" w:line="149" w:lineRule="exact"/>
        <w:rPr>
          <w:rFonts w:ascii="Times New Roman" w:cs="Times New Roman" w:eastAsia="Times New Roman" w:hAnsi="Times New Roman"/>
          <w:sz w:val="22"/>
          <w:szCs w:val="22"/>
          <w:b w:val="1"/>
          <w:bCs w:val="1"/>
          <w:color w:val="auto"/>
        </w:rPr>
      </w:pPr>
    </w:p>
    <w:p>
      <w:pPr>
        <w:jc w:val="both"/>
        <w:ind w:left="-100" w:firstLine="757"/>
        <w:spacing w:after="0" w:line="246" w:lineRule="auto"/>
        <w:tabs>
          <w:tab w:leader="none" w:pos="91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xpense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eimbursements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agree that, within thirty (30) days after the Separation Date, you will submit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final documented expense reimbursement statement reflecting all business expenses you incurred through the Separation Date, if any, for which you seek reimbursement.</w:t>
      </w:r>
    </w:p>
    <w:p>
      <w:pPr>
        <w:spacing w:after="0" w:line="167" w:lineRule="exact"/>
        <w:rPr>
          <w:rFonts w:ascii="Times New Roman" w:cs="Times New Roman" w:eastAsia="Times New Roman" w:hAnsi="Times New Roman"/>
          <w:sz w:val="22"/>
          <w:szCs w:val="22"/>
          <w:b w:val="1"/>
          <w:bCs w:val="1"/>
          <w:color w:val="auto"/>
        </w:rPr>
      </w:pPr>
    </w:p>
    <w:p>
      <w:pPr>
        <w:jc w:val="both"/>
        <w:ind w:left="-100" w:firstLine="757"/>
        <w:spacing w:after="0" w:line="258" w:lineRule="auto"/>
        <w:tabs>
          <w:tab w:leader="none" w:pos="918"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eturn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3"/>
          <w:szCs w:val="13"/>
          <w:b w:val="1"/>
          <w:bCs w:val="1"/>
          <w:color w:val="auto"/>
        </w:rPr>
        <w:t>roperty</w:t>
      </w:r>
      <w:r>
        <w:rPr>
          <w:rFonts w:ascii="Times New Roman" w:cs="Times New Roman" w:eastAsia="Times New Roman" w:hAnsi="Times New Roman"/>
          <w:sz w:val="20"/>
          <w:szCs w:val="20"/>
          <w:color w:val="auto"/>
        </w:rPr>
        <w:t>. By the Separation Date, you shall return to the Company all Company documents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all copies or reproductions thereof) and other Company property within your possession or control, including, but not limited to, Company hardcopy and electronic files, email, correspondence, notes, drawings, records, reports, studies, compilations of data, business plans and forecasts, proposals, agreements, personnel information, financial and operational information, sales and marketing information, research and development information, product and prototype information, specifications, computer-recorded information, tangible property and equipment including, but not limited to, credit cards, entry cards, identification badges, keys, computing and communication devices; and any materials of any kind that contain or embody any proprietary or confidential information of the Company (and all reproductions or embodiments thereof, in whole or in part and in any medium). Your timely return of all such Company documents and other property is a condition precedent to your receipt of Severance under this Agreement; provided, however, that you are permitted to retain copies of any agreement that you signed with the Company (after leaving with the Company the original or another copy, if you do not possess the original). Your return of property and information shall include return of a copy of any Company information stored on any personal computing device, and deletion of all such information from your personal devices without retention of any copy or embodiment; and you agree to permit the Company to inspect any such device to ensure that such return and deletion of information has taken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1155700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02" w:right="339" w:bottom="1440" w:gutter="0" w:footer="0" w:header="0"/>
        </w:sectPr>
      </w:pPr>
    </w:p>
    <w:bookmarkStart w:id="84" w:name="page85"/>
    <w:bookmarkEnd w:id="84"/>
    <w:p>
      <w:pPr>
        <w:ind w:left="1020" w:hanging="263"/>
        <w:spacing w:after="0"/>
        <w:tabs>
          <w:tab w:leader="none" w:pos="102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roprietary</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rotection and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ssignment of</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ights to</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ork</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roduct</w:t>
      </w:r>
      <w:r>
        <w:rPr>
          <w:rFonts w:ascii="Times New Roman" w:cs="Times New Roman" w:eastAsia="Times New Roman" w:hAnsi="Times New Roman"/>
          <w:sz w:val="22"/>
          <w:szCs w:val="22"/>
          <w:color w:val="auto"/>
        </w:rPr>
        <w:t>. You acknowledge and agree</w:t>
      </w:r>
    </w:p>
    <w:p>
      <w:pPr>
        <w:spacing w:after="0" w:line="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 xml:space="preserve">to abide by your continuing obligations under your Employee Proprietary Information and Inventions Agreement, attached hereto as </w:t>
      </w:r>
      <w:r>
        <w:rPr>
          <w:rFonts w:ascii="Times New Roman" w:cs="Times New Roman" w:eastAsia="Times New Roman" w:hAnsi="Times New Roman"/>
          <w:sz w:val="21"/>
          <w:szCs w:val="21"/>
          <w:b w:val="1"/>
          <w:bCs w:val="1"/>
          <w:i w:val="1"/>
          <w:iCs w:val="1"/>
          <w:color w:val="auto"/>
        </w:rPr>
        <w:t>Exhibit B</w:t>
      </w:r>
      <w:r>
        <w:rPr>
          <w:rFonts w:ascii="Times New Roman" w:cs="Times New Roman" w:eastAsia="Times New Roman" w:hAnsi="Times New Roman"/>
          <w:sz w:val="21"/>
          <w:szCs w:val="21"/>
          <w:color w:val="auto"/>
        </w:rPr>
        <w:t>. By way of example, you agree that, both during and after your employment, you will make no use or disclosure of any Company proprietary or confidential information unless specifically authorized in writing by a Company officer.</w:t>
      </w:r>
    </w:p>
    <w:p>
      <w:pPr>
        <w:spacing w:after="0" w:line="165" w:lineRule="exact"/>
        <w:rPr>
          <w:sz w:val="20"/>
          <w:szCs w:val="20"/>
          <w:color w:val="auto"/>
        </w:rPr>
      </w:pPr>
    </w:p>
    <w:p>
      <w:pPr>
        <w:jc w:val="both"/>
        <w:ind w:firstLine="757"/>
        <w:spacing w:after="0" w:line="237" w:lineRule="auto"/>
        <w:tabs>
          <w:tab w:leader="none" w:pos="1018"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onfidentiality</w:t>
      </w:r>
      <w:r>
        <w:rPr>
          <w:rFonts w:ascii="Times New Roman" w:cs="Times New Roman" w:eastAsia="Times New Roman" w:hAnsi="Times New Roman"/>
          <w:sz w:val="22"/>
          <w:szCs w:val="22"/>
          <w:color w:val="auto"/>
        </w:rPr>
        <w:t>. The provisions of this Agreement will be held in strictest confidence by you and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will not be publicized or disclosed in any manner whatsoever;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 you may disclose this Agreement in confidence to your immediate family; (b) the parties may disclose this Agreement in confidence to their respective attorneys, accountants, auditors, tax preparers, and financial advisors; (c) the Company may disclose this Agreement as necessary to fulfill standard or legally required corporate reporting or disclosure requirements; and (d) the parties may disclose this Agreement insofar as such disclosure may be necessary to enforce its terms or as otherwise required by law.</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10.N</w:t>
      </w:r>
      <w:r>
        <w:rPr>
          <w:rFonts w:ascii="Times New Roman" w:cs="Times New Roman" w:eastAsia="Times New Roman" w:hAnsi="Times New Roman"/>
          <w:sz w:val="14"/>
          <w:szCs w:val="14"/>
          <w:b w:val="1"/>
          <w:bCs w:val="1"/>
          <w:color w:val="auto"/>
        </w:rPr>
        <w:t>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no party will at any time disparage the other party and the other party’s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officers, directors, employees, shareholders and agents, in any manner likely to be harmful to them or their business, business reputations or personal reputations, provided that you may respond accurately and fully to any inquiry to the extent required by legal process.</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dmissions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understand and agree that the promises and payments in consideration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be construed to be an admission of any liability or obligation by the Company to you or to any other person, and that the Company makes no such admission.</w:t>
      </w:r>
    </w:p>
    <w:p>
      <w:pPr>
        <w:spacing w:after="0" w:line="167" w:lineRule="exact"/>
        <w:rPr>
          <w:sz w:val="20"/>
          <w:szCs w:val="20"/>
          <w:color w:val="auto"/>
        </w:rPr>
      </w:pPr>
    </w:p>
    <w:p>
      <w:pPr>
        <w:jc w:val="both"/>
        <w:ind w:firstLine="757"/>
        <w:spacing w:after="0" w:line="259" w:lineRule="auto"/>
        <w:tabs>
          <w:tab w:leader="none" w:pos="1018" w:val="left"/>
        </w:tabs>
        <w:numPr>
          <w:ilvl w:val="1"/>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elease of</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3"/>
          <w:szCs w:val="13"/>
          <w:b w:val="1"/>
          <w:bCs w:val="1"/>
          <w:color w:val="auto"/>
        </w:rPr>
        <w:t>laims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exchange for the consideration under this Agreement to which you would not otherwise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entitled, you hereby generally and completely release the Company and its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at any time prior to and including the time you sign this Agreement. This general release includes, but is not limited to:</w:t>
      </w:r>
    </w:p>
    <w:p>
      <w:pPr>
        <w:spacing w:after="0" w:line="2" w:lineRule="exact"/>
        <w:rPr>
          <w:rFonts w:ascii="Times New Roman" w:cs="Times New Roman" w:eastAsia="Times New Roman" w:hAnsi="Times New Roman"/>
          <w:sz w:val="20"/>
          <w:szCs w:val="20"/>
          <w:b w:val="1"/>
          <w:bCs w:val="1"/>
          <w:color w:val="auto"/>
        </w:rPr>
      </w:pPr>
    </w:p>
    <w:p>
      <w:pPr>
        <w:ind w:left="320" w:hanging="312"/>
        <w:spacing w:after="0" w:line="230" w:lineRule="auto"/>
        <w:tabs>
          <w:tab w:leader="none" w:pos="3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claims arising from or in any way related to your employment with the Company or the termination of that employment;</w:t>
      </w:r>
    </w:p>
    <w:p>
      <w:pPr>
        <w:jc w:val="both"/>
        <w:ind w:firstLine="8"/>
        <w:spacing w:after="0" w:line="243" w:lineRule="auto"/>
        <w:tabs>
          <w:tab w:leader="none" w:pos="307"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claims related to your compensation or benefits from the Company, including salary, bonuses, commissions, fees, vacation pay, expense reimbursements, severance pay, fringe benefits, stock, stock options, or any other ownership interests in the Company; (c) all claims for breach of contract, wrongful termination, and breach of the implied covenant of good faith and fair dealing; (d) all tort claims, including claims for fraud, defamation, emotional distress, and discharge in violation of public policy; and (e) all federal, state, and local statutory claims, including claims for discrimination, harassment, retaliation, attorneys’ fees, or other claims arising under the federal Age Discrimination in Employment in Employment Act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29 U.S.C. §§621, et seq., (as amended by the Older Workers' Benefit Protection Act, 29 U.S.C. §626(f)), Title VII of the Civil Rights Act of 1964, 42 U.S.C. §§2000, et seq., the Equal Pay Act, the Americans with Disabilities Act (42 U.S.C. §§12101, et seq.), the Employee Retirement Income Security Act ("ERISA"), 29 U.S.C. §§1001, et seq., the Family Medical Leave Act (29 USC §2601,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5" w:name="page86"/>
    <w:bookmarkEnd w:id="85"/>
    <w:p>
      <w:pPr>
        <w:jc w:val="both"/>
        <w:spacing w:after="0" w:line="234" w:lineRule="auto"/>
        <w:rPr>
          <w:sz w:val="20"/>
          <w:szCs w:val="20"/>
          <w:color w:val="auto"/>
        </w:rPr>
      </w:pPr>
      <w:r>
        <w:rPr>
          <w:rFonts w:ascii="Times New Roman" w:cs="Times New Roman" w:eastAsia="Times New Roman" w:hAnsi="Times New Roman"/>
          <w:sz w:val="22"/>
          <w:szCs w:val="22"/>
          <w:color w:val="auto"/>
        </w:rPr>
        <w:t>et seq.), and any claims under federal, state or local law for discrimination harassment, or retaliation or any other federal, state or local laws or regulations relating to terms and conditions of employment, including as applicable: the Connecticut Fair Employment Practices Act, Conn. Gen. Stat. §§ 31-51m; 31-51kk et seq.; 38a-538, 546; 38a-543; 46a-51; 46a-58; 46a-60; 46a-81c. Notwithstanding the foregoing, you are not releasing the Company hereby from any breach of its performance of this Agreement. Also, excluded from this Agreement are any claims that cannot be waived by law. You are not waiving your right to bring proceedings before administrative agencies such as the Equal Employment Opportunity Commission, Department of Labor, or the California Department of Fair Employment and Housing, provided that you are waiving any monetary recovery from such proceedings. You represent that you have no lawsuits, claims or actions pending in your name, or on behalf of any other person or entity, against the Company or any other person or entity subject to the release granted in this paragraph.</w:t>
      </w:r>
    </w:p>
    <w:p>
      <w:pPr>
        <w:spacing w:after="0" w:line="179" w:lineRule="exact"/>
        <w:rPr>
          <w:sz w:val="20"/>
          <w:szCs w:val="20"/>
          <w:color w:val="auto"/>
        </w:rPr>
      </w:pPr>
    </w:p>
    <w:p>
      <w:pPr>
        <w:jc w:val="both"/>
        <w:ind w:firstLine="757"/>
        <w:spacing w:after="0" w:line="234" w:lineRule="auto"/>
        <w:tabs>
          <w:tab w:leader="none" w:pos="1018"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ADEA R</w:t>
      </w:r>
      <w:r>
        <w:rPr>
          <w:rFonts w:ascii="Times New Roman" w:cs="Times New Roman" w:eastAsia="Times New Roman" w:hAnsi="Times New Roman"/>
          <w:sz w:val="14"/>
          <w:szCs w:val="14"/>
          <w:b w:val="1"/>
          <w:bCs w:val="1"/>
          <w:color w:val="auto"/>
        </w:rPr>
        <w:t>elease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that you are knowingly and voluntarily waiving and releasing any rights you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under the ADEA, and that the consideration given for the waiver and releases you have given in this Agreement is in addition to anything of value to which you were already entitled. You further acknowledge that you have been advised, as required by the ADEA, that: (a) your waiver and release does not apply to any rights or claims that arise after the date you sign this Agreement; (b) you should consult with an attorney prior to signing this Agreement (although you may choose voluntarily not to do so); (c) you have twenty-one (21) days to consider this Agreement (although you may choose voluntarily to sign it sooner); (d) you have seven (7) days following the date you sign this Agreement to revoke this Agreement (in a written revocation sent to me); and (e) this Agreement will not be effective until the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upon which the revocation period has expired, which will be the eighth day after you sign this Agreement provided that you do not revoke it. Any negotiations or revisions to this Agreement, whether material or immaterial, will not restart the consideration period.</w:t>
      </w:r>
    </w:p>
    <w:p>
      <w:pPr>
        <w:spacing w:after="0" w:line="179"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12.S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1542 W</w:t>
      </w:r>
      <w:r>
        <w:rPr>
          <w:rFonts w:ascii="Times New Roman" w:cs="Times New Roman" w:eastAsia="Times New Roman" w:hAnsi="Times New Roman"/>
          <w:sz w:val="14"/>
          <w:szCs w:val="14"/>
          <w:b w:val="1"/>
          <w:bCs w:val="1"/>
          <w:color w:val="auto"/>
        </w:rPr>
        <w:t>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granting the release herein, which includes claims that may be unknown to you at present,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acknowledge that you have read and understand Section 1542 of the California Civil Code:</w:t>
      </w:r>
    </w:p>
    <w:p>
      <w:pPr>
        <w:spacing w:after="0" w:line="150" w:lineRule="exact"/>
        <w:rPr>
          <w:sz w:val="20"/>
          <w:szCs w:val="20"/>
          <w:color w:val="auto"/>
        </w:rPr>
      </w:pPr>
    </w:p>
    <w:p>
      <w:pPr>
        <w:jc w:val="both"/>
        <w:ind w:left="760"/>
        <w:spacing w:after="0" w:line="246"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1"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You hereby expressly waive and relinquish all rights and benefits under that section and any law or legal principle of similar effect in any jurisdiction with respect to the releases granted herein, including but not limited to the release of unknown and unsuspected claims granted in this Agreement.</w:t>
      </w:r>
    </w:p>
    <w:p>
      <w:pPr>
        <w:spacing w:after="0" w:line="16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13.D</w:t>
      </w:r>
      <w:r>
        <w:rPr>
          <w:rFonts w:ascii="Times New Roman" w:cs="Times New Roman" w:eastAsia="Times New Roman" w:hAnsi="Times New Roman"/>
          <w:sz w:val="14"/>
          <w:szCs w:val="14"/>
          <w:b w:val="1"/>
          <w:bCs w:val="1"/>
          <w:color w:val="auto"/>
        </w:rPr>
        <w:t>ispute</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esolution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aid in the rapid and economical resolution of any disputes which may arise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you and the Company agree that any and all claims, disputes or controversies of any nature whatsoever arising from or regarding the interpretation, performance, negotiation, execution, enforcement or breach of this Agreement, your employment, or the termination of your employment, shall be resolved by confidential, final and binding arbitration conducted before a single arbitrator with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in the 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6" w:name="page87"/>
    <w:bookmarkEnd w:id="86"/>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Angeles, California area, in accordance with JAMS’ then-applicable arbitration rules, which appear at the following link: http://www.jamsadr.com/rules-comprehensive-arbitration/. </w:t>
      </w:r>
      <w:r>
        <w:rPr>
          <w:rFonts w:ascii="Times New Roman" w:cs="Times New Roman" w:eastAsia="Times New Roman" w:hAnsi="Times New Roman"/>
          <w:sz w:val="22"/>
          <w:szCs w:val="22"/>
          <w:b w:val="1"/>
          <w:bCs w:val="1"/>
          <w:color w:val="auto"/>
        </w:rPr>
        <w:t>The parties acknowledge that by agreeing to this arbitration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procedure, they waive the right to resolve any such dispute through a trial by jury, judge or administrative proceeding</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will have the right to be represented by legal counsel at any arbitration proceeding.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bear JAMS’ arbitration fees and administrative costs. Nothing in this Agreement shall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14.R</w:t>
      </w:r>
      <w:r>
        <w:rPr>
          <w:rFonts w:ascii="Times New Roman" w:cs="Times New Roman" w:eastAsia="Times New Roman" w:hAnsi="Times New Roman"/>
          <w:sz w:val="14"/>
          <w:szCs w:val="14"/>
          <w:b w:val="1"/>
          <w:bCs w:val="1"/>
          <w:color w:val="auto"/>
        </w:rPr>
        <w:t>epresentations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 hereby represent that you have been paid all compensation owed and for all hours worked,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received all the leave and leave benefits and protections for which you are eligible pursuant to the Family and Medical Leave Act, the California Family Rights Act, or otherwise, and have not suffered any on-the-job injury for which you have not already filed a workers’ compensation claim.</w:t>
      </w:r>
    </w:p>
    <w:p>
      <w:pPr>
        <w:spacing w:after="0" w:line="1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0"/>
          <w:szCs w:val="20"/>
          <w:b w:val="1"/>
          <w:bCs w:val="1"/>
          <w:color w:val="auto"/>
        </w:rPr>
        <w:t>15.M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including all exhibits, constitutes the complete, final and exclusive embodiment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entire agreement between you and the Company with regard to its subject matter. It is entered into without reliance on any promise or representation, written or oral, other than those expressly contained herein. Except as expressly provided in this Agreement, it supersedes any other such promises, warranties or representations, including, but not limited to, your employment offer letter and MannKind Corporation’s Severance Benefit Plan. This Agreement may not be modified or amended except in a written agreement signed by both you and a duly authorized officer of the Company. If any provision of this Agreement (including, but not limited to, the Employee Proprietary Information and Inventions Agreement, incorporated by reference herein) becomes or is declared illegal, unenforceable or void, this Agreement shall continue in full force and effect, and said provision shall be deemed modified and enforceable consistent with the intent of the parties insofar as possible under applicable law. This Agreement will be construed and enforced in accordance with the laws of the state in which you primarily work without respect to conflicts of law principles. Any ambiguity in this Agreement shall not be construed against either party as the drafter. Any waiver of a breach of this Agreement must be in writing and shall not be deemed a waiver of any successive breach. This Agreement may be executed in counterparts and facsimile signatures will suffice as original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7" w:name="page88"/>
    <w:bookmarkEnd w:id="87"/>
    <w:p>
      <w:pPr>
        <w:ind w:right="120"/>
        <w:spacing w:after="0" w:line="244" w:lineRule="auto"/>
        <w:rPr>
          <w:sz w:val="20"/>
          <w:szCs w:val="20"/>
          <w:color w:val="auto"/>
        </w:rPr>
      </w:pPr>
      <w:r>
        <w:rPr>
          <w:rFonts w:ascii="Times New Roman" w:cs="Times New Roman" w:eastAsia="Times New Roman" w:hAnsi="Times New Roman"/>
          <w:sz w:val="22"/>
          <w:szCs w:val="22"/>
          <w:color w:val="auto"/>
        </w:rPr>
        <w:t>If this Agreement is acceptable to you, please sign below and return the original to me. You have twenty-one (21) calendar days from today’s date to decide whether to accept this Agreement, and the Company’s offer contained herein will automatically expire if you do not sign and return it within this timeframe.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David Thomson</w:t>
      </w:r>
    </w:p>
    <w:p>
      <w:pPr>
        <w:spacing w:after="0" w:line="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Name:</w:t>
        <w:tab/>
        <w:t>David Thomson</w:t>
      </w: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General Counsel</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 </w:t>
      </w:r>
      <w:r>
        <w:rPr>
          <w:rFonts w:ascii="Times New Roman" w:cs="Times New Roman" w:eastAsia="Times New Roman" w:hAnsi="Times New Roman"/>
          <w:sz w:val="14"/>
          <w:szCs w:val="14"/>
          <w:b w:val="1"/>
          <w:bCs w:val="1"/>
          <w:color w:val="auto"/>
        </w:rPr>
        <w:t>have read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understand and accept the foregoing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0"/>
                <w:szCs w:val="20"/>
                <w:color w:val="auto"/>
              </w:rPr>
            </w:pPr>
            <w:r>
              <w:rPr>
                <w:rFonts w:ascii="Times New Roman" w:cs="Times New Roman" w:eastAsia="Times New Roman" w:hAnsi="Times New Roman"/>
                <w:sz w:val="22"/>
                <w:szCs w:val="22"/>
                <w:color w:val="auto"/>
              </w:rPr>
              <w:t>/s/ Burkhard Blank</w:t>
            </w:r>
          </w:p>
        </w:tc>
        <w:tc>
          <w:tcPr>
            <w:tcW w:w="860" w:type="dxa"/>
            <w:vAlign w:val="bottom"/>
          </w:tcPr>
          <w:p>
            <w:pPr>
              <w:spacing w:after="0"/>
              <w:rPr>
                <w:sz w:val="22"/>
                <w:szCs w:val="22"/>
                <w:color w:val="auto"/>
              </w:rPr>
            </w:pPr>
          </w:p>
        </w:tc>
        <w:tc>
          <w:tcPr>
            <w:tcW w:w="8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May 23, 2025</w:t>
            </w:r>
          </w:p>
        </w:tc>
      </w:tr>
      <w:tr>
        <w:trPr>
          <w:trHeight w:val="276"/>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Burkhard Blank</w:t>
            </w:r>
          </w:p>
        </w:tc>
        <w:tc>
          <w:tcPr>
            <w:tcW w:w="860" w:type="dxa"/>
            <w:vAlign w:val="bottom"/>
          </w:tcPr>
          <w:p>
            <w:pPr>
              <w:spacing w:after="0"/>
              <w:rPr>
                <w:sz w:val="23"/>
                <w:szCs w:val="23"/>
                <w:color w:val="auto"/>
              </w:rPr>
            </w:pPr>
          </w:p>
        </w:tc>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c>
          <w:tcPr>
            <w:tcW w:w="7440" w:type="dxa"/>
            <w:vAlign w:val="bottom"/>
          </w:tcPr>
          <w:p>
            <w:pPr>
              <w:spacing w:after="0"/>
              <w:rPr>
                <w:sz w:val="23"/>
                <w:szCs w:val="23"/>
                <w:color w:val="auto"/>
              </w:rPr>
            </w:pPr>
          </w:p>
        </w:tc>
      </w:tr>
      <w:tr>
        <w:trPr>
          <w:trHeight w:val="1615"/>
        </w:trPr>
        <w:tc>
          <w:tcPr>
            <w:tcW w:w="17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A</w:t>
      </w:r>
    </w:p>
    <w:p>
      <w:pPr>
        <w:spacing w:after="0" w:line="20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SEPARATION DATE RELEASE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signed on or within 21 days after the Separation Date.)</w:t>
      </w:r>
    </w:p>
    <w:p>
      <w:pPr>
        <w:spacing w:after="0" w:line="314"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21"/>
          <w:szCs w:val="21"/>
          <w:color w:val="auto"/>
        </w:rPr>
        <w:t>In consideration for the various benefits provided to me by MannKind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pursuant to my letter Transition and Separation Agreement with the Company dated May 14, 2025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 agree to the terms below.</w:t>
      </w:r>
    </w:p>
    <w:p>
      <w:pPr>
        <w:spacing w:after="0" w:line="130"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I hereby confirm that: I have been paid all compensation owed for all hours worked by me for the Company; I have received all leave and leave benefits and protections for which I was eligible (pursuant to the Family and Medical Leave Act, the California Family Rights Act or otherwise) in connection with my work with the Company; and I have not suffered any injury or illness in connection with my work with the Company for which I have not already filed a claim.</w:t>
      </w:r>
    </w:p>
    <w:p>
      <w:pPr>
        <w:spacing w:after="0" w:line="180" w:lineRule="exact"/>
        <w:rPr>
          <w:sz w:val="20"/>
          <w:szCs w:val="20"/>
          <w:color w:val="auto"/>
        </w:rPr>
      </w:pPr>
    </w:p>
    <w:p>
      <w:pPr>
        <w:jc w:val="both"/>
        <w:ind w:firstLine="432"/>
        <w:spacing w:after="0" w:line="232" w:lineRule="auto"/>
        <w:rPr>
          <w:sz w:val="20"/>
          <w:szCs w:val="20"/>
          <w:color w:val="auto"/>
        </w:rPr>
      </w:pPr>
      <w:r>
        <w:rPr>
          <w:rFonts w:ascii="Times New Roman" w:cs="Times New Roman" w:eastAsia="Times New Roman" w:hAnsi="Times New Roman"/>
          <w:sz w:val="22"/>
          <w:szCs w:val="22"/>
          <w:color w:val="auto"/>
        </w:rPr>
        <w:t>I hereby generally and completely release the Company and its current and former directors, officers, employees, shareholders, partners, agents, attorneys, predecessors, successors, parent and subsidiary entities, insurers, affiliates, and assigns from any and all claims, liabilities and obligations, both known and unknown, arising from or in any way related to events, acts, conduct, or omissions occurring prior to and including the time I sign this Separation Date Release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This general release includes, but is not limited to: (1) all claims arising from or in any way related to my employment with the Company, or the termination of that employment; (2) all claims related to compensation or benefits from the Company, including salary, bonuses, commissions, vacation pay, paid time off, expense reimbursements, severance pay, fringe benefits, stock, stock options, or any other ownership interests in the Company; (3) all claims for breach of contract, wrongful termination, and breach of the implied covenant of good faith and fair dealing; (4) all tort claims, including claims for fraud, defamation, emotional distress, and discharge in violation of public policy; and (5) all federal, state, and local statutory claims, including claims for discrimination, harassment, retaliation, attorneys’ fees, or other claims arising under the federal Age Discrimination in Employment in Employment Act (“</w:t>
      </w:r>
      <w:r>
        <w:rPr>
          <w:rFonts w:ascii="Times New Roman" w:cs="Times New Roman" w:eastAsia="Times New Roman" w:hAnsi="Times New Roman"/>
          <w:sz w:val="22"/>
          <w:szCs w:val="22"/>
          <w:b w:val="1"/>
          <w:bCs w:val="1"/>
          <w:color w:val="auto"/>
        </w:rPr>
        <w:t>ADEA</w:t>
      </w:r>
      <w:r>
        <w:rPr>
          <w:rFonts w:ascii="Times New Roman" w:cs="Times New Roman" w:eastAsia="Times New Roman" w:hAnsi="Times New Roman"/>
          <w:sz w:val="22"/>
          <w:szCs w:val="22"/>
          <w:color w:val="auto"/>
        </w:rPr>
        <w:t>”), 29 U.S.C. §§621, et seq., (as amended by the Older Workers' Benefit Protection Act, 29 U.S.C. §626(f)), Title VII of the Civil Rights Act of 1964, 42 U.S.C. §§2000, et seq., the Equal Pay Act, the Americans with Disabilities Act (42 U.S.C. §§12101, et seq.), the Employee Retirement Income Security Act ("ERISA"), 29 U.S.C. §§1001, et seq., the Family Medical Leave Act (29 USC §2601, et seq.), and any claims under federal, state or local law for discrimination harassment, or retaliation or any other federal, state or local laws or regulations relating to terms and conditions of employment, including as applicable: the Connecticut Fair Employment Practices Act, Conn. Gen. Stat. §§ 31-51m; 31-51kk et seq.; 38a-538, 546; 38a-543; 46a-51; 46a-58; 46a-60; 46a-81c.</w:t>
      </w:r>
    </w:p>
    <w:p>
      <w:pPr>
        <w:spacing w:after="0" w:line="188"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I am not releasing: (i) any rights or claims for indemnification I may have pursuant to any written indemnification agreement with the Company to which I am a party or under applicable law; (ii) any rights which cannot be waived as a matter of law; (iii) any rights I have to file or pursue a claim for workers’ compensation or unemployment insurance; and (iv) any claims for breach of this Release. In addition, nothing in this Agreement prevents me from filing, cooperating with, or participating in any proceeding before the Equal Employment Opportunity Commission, the Department of Labor, or any other analogous federal or state government agency, except that I acknowledge and agree that I hereby waive my right to any monetary benefits in connection with any such claim, charge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1012825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9" w:name="page90"/>
    <w:bookmarkEnd w:id="89"/>
    <w:p>
      <w:pPr>
        <w:jc w:val="both"/>
        <w:ind w:firstLine="432"/>
        <w:spacing w:after="0" w:line="234" w:lineRule="auto"/>
        <w:rPr>
          <w:sz w:val="20"/>
          <w:szCs w:val="20"/>
          <w:color w:val="auto"/>
        </w:rPr>
      </w:pPr>
      <w:r>
        <w:rPr>
          <w:rFonts w:ascii="Times New Roman" w:cs="Times New Roman" w:eastAsia="Times New Roman" w:hAnsi="Times New Roman"/>
          <w:sz w:val="22"/>
          <w:szCs w:val="22"/>
          <w:color w:val="auto"/>
        </w:rPr>
        <w:t>I also acknowledge that I am knowingly and voluntarily waiving and releasing any rights I may have under the ADEA (“</w:t>
      </w:r>
      <w:r>
        <w:rPr>
          <w:rFonts w:ascii="Times New Roman" w:cs="Times New Roman" w:eastAsia="Times New Roman" w:hAnsi="Times New Roman"/>
          <w:sz w:val="22"/>
          <w:szCs w:val="22"/>
          <w:b w:val="1"/>
          <w:bCs w:val="1"/>
          <w:color w:val="auto"/>
        </w:rPr>
        <w:t>Release ADEA Waiver</w:t>
      </w:r>
      <w:r>
        <w:rPr>
          <w:rFonts w:ascii="Times New Roman" w:cs="Times New Roman" w:eastAsia="Times New Roman" w:hAnsi="Times New Roman"/>
          <w:sz w:val="22"/>
          <w:szCs w:val="22"/>
          <w:color w:val="auto"/>
        </w:rPr>
        <w:t>”), and that the consideration given for the Release ADEA Waiver is in addition to anything of value to which I was already entitled. I further acknowledge that I have been advised by this writing, as required by the ADEA, that: (a) my release and waiver herein does not apply to any rights or claims that arise after the date I sign this Release; (b) I should consult with an attorney prior to signing this Release (although I may choose voluntarily not to do so); (c) I have twenty-one (21) days to consider this Release (although I may choose to voluntarily sign it sooner); (d) I have seven (7) days following the date I sign this Release to revoke it (by sending written revocation directly to the Company’s Chief Executive Officer); and (e) the Release will not be effective until the date upon which the revocation period has expired unexercised, which will be the eighth day after I sign this Release (the “</w:t>
      </w:r>
      <w:r>
        <w:rPr>
          <w:rFonts w:ascii="Times New Roman" w:cs="Times New Roman" w:eastAsia="Times New Roman" w:hAnsi="Times New Roman"/>
          <w:sz w:val="22"/>
          <w:szCs w:val="22"/>
          <w:b w:val="1"/>
          <w:bCs w:val="1"/>
          <w:color w:val="auto"/>
        </w:rPr>
        <w:t>Release Effective Date</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 xml:space="preserve">I UNDERSTAND THAT THIS RELEASE INCLUDES A RELEASE OF ALL KNOWN AND UNKNOWN CLAIMS. I acknowledge that I have read and understand Section 1542 of the California Civil Code which reads as follows: </w:t>
      </w:r>
      <w:r>
        <w:rPr>
          <w:rFonts w:ascii="Times New Roman" w:cs="Times New Roman" w:eastAsia="Times New Roman" w:hAnsi="Times New Roman"/>
          <w:sz w:val="22"/>
          <w:szCs w:val="22"/>
          <w:b w:val="1"/>
          <w:bCs w:val="1"/>
          <w:color w:val="auto"/>
        </w:rPr>
        <w:t>“A general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r>
        <w:rPr>
          <w:rFonts w:ascii="Times New Roman" w:cs="Times New Roman" w:eastAsia="Times New Roman" w:hAnsi="Times New Roman"/>
          <w:sz w:val="22"/>
          <w:szCs w:val="22"/>
          <w:color w:val="auto"/>
        </w:rPr>
        <w:t>I hereby expressly waive and relinquish all rights and benefits under that section and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or legal principle of similar effect in any jurisdiction with respect to my release of claims herein, including but not limited to the release of unknown and unsuspected claims.</w:t>
      </w:r>
    </w:p>
    <w:p>
      <w:pPr>
        <w:spacing w:after="0" w:line="183" w:lineRule="exact"/>
        <w:rPr>
          <w:sz w:val="20"/>
          <w:szCs w:val="20"/>
          <w:color w:val="auto"/>
        </w:rPr>
      </w:pPr>
    </w:p>
    <w:p>
      <w:pPr>
        <w:jc w:val="both"/>
        <w:ind w:firstLine="432"/>
        <w:spacing w:after="0" w:line="239" w:lineRule="auto"/>
        <w:rPr>
          <w:sz w:val="20"/>
          <w:szCs w:val="20"/>
          <w:color w:val="auto"/>
        </w:rPr>
      </w:pPr>
      <w:r>
        <w:rPr>
          <w:rFonts w:ascii="Times New Roman" w:cs="Times New Roman" w:eastAsia="Times New Roman" w:hAnsi="Times New Roman"/>
          <w:sz w:val="22"/>
          <w:szCs w:val="22"/>
          <w:color w:val="auto"/>
        </w:rPr>
        <w:t>This Release, together with the Agreement (including all exhibits thereto), constitutes the complete, final and exclusive embodiment of the entire agreement between me and the Company with regard to the subject matter hereof. It is entered into without reliance on any promise or representation, written or oral, other than those expressly contained in the Release or the Agreement, and it entirely supersedes any other such promises, warranties or representations, whether oral or written.</w:t>
      </w:r>
    </w:p>
    <w:p>
      <w:pPr>
        <w:spacing w:after="0" w:line="2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-13970</wp:posOffset>
            </wp:positionV>
            <wp:extent cx="762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76200" cy="8890"/>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2"/>
          <w:szCs w:val="22"/>
          <w:color w:val="auto"/>
        </w:rPr>
        <w:t>Burkhard Blank</w:t>
      </w:r>
    </w:p>
    <w:p>
      <w:pPr>
        <w:spacing w:after="0" w:line="1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1438275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-13970</wp:posOffset>
            </wp:positionV>
            <wp:extent cx="25146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ind w:left="5180"/>
        <w:spacing w:after="0"/>
        <w:rPr>
          <w:sz w:val="20"/>
          <w:szCs w:val="20"/>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xhibit</w:t>
      </w:r>
      <w:r>
        <w:rPr>
          <w:rFonts w:ascii="Times New Roman" w:cs="Times New Roman" w:eastAsia="Times New Roman" w:hAnsi="Times New Roman"/>
          <w:sz w:val="22"/>
          <w:szCs w:val="22"/>
          <w:b w:val="1"/>
          <w:bCs w:val="1"/>
          <w:color w:val="auto"/>
        </w:rPr>
        <w:t xml:space="preserve"> B</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1174115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91" w:name="page92"/>
    <w:bookmarkEnd w:id="91"/>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0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Dated as of August 6, 2025</w:t>
      </w: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between</w:t>
      </w:r>
    </w:p>
    <w:p>
      <w:pPr>
        <w:spacing w:after="0" w:line="20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MANNKIND CORPORATION,</w:t>
      </w:r>
    </w:p>
    <w:p>
      <w:pPr>
        <w:spacing w:after="0" w:line="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Borrower</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b w:val="1"/>
          <w:bCs w:val="1"/>
          <w:color w:val="auto"/>
        </w:rPr>
        <w:t>CERTAIN SUBSIDIARIES OF BORROWER FROM TIME TO TIME PARTY HERETO,</w:t>
      </w:r>
    </w:p>
    <w:p>
      <w:pPr>
        <w:spacing w:after="0" w:line="1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other Credit Parties</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WILMINGTON TRUST, NATIONAL ASSOCIATION,</w:t>
      </w:r>
    </w:p>
    <w:p>
      <w:pPr>
        <w:spacing w:after="0" w:line="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Agent</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BLACKSTONE ALTERNATIVE CREDIT ADVISORS LP,</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as Blackstone Representative and Lead Arranger</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LENDERS FROM TIME TO TIME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708"/>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ACCOUNTING AND OTHER TERMS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675"/>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LOANS AND TERMS OF PAYMENT</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Promise to Pay</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Commitments.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Payment of Interest on the Credit Extensions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8</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2.4</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2.5</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Requirements of Law; Increased Costs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Taxes; Withholding, Etc.</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2.7</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Fees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2.8</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Register; Term Loan Note</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2.9</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Benchmark Replacement Setting</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2.10</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Incremental Delayed Draw Term Loans.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19</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2.11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Mitigation Obligations; Replacement of Lenders.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CONDITIONS OF TERM LOAN</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Conditions Precedent to Closing Date</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3.2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Conditions to Each Credit Extension.</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3.3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Covenant to Deliver</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3.4</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Procedures for Borrowing</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4.</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REPRESENTATIONS AND WARRANTIES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Due Organization, Power and Authority</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Equity Interests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Authorization; No Conflict</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4.4</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Government Consents; Third Party Consents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Binding Obligation</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4.6</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Collateral and Intellectual Property</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Adverse Proceedings, Compliance with Laws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4.8</w:t>
            </w:r>
          </w:p>
        </w:tc>
        <w:tc>
          <w:tcPr>
            <w:tcW w:w="10140" w:type="dxa"/>
            <w:vAlign w:val="bottom"/>
            <w:gridSpan w:val="3"/>
          </w:tcPr>
          <w:p>
            <w:pPr>
              <w:ind w:left="580"/>
              <w:spacing w:after="0" w:line="243" w:lineRule="exact"/>
              <w:rPr>
                <w:sz w:val="20"/>
                <w:szCs w:val="20"/>
                <w:color w:val="auto"/>
              </w:rPr>
            </w:pPr>
            <w:r>
              <w:rPr>
                <w:rFonts w:ascii="Times New Roman" w:cs="Times New Roman" w:eastAsia="Times New Roman" w:hAnsi="Times New Roman"/>
                <w:sz w:val="22"/>
                <w:szCs w:val="22"/>
                <w:color w:val="auto"/>
              </w:rPr>
              <w:t>Exchange Act Documents; Financial Statements; Financial Condition; No Material Adverse Change;</w:t>
            </w:r>
          </w:p>
        </w:tc>
      </w:tr>
      <w:tr>
        <w:trPr>
          <w:trHeight w:val="243"/>
        </w:trPr>
        <w:tc>
          <w:tcPr>
            <w:tcW w:w="1100" w:type="dxa"/>
            <w:vAlign w:val="bottom"/>
          </w:tcPr>
          <w:p>
            <w:pPr>
              <w:spacing w:after="0"/>
              <w:rPr>
                <w:sz w:val="21"/>
                <w:szCs w:val="21"/>
                <w:color w:val="auto"/>
              </w:rPr>
            </w:pP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29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4.9</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Solvency</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4.10</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Payment of Taxes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4.11</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Environmental Matters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4.12</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Material Contracts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4.13</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Regulatory Compliance</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4.14</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Margin Stock</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4.15</w:t>
            </w:r>
          </w:p>
        </w:tc>
        <w:tc>
          <w:tcPr>
            <w:tcW w:w="72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Subsidiaries</w:t>
            </w:r>
          </w:p>
        </w:tc>
        <w:tc>
          <w:tcPr>
            <w:tcW w:w="28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33</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4.16</w:t>
            </w:r>
          </w:p>
        </w:tc>
        <w:tc>
          <w:tcPr>
            <w:tcW w:w="72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Employee Matters</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53"/>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4.17</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Full Disclosure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4.18</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FCPA; Patriot Act; OFAC</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4.19</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Health Care Matters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4.20</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IT Assets and Data Privacy.</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4.21</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Additional Representations and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AFFIRMATIVE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5.1</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Maintenance of Existence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5.2</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Financial Statements, Notices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5.3</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Taxes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5.4</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Insurance</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Operating Accounts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Compliance with Laws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Protection of Intellectual Property Rights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5.8</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Books and Records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5.9</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Access to Collateral; Audits; Lender Calls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5.10</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Use of Proceeds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5.11</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Further Assurances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5.12</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Additional Collateral; Guarantors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r>
      <w:tr>
        <w:trPr>
          <w:trHeight w:val="216"/>
        </w:trPr>
        <w:tc>
          <w:tcPr>
            <w:tcW w:w="110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5.13</w:t>
            </w:r>
          </w:p>
        </w:tc>
        <w:tc>
          <w:tcPr>
            <w:tcW w:w="8640" w:type="dxa"/>
            <w:vAlign w:val="bottom"/>
          </w:tcPr>
          <w:p>
            <w:pPr>
              <w:ind w:left="580"/>
              <w:spacing w:after="0" w:line="217" w:lineRule="exact"/>
              <w:rPr>
                <w:sz w:val="20"/>
                <w:szCs w:val="20"/>
                <w:color w:val="auto"/>
              </w:rPr>
            </w:pPr>
            <w:r>
              <w:rPr>
                <w:rFonts w:ascii="Times New Roman" w:cs="Times New Roman" w:eastAsia="Times New Roman" w:hAnsi="Times New Roman"/>
                <w:sz w:val="22"/>
                <w:szCs w:val="22"/>
                <w:color w:val="auto"/>
              </w:rPr>
              <w:t>Formation or Acquisition of Subsidiaries</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48</w:t>
            </w:r>
          </w:p>
        </w:tc>
      </w:tr>
      <w:tr>
        <w:trPr>
          <w:trHeight w:val="283"/>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5.14</w:t>
            </w:r>
          </w:p>
        </w:tc>
        <w:tc>
          <w:tcPr>
            <w:tcW w:w="8640" w:type="dxa"/>
            <w:vAlign w:val="bottom"/>
          </w:tcPr>
          <w:p>
            <w:pPr>
              <w:ind w:left="580"/>
              <w:spacing w:after="0" w:line="253" w:lineRule="exact"/>
              <w:rPr>
                <w:sz w:val="20"/>
                <w:szCs w:val="20"/>
                <w:color w:val="auto"/>
              </w:rPr>
            </w:pPr>
            <w:r>
              <w:rPr>
                <w:rFonts w:ascii="Times New Roman" w:cs="Times New Roman" w:eastAsia="Times New Roman" w:hAnsi="Times New Roman"/>
                <w:sz w:val="22"/>
                <w:szCs w:val="22"/>
                <w:color w:val="auto"/>
              </w:rPr>
              <w:t>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Closing Requirements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Environmental</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49</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5.17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5.18</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Credit Party Minimum Coverage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5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6.</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NEGATIVE COVENANTS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420"/>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Dispositions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6.2</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Fundamental Changes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6.3</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Mergers, Acquisitions, Liquidations or Dissolutions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52</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6.4</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Indebtedness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Encumbrances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53</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No Further Negative Pledges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Maintenance of Collateral Accounts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6.8</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Distributions; Investments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6.9</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No Restrictions on Subsidiary Distributions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6.10</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Junior Indebtedness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54</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6.11</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Amendments or Waivers of Organizational Documents or Junior Indebtedness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55</w:t>
            </w:r>
          </w:p>
        </w:tc>
      </w:tr>
      <w:tr>
        <w:trPr>
          <w:trHeight w:val="216"/>
        </w:trPr>
        <w:tc>
          <w:tcPr>
            <w:tcW w:w="110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6.12</w:t>
            </w:r>
          </w:p>
        </w:tc>
        <w:tc>
          <w:tcPr>
            <w:tcW w:w="8640" w:type="dxa"/>
            <w:vAlign w:val="bottom"/>
          </w:tcPr>
          <w:p>
            <w:pPr>
              <w:ind w:left="580"/>
              <w:spacing w:after="0" w:line="217" w:lineRule="exact"/>
              <w:rPr>
                <w:sz w:val="20"/>
                <w:szCs w:val="20"/>
                <w:color w:val="auto"/>
              </w:rPr>
            </w:pPr>
            <w:r>
              <w:rPr>
                <w:rFonts w:ascii="Times New Roman" w:cs="Times New Roman" w:eastAsia="Times New Roman" w:hAnsi="Times New Roman"/>
                <w:sz w:val="22"/>
                <w:szCs w:val="22"/>
                <w:color w:val="auto"/>
              </w:rPr>
              <w:t>Compliance</w:t>
            </w:r>
          </w:p>
        </w:tc>
        <w:tc>
          <w:tcPr>
            <w:tcW w:w="150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55</w:t>
            </w:r>
          </w:p>
        </w:tc>
      </w:tr>
      <w:tr>
        <w:trPr>
          <w:trHeight w:val="283"/>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6.13</w:t>
            </w:r>
          </w:p>
        </w:tc>
        <w:tc>
          <w:tcPr>
            <w:tcW w:w="8640" w:type="dxa"/>
            <w:vAlign w:val="bottom"/>
          </w:tcPr>
          <w:p>
            <w:pPr>
              <w:ind w:left="580"/>
              <w:spacing w:after="0" w:line="253" w:lineRule="exact"/>
              <w:rPr>
                <w:sz w:val="20"/>
                <w:szCs w:val="20"/>
                <w:color w:val="auto"/>
              </w:rPr>
            </w:pPr>
            <w:r>
              <w:rPr>
                <w:rFonts w:ascii="Times New Roman" w:cs="Times New Roman" w:eastAsia="Times New Roman" w:hAnsi="Times New Roman"/>
                <w:sz w:val="22"/>
                <w:szCs w:val="22"/>
                <w:color w:val="auto"/>
              </w:rPr>
              <w:t>Compliance with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6.14</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Amendments or Waivers of Material Contracts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6.15</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6.16</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[Reserved]</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43"/>
        </w:trPr>
        <w:tc>
          <w:tcPr>
            <w:tcW w:w="11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6.17</w:t>
            </w:r>
          </w:p>
        </w:tc>
        <w:tc>
          <w:tcPr>
            <w:tcW w:w="864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Minimum Liquidity</w:t>
            </w:r>
          </w:p>
        </w:tc>
        <w:tc>
          <w:tcPr>
            <w:tcW w:w="15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82"/>
        </w:trPr>
        <w:tc>
          <w:tcPr>
            <w:tcW w:w="11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6.18</w:t>
            </w:r>
          </w:p>
        </w:tc>
        <w:tc>
          <w:tcPr>
            <w:tcW w:w="864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No Liability Management Transactions.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5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6.19</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Fiscal Year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6.20</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Royalty Transaction</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7.</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EVENTS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Payment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Covenant Default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7.3</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Material Adverse Change</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7.4</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Attachment; Levy; Restraint on Business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7.5</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Insolvency</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7.6</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Other Agreements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7.7</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Judgments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Misrepresentations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Loan Documents; Collateral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7.10</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Subordinated Debt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7.11</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ERISA Event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7.12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Regulatory Matters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61</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7.13</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Change in Control</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8.</w:t>
            </w:r>
          </w:p>
        </w:tc>
        <w:tc>
          <w:tcPr>
            <w:tcW w:w="80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RIGHTS AND REMEDIES UPON AN EVENT OF DEFAULT</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Rights and Remedies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Power of Attorney</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8.3</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Application of Payments and Proceeds Upon Default</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8.4</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Agent’s Liability for Collateral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8.5</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 Waiver; Remedies Cumulative</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64</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8.6</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Demand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NOTICES.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675"/>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10.</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CHOICE OF LAW, VENUE, AND JURY TRIAL WAIVER</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675"/>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GENERAL PROVISIONS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Successors and Assigns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11.2</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Indemnification; Lender and Agent Expenses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11.3</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Severability of Provisions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11.4</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Royalty Transaction Right of First Refusal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11.5</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Amendments in Writing; Integration</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11.6</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Counterparts</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11.7</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11.8</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Confidentiality</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72</w:t>
            </w:r>
          </w:p>
        </w:tc>
      </w:tr>
      <w:tr>
        <w:trPr>
          <w:trHeight w:val="216"/>
        </w:trPr>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11.9</w:t>
            </w:r>
          </w:p>
        </w:tc>
        <w:tc>
          <w:tcPr>
            <w:tcW w:w="802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Release of Collateral or Guarantors</w:t>
            </w:r>
          </w:p>
        </w:tc>
        <w:tc>
          <w:tcPr>
            <w:tcW w:w="2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73</w:t>
            </w:r>
          </w:p>
        </w:tc>
      </w:tr>
      <w:tr>
        <w:trPr>
          <w:trHeight w:val="28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11.10</w:t>
            </w:r>
          </w:p>
        </w:tc>
        <w:tc>
          <w:tcPr>
            <w:tcW w:w="802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Right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11.11</w:t>
            </w:r>
          </w:p>
        </w:tc>
        <w:tc>
          <w:tcPr>
            <w:tcW w:w="802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Marshalling; Payments Set Aside</w:t>
            </w:r>
          </w:p>
        </w:tc>
        <w:tc>
          <w:tcPr>
            <w:tcW w:w="2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11.12</w:t>
            </w:r>
          </w:p>
        </w:tc>
        <w:tc>
          <w:tcPr>
            <w:tcW w:w="80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Electronic Execution of Documents</w:t>
            </w:r>
          </w:p>
        </w:tc>
        <w:tc>
          <w:tcPr>
            <w:tcW w:w="2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iii</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5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11.13</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Captions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Construction of Agreement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Third Parties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w:t>
            </w:r>
          </w:p>
        </w:tc>
      </w:tr>
      <w:tr>
        <w:trPr>
          <w:trHeight w:val="216"/>
        </w:trPr>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11.16</w:t>
            </w:r>
          </w:p>
        </w:tc>
        <w:tc>
          <w:tcPr>
            <w:tcW w:w="708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No Advisory or Fiduciary Duty</w:t>
            </w:r>
          </w:p>
        </w:tc>
        <w:tc>
          <w:tcPr>
            <w:tcW w:w="30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75</w:t>
            </w:r>
          </w:p>
        </w:tc>
      </w:tr>
      <w:tr>
        <w:trPr>
          <w:trHeight w:val="28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11.17</w:t>
            </w:r>
          </w:p>
        </w:tc>
        <w:tc>
          <w:tcPr>
            <w:tcW w:w="708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Contractual recognition of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11.18</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Currency Equivalents Generally</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11.19</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Reinstatement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76</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11.20</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Restricted Licenses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12.</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AGENT</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Appointment and Authority</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12.2</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Arranger Has No Liability</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12.3</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Exculpatory Provisions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Reliance by Agent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Delegation of Duties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w:t>
            </w:r>
          </w:p>
        </w:tc>
      </w:tr>
      <w:tr>
        <w:trPr>
          <w:trHeight w:val="216"/>
        </w:trPr>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rPr>
              <w:t>12.6</w:t>
            </w:r>
          </w:p>
        </w:tc>
        <w:tc>
          <w:tcPr>
            <w:tcW w:w="7080" w:type="dxa"/>
            <w:vAlign w:val="bottom"/>
          </w:tcPr>
          <w:p>
            <w:pPr>
              <w:ind w:left="540"/>
              <w:spacing w:after="0" w:line="217" w:lineRule="exact"/>
              <w:rPr>
                <w:sz w:val="20"/>
                <w:szCs w:val="20"/>
                <w:color w:val="auto"/>
              </w:rPr>
            </w:pPr>
            <w:r>
              <w:rPr>
                <w:rFonts w:ascii="Times New Roman" w:cs="Times New Roman" w:eastAsia="Times New Roman" w:hAnsi="Times New Roman"/>
                <w:sz w:val="22"/>
                <w:szCs w:val="22"/>
                <w:color w:val="auto"/>
              </w:rPr>
              <w:t>Resignation of Agent</w:t>
            </w:r>
          </w:p>
        </w:tc>
        <w:tc>
          <w:tcPr>
            <w:tcW w:w="302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81</w:t>
            </w:r>
          </w:p>
        </w:tc>
      </w:tr>
      <w:tr>
        <w:trPr>
          <w:trHeight w:val="283"/>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12.7</w:t>
            </w:r>
          </w:p>
        </w:tc>
        <w:tc>
          <w:tcPr>
            <w:tcW w:w="7080" w:type="dxa"/>
            <w:vAlign w:val="bottom"/>
          </w:tcPr>
          <w:p>
            <w:pPr>
              <w:ind w:left="540"/>
              <w:spacing w:after="0" w:line="253" w:lineRule="exact"/>
              <w:rPr>
                <w:sz w:val="20"/>
                <w:szCs w:val="20"/>
                <w:color w:val="auto"/>
              </w:rPr>
            </w:pPr>
            <w:r>
              <w:rPr>
                <w:rFonts w:ascii="Times New Roman" w:cs="Times New Roman" w:eastAsia="Times New Roman" w:hAnsi="Times New Roman"/>
                <w:sz w:val="22"/>
                <w:szCs w:val="22"/>
                <w:color w:val="auto"/>
              </w:rPr>
              <w:t>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Reliance on Agent and Other Lenders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12.8</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 Other Duties, Etc.</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12.9</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Agent May File Proofs of Claim</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12.10</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Collateral and Guaranty Matters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83</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12.11</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Indemnification by Lenders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85</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12.12</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Patriot Act</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12.13</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Costs and Expenses; Indemnification</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86</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Survival</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12.15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Erroneous Payments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87</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12.16</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Enforcement</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13.</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GUARANTY</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420"/>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13.1</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Guaranty</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89</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Limitation of Guaranty</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13.3</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Authorization; Other Agreements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Guaranty Absolute and Unconditional</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13.5</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Waivers</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91</w:t>
            </w:r>
          </w:p>
        </w:tc>
      </w:tr>
      <w:tr>
        <w:trPr>
          <w:trHeight w:val="243"/>
        </w:trPr>
        <w:tc>
          <w:tcPr>
            <w:tcW w:w="11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708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Reliance</w:t>
            </w:r>
          </w:p>
        </w:tc>
        <w:tc>
          <w:tcPr>
            <w:tcW w:w="3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r>
      <w:tr>
        <w:trPr>
          <w:trHeight w:val="282"/>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13.7</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Contribution</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59"/>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14.</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DEFINITIONS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r>
        <w:trPr>
          <w:trHeight w:val="459"/>
        </w:trPr>
        <w:tc>
          <w:tcPr>
            <w:tcW w:w="11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14.1</w:t>
            </w:r>
          </w:p>
        </w:tc>
        <w:tc>
          <w:tcPr>
            <w:tcW w:w="708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Definitions</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w:t>
            </w: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96" w:name="page97"/>
    <w:bookmarkEnd w:id="96"/>
    <w:p>
      <w:pPr>
        <w:jc w:val="right"/>
        <w:ind w:right="2999"/>
        <w:spacing w:after="0"/>
        <w:rPr>
          <w:sz w:val="20"/>
          <w:szCs w:val="20"/>
          <w:color w:val="auto"/>
        </w:rPr>
      </w:pPr>
      <w:r>
        <w:rPr>
          <w:rFonts w:ascii="Times New Roman" w:cs="Times New Roman" w:eastAsia="Times New Roman" w:hAnsi="Times New Roman"/>
          <w:sz w:val="22"/>
          <w:szCs w:val="22"/>
          <w:b w:val="1"/>
          <w:bCs w:val="1"/>
          <w:color w:val="auto"/>
        </w:rPr>
        <w:t>Attachments to Loan Agreement</w:t>
      </w:r>
    </w:p>
    <w:p>
      <w:pPr>
        <w:spacing w:after="0" w:line="200" w:lineRule="exact"/>
        <w:rPr>
          <w:sz w:val="20"/>
          <w:szCs w:val="20"/>
          <w:color w:val="auto"/>
        </w:rPr>
      </w:pPr>
    </w:p>
    <w:p>
      <w:pPr>
        <w:spacing w:after="0" w:line="253" w:lineRule="exact"/>
        <w:rPr>
          <w:sz w:val="20"/>
          <w:szCs w:val="20"/>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Annex 1 – Commitments</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 – Payment/Advance Form</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B – Form of Term Loan Note</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C – Form of Borrowing Notice</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D – Form of Compliance Certificate</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E – [Reserved]</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F – Form of Security Agreement</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G – Form of Assignment and Assumption</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H – Form of Joinder Agreement</w:t>
      </w:r>
    </w:p>
    <w:p>
      <w:pPr>
        <w:spacing w:after="0" w:line="206"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I – [Reserved]</w:t>
      </w:r>
    </w:p>
    <w:p>
      <w:pPr>
        <w:spacing w:after="0" w:line="206"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J – Form of Interest Election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v</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4"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22"/>
          <w:szCs w:val="22"/>
          <w:b w:val="1"/>
          <w:bCs w:val="1"/>
          <w:color w:val="auto"/>
        </w:rPr>
        <w:t>LOAN AGREEMENT</w:t>
      </w:r>
    </w:p>
    <w:p>
      <w:pPr>
        <w:spacing w:after="0" w:line="20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THIS LOAN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August 6, 2025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is by and among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MANNKIND CORPORATION, a Delaware corporation (as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each other Person from time to time party hereto that is designated as a “</w:t>
      </w:r>
      <w:r>
        <w:rPr>
          <w:rFonts w:ascii="Times New Roman" w:cs="Times New Roman" w:eastAsia="Times New Roman" w:hAnsi="Times New Roman"/>
          <w:sz w:val="22"/>
          <w:szCs w:val="22"/>
          <w:b w:val="1"/>
          <w:bCs w:val="1"/>
          <w:color w:val="auto"/>
        </w:rPr>
        <w:t>Credit Party</w:t>
      </w:r>
      <w:r>
        <w:rPr>
          <w:rFonts w:ascii="Times New Roman" w:cs="Times New Roman" w:eastAsia="Times New Roman" w:hAnsi="Times New Roman"/>
          <w:sz w:val="22"/>
          <w:szCs w:val="22"/>
          <w:color w:val="auto"/>
        </w:rPr>
        <w:t>” (as defined below), WILMINGTON TRUST, NATIONAL ASSOCIATION (as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Blackstone Alternative Credit Advisors LP (the “</w:t>
      </w:r>
      <w:r>
        <w:rPr>
          <w:rFonts w:ascii="Times New Roman" w:cs="Times New Roman" w:eastAsia="Times New Roman" w:hAnsi="Times New Roman"/>
          <w:sz w:val="22"/>
          <w:szCs w:val="22"/>
          <w:b w:val="1"/>
          <w:bCs w:val="1"/>
          <w:color w:val="auto"/>
        </w:rPr>
        <w:t>Blackstone Representative</w:t>
      </w:r>
      <w:r>
        <w:rPr>
          <w:rFonts w:ascii="Times New Roman" w:cs="Times New Roman" w:eastAsia="Times New Roman" w:hAnsi="Times New Roman"/>
          <w:sz w:val="22"/>
          <w:szCs w:val="22"/>
          <w:color w:val="auto"/>
        </w:rPr>
        <w:t>”) and each lender from time to time party hereto (each individually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Lenders have agreed, subject to the terms and conditions set forth herein, to extend certain credit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facilities to Borrower consisting of (i) Initial Term Loans in an aggregate principal amount equal to $75,000,000 and (ii) Delayed Draw Term Loans in an aggregate principal amount equal to $125,000,000;</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proceeds of the Term Loans shall be used (i)  to pay fees, costs, and expenses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funding of the Term Loans, and (ii) for general corporate purposes of Borrower and its Subsidiaries;</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Borrower desires to secure the Obligations by granting to Agent, for the benefit of the Secured Parties,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security interest in and Lien upon the Collateral granted by it pursuant to the Collateral Documents; and</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hereof, each Guarantor is willing to guarantee all of the Obligations and to grant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for the benefit of the Secured Parties, a security interest in and Lien upon the Collateral granted by it pursuant to the Collateral Documents.</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agreements, provisions and covenants contained herein,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agree as follows:</w:t>
      </w:r>
    </w:p>
    <w:p>
      <w:pPr>
        <w:spacing w:after="0" w:line="150" w:lineRule="exact"/>
        <w:rPr>
          <w:sz w:val="20"/>
          <w:szCs w:val="20"/>
          <w:color w:val="auto"/>
        </w:rPr>
      </w:pPr>
    </w:p>
    <w:p>
      <w:pPr>
        <w:ind w:left="440" w:hanging="432"/>
        <w:spacing w:after="0"/>
        <w:tabs>
          <w:tab w:leader="none" w:pos="44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ACCOUNTING AND OTHER TERMS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Except as otherwise expressly provided herein, all accounting terms not otherwise defined in this Agreement shall have the meanings assigned to them in conformity with GAAP. All accounting calculations and determinations must be made following GAAP. Unless otherwise expressly provided, all financial covenants and financial terms shall be computed on a consolidated basis for Borrower and its Subsidiaries, in each case without duplication. If at any time any change in GAAP would affect the computation of any financial requirement set forth in any Loan Document, and either Borrower or the Blackstone Representative shall so request, the Blackstone Representative and Borrower shall negotiate in good faith to amend such requirement to preserve the original intent thereof in light of such change in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until so amended, (i) such requirement shall continue to be computed in accordance with GAAP prior to such change therein and (ii) Borrower shall provide to the Lenders a written reconciliation in form and substance reasonably satisfactory to the Lenders, between calculations of any baskets and other requirements hereunder, before and after giving effect to such change 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-494030</wp:posOffset>
            </wp:positionV>
            <wp:extent cx="431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8" w:name="page99"/>
    <w:bookmarkEnd w:id="98"/>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Capitalized terms not otherwise defined in this Agreement shall have the meanings set forth in </w:t>
      </w: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All other terms contained in this Agreement, unless otherwise indicated, shall have the meaning provided by the Code to the extent such terms are defined therein. All references to “Dollars” or “$” are United States Dollars, unless otherwise noted, and all payments made by the Credit Parties to Agent or the Lenders with respect to the Obligations shall be in Dollars.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For purposes of determining compliance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with respect to the amount of any Indebtedness in a currency other than Dollars, no Default or Event of Default shall be deemed to have occurred solely as a result of changes in rates of currency exchange occurring after the time such Indebtedness is incurred, made or acquired (so long as such Indebtedness, at the time incurred, made or acquired, was permitted hereunder).</w:t>
      </w:r>
    </w:p>
    <w:p>
      <w:pPr>
        <w:spacing w:after="0" w:line="18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Agent does not warrant or accept responsibility for, and shall not have any liability with respect to (a) the continuation of, administration of, submission of, calculation of or any other matter related to the Base Rate,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Reference Rate, Adjusted Term SOFR, Term SOFR or any other Benchmark prior to its discontinuance or unavailability, or (b) the effect, implementation or composition of any Conforming Changes. Agent and its affiliates or other related entities may engage in transactions that affect the calculation of the Base Rate, the Term SOFR Reference Rate, Term SOFR, Adjusted Term SOFR, any alternative, successor or replacement rate (including any Benchmark Replacement) or any relevant adjustments thereto, in each case, in a manner adverse to Borrower. Agent may select information sources or services in its reasonable discretion to ascertain the Base Rate, the Term SOFR Reference Rate, Term SOFR, Adjusted Term SOFR or any other Benchmark, in each case pursuant to the terms of this Agreement, and shall have no liability to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1"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2"/>
          <w:szCs w:val="22"/>
          <w:color w:val="auto"/>
        </w:rPr>
        <w:t>For all purposes under the Loan Documents, in connection with any division or plan of division under Delaware law (or any comparable event under a different jurisdiction’s laws), including a statutory division pursuant to Section 18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217 of the Delaware Limited Liability Company Act: (a) if any asset or property of any Person becomes the asset or property of one or more different Persons, then such asset or property shall be deemed to have been disposed of from the original Person to the subsequent Person(s) on the date such division becomes effective, (b) if any obligation or liability of any Person becomes the obligation or liability of one or more different Person(s), then the original Person shall be deemed to have been automatically released from such obligation or liability and such obligation or liability shall be deemed to have been assumed by the subsequent Person(s), in each case, on the date such division becomes effective and (c) if any new Person comes into existence, such new Person shall be deemed to have been organized on the first date of its existence by the holders of its Equity Interests on the date such division becomes effective.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9" w:name="page100"/>
    <w:bookmarkEnd w:id="99"/>
    <w:p>
      <w:pPr>
        <w:ind w:left="760" w:right="7220" w:hanging="752"/>
        <w:spacing w:after="0" w:line="437" w:lineRule="auto"/>
        <w:tabs>
          <w:tab w:leader="none" w:pos="443"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LOANS AND TERMS OF PAYMENT 2.1 Promise to Pay.</w:t>
      </w:r>
    </w:p>
    <w:p>
      <w:pPr>
        <w:spacing w:after="0" w:line="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Borrower hereby unconditionally promises to pay to the Lenders the outstanding principal amount of the Term Loans advanced to Borrower by the Lenders, and accrued and unpaid interest thereon and any other amounts due hereunder as and when due in accordance with this Agreement.</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2.2  Commitments.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w:t>
      </w:r>
    </w:p>
    <w:p>
      <w:pPr>
        <w:spacing w:after="0" w:line="206" w:lineRule="exact"/>
        <w:rPr>
          <w:sz w:val="20"/>
          <w:szCs w:val="20"/>
          <w:color w:val="auto"/>
        </w:rPr>
      </w:pPr>
    </w:p>
    <w:p>
      <w:pPr>
        <w:ind w:left="1180" w:hanging="423"/>
        <w:spacing w:after="0"/>
        <w:tabs>
          <w:tab w:leader="none" w:pos="118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 Borrowing</w:t>
      </w:r>
      <w:r>
        <w:rPr>
          <w:rFonts w:ascii="Times New Roman" w:cs="Times New Roman" w:eastAsia="Times New Roman" w:hAnsi="Times New Roman"/>
          <w:sz w:val="22"/>
          <w:szCs w:val="22"/>
          <w:color w:val="auto"/>
        </w:rPr>
        <w:t xml:space="preserve">. Subject to the terms and conditions of this Agreement (including, as applicable, </w:t>
      </w:r>
      <w:r>
        <w:rPr>
          <w:rFonts w:ascii="Times New Roman" w:cs="Times New Roman" w:eastAsia="Times New Roman" w:hAnsi="Times New Roman"/>
          <w:sz w:val="22"/>
          <w:szCs w:val="22"/>
          <w:u w:val="single" w:color="auto"/>
          <w:color w:val="auto"/>
        </w:rPr>
        <w:t>Sections</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3.1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jc w:val="both"/>
        <w:ind w:left="760" w:right="20" w:firstLine="745"/>
        <w:spacing w:after="0" w:line="271" w:lineRule="exact"/>
        <w:tabs>
          <w:tab w:leader="none" w:pos="194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with an Initial Term Loan Commitment severally and not jointly agrees to make to Borrower on the Closing Date initial term loans denominated in Dollars equal to such Lender’s Initial Term Loan Commitment (collectively, the “</w:t>
      </w:r>
      <w:r>
        <w:rPr>
          <w:rFonts w:ascii="Times New Roman" w:cs="Times New Roman" w:eastAsia="Times New Roman" w:hAnsi="Times New Roman"/>
          <w:sz w:val="21"/>
          <w:szCs w:val="21"/>
          <w:b w:val="1"/>
          <w:bCs w:val="1"/>
          <w:color w:val="auto"/>
        </w:rPr>
        <w:t>Initial Term Loan</w:t>
      </w:r>
      <w:r>
        <w:rPr>
          <w:rFonts w:ascii="Times New Roman" w:cs="Times New Roman" w:eastAsia="Times New Roman" w:hAnsi="Times New Roman"/>
          <w:sz w:val="21"/>
          <w:szCs w:val="21"/>
          <w:color w:val="auto"/>
        </w:rPr>
        <w:t>”). After repayment or prepayment, the Initial Term Loan may not be re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borrowed.</w:t>
      </w:r>
    </w:p>
    <w:p>
      <w:pPr>
        <w:spacing w:after="0" w:line="146" w:lineRule="exact"/>
        <w:rPr>
          <w:rFonts w:ascii="Times New Roman" w:cs="Times New Roman" w:eastAsia="Times New Roman" w:hAnsi="Times New Roman"/>
          <w:sz w:val="21"/>
          <w:szCs w:val="21"/>
          <w:color w:val="auto"/>
        </w:rPr>
      </w:pPr>
    </w:p>
    <w:p>
      <w:pPr>
        <w:jc w:val="both"/>
        <w:ind w:left="760" w:firstLine="745"/>
        <w:spacing w:after="0" w:line="238" w:lineRule="auto"/>
        <w:tabs>
          <w:tab w:leader="none" w:pos="1941"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during the Delayed Draw Commitment Period, each Lender with a Delayed Draw Commitment severally and not jointly agrees to make to Borrower on the applicable Funding Date delayed draw term loans denominated in Dollars in an aggregate amount not to exceed the Delayed Draw Commitment of such Lender (the “</w:t>
      </w:r>
      <w:r>
        <w:rPr>
          <w:rFonts w:ascii="Times New Roman" w:cs="Times New Roman" w:eastAsia="Times New Roman" w:hAnsi="Times New Roman"/>
          <w:sz w:val="22"/>
          <w:szCs w:val="22"/>
          <w:b w:val="1"/>
          <w:bCs w:val="1"/>
          <w:color w:val="auto"/>
        </w:rPr>
        <w:t>Delayed Draw Term Loans</w:t>
      </w:r>
      <w:r>
        <w:rPr>
          <w:rFonts w:ascii="Times New Roman" w:cs="Times New Roman" w:eastAsia="Times New Roman" w:hAnsi="Times New Roman"/>
          <w:sz w:val="22"/>
          <w:szCs w:val="22"/>
          <w:color w:val="auto"/>
        </w:rPr>
        <w:t>”). After repayment or prepayment, the Delayed Draw Term Loans may not be re-borrowed.</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shall give Agent irrevocable written notice in the form of the Borrowing Notice attached hereto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Borrowing Notice</w:t>
      </w:r>
      <w:r>
        <w:rPr>
          <w:rFonts w:ascii="Times New Roman" w:cs="Times New Roman" w:eastAsia="Times New Roman" w:hAnsi="Times New Roman"/>
          <w:sz w:val="21"/>
          <w:szCs w:val="21"/>
          <w:color w:val="auto"/>
        </w:rPr>
        <w:t>”) (which notice must be received by the Agent prior to 1:00 p.m. Eastern Time, (1) with respect to any Borrowing on the Closing Date, five (5)  Business Days prior to the Closing Date, (2) with respect to any Delayed Draw Term Loan Borrowing that is a Base Rate Loan, six (6) Business Days prior to the anticipated Funding Date, and (3) with respect to any Delayed Draw Term Loan Borrowing that is a SOFR Loan, three (3) Business Days prior to the anticipated Funding Date (or, in each case, such later time as may be agreed by the Blackstone Representative and the Agent)) requesting that the Lenders make the applicable Term Loans on the applicable Funding Date and specifying (v) the amount to be borrowed, (w) the Class of Loans to be borrowed, (x) the Type of Loans to be borrowed (and if a SOFR Loan, the Interest Period applicable thereto), (y) the Funding Date (which shall be a Business Day) and (z) the wiring information of the account of Borrower in which the proceeds of the requested Term Loans are to be disbursed. Upon receipt of such notice, Agent shall promptly notify each Lender thereof. Subject to the terms and conditions of this Agreement and the other Loan Documents, on the Funding Date set forth in the applicable Borrowing Notice, each such Lender shall fund (x) in the case of the Borrowing being made on the Closing Date, as directed by Borrower pursuant to the Payment / Advance Form and the Funding Direction Letter an amount in immediately available funds equal to the Initial Term Loans to be made by such Lender in accordance with the terms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0" w:name="page101"/>
    <w:bookmarkEnd w:id="100"/>
    <w:p>
      <w:pPr>
        <w:jc w:val="both"/>
        <w:ind w:left="760"/>
        <w:spacing w:after="0" w:line="246" w:lineRule="auto"/>
        <w:rPr>
          <w:sz w:val="20"/>
          <w:szCs w:val="20"/>
          <w:color w:val="auto"/>
        </w:rPr>
      </w:pPr>
      <w:r>
        <w:rPr>
          <w:rFonts w:ascii="Times New Roman" w:cs="Times New Roman" w:eastAsia="Times New Roman" w:hAnsi="Times New Roman"/>
          <w:sz w:val="21"/>
          <w:szCs w:val="21"/>
          <w:color w:val="auto"/>
        </w:rPr>
        <w:t>hereof and (y) in the case of any Borrowing being made after the Closing Date, the amount of such Lender’s pro rata share (based on the Delayed Draw Commitments) of such Borrowing to Agent, to the account of Agent specified for such purpose, prior to 1:00 p.m. Eastern Time, on the applicable Funding Date and the proceeds of such Borrowing received by Agent will then be made available to the Borrower by Agent by wire transferring such proceeds to the account of Borrower designated in the applicable Borrowing Notice on the requested Funding Date. The Borrower may not request more than five (5) Borrowings of Delayed Draw Term Loans during the Delayed Draw Commitment Period. Each Borrowing of Delayed Draw Term Loans shall be in a minimum principal amount of $25,000,000 and integral multiples of $500,000 in excess thereof (or, in each case, if less, the remaining amount of Delayed Draw Commitments or such lesser amount if Borrower and Agent (acting at the direction of the Blackstone Representative) otherwise agree).</w:t>
      </w:r>
    </w:p>
    <w:p>
      <w:pPr>
        <w:spacing w:after="0" w:line="175" w:lineRule="exact"/>
        <w:rPr>
          <w:sz w:val="20"/>
          <w:szCs w:val="20"/>
          <w:color w:val="auto"/>
        </w:rPr>
      </w:pPr>
    </w:p>
    <w:p>
      <w:pPr>
        <w:jc w:val="both"/>
        <w:ind w:left="760" w:firstLine="745"/>
        <w:spacing w:after="0" w:line="236"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Term Loan Commitment of each Lender shall be automatically and permanently reduced to zero on the Closing Date immediately following the funding of the Initial Term Loans. The Delayed Draw Commitment of each Lender shall be automatically and permanently reduced on a dollar-for-dollar basis upon each Funding Date by the principal amount of Delayed Draw Term Loans funded on such Funding Date, and any remaining Delayed Draw Commitments shall automatically and permanently be reduced to zero upon the expiration of the Delayed Draw Commitment Period.</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Agent shall have been notified by any Lender prior to the date of any Borrowing that such Lender does not intend to make available to Agent its portion of the borrowing to be made on such date, Agent may assume that such Lender has made such amount available to Agent on such date of borrowing, and Agent, in reliance upon such assumption, may (in its sole discretion and without any obligation to do so) make available to Borrower a corresponding amount. If such corresponding amount is not in fact made available to Agent by such Lender and Agent has made available the same to Borrower, Agent shall be entitled to recover such corresponding amount from such Lender together with interest at the greater of the Federal Funds Rate and a rate determined by Agent in accordance with banking industry rules on interbank compensation. If such Lender does not pay such corresponding amount forthwith upon Agent’s demand therefor, Agent shall promptly notify Borrower and Borrower shall promptly pay such corresponding amount to Agent. Agent shall also be entitled to recover from Borrower interest on such corresponding amount in respect of each day from the date such corresponding amount was made available by Agent to Borrower, to the date such corresponding amount is recovered by Agent, at a rate per annum equal to the rate of interest then applicable to the applicable Term Loans pursuant to </w:t>
      </w:r>
      <w:r>
        <w:rPr>
          <w:rFonts w:ascii="Times New Roman" w:cs="Times New Roman" w:eastAsia="Times New Roman" w:hAnsi="Times New Roman"/>
          <w:sz w:val="22"/>
          <w:szCs w:val="22"/>
          <w:u w:val="single" w:color="auto"/>
          <w:color w:val="auto"/>
        </w:rPr>
        <w:t>Section 2.3(a).</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22"/>
          <w:szCs w:val="22"/>
          <w:color w:val="auto"/>
        </w:rPr>
        <w:t>. Borrower shall, on the Term Loan Maturity Date, repay the outstanding principal amount of the Term Loans to Agent, for the ratable account of the Lenders, together with all accrued and unpaid interest and fees, and all other outstanding Obligations.</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 of Term Loans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have the option, at any time after the applicable Funding Date, to prepay, in whole or in part, the Term Loans advanced by the Lenders under this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1" w:name="page102"/>
    <w:bookmarkEnd w:id="101"/>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Borrower shall provide written notice to Agent of its election under this </w:t>
      </w:r>
      <w:r>
        <w:rPr>
          <w:rFonts w:ascii="Times New Roman" w:cs="Times New Roman" w:eastAsia="Times New Roman" w:hAnsi="Times New Roman"/>
          <w:sz w:val="22"/>
          <w:szCs w:val="22"/>
          <w:u w:val="single" w:color="auto"/>
          <w:color w:val="auto"/>
        </w:rPr>
        <w:t>Section 2.2(c)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xml:space="preserve"> (which may be conditioned on the consummation of other transactions but shall otherwise be irrevocable unless Agent (acting at the direction of the Blackstone Representative) otherwise consents in writing, and upon receipt of any such written notice, Agent shall promptly notify each or, as the case may be, any relevant Lender thereof) to prepay all or only part of the Term Loan at least five (5) Business Days prior to such prepayment (unless otherwise agreed by the Blackstone Representative and Agent), and (B) such prepayment shall be accompanied by any and all accrued and unpaid interest on the principal amount to be prepaid to the date of prepayment, the Prepayment Premium (if applicable), and all other amounts payable or accrued and not yet paid under this Agreement and the other Loan Documents. Partial prepayments of the Term Loans shall be in an aggregate principal amount of $5,000,000 or any whole multiple of $1,000,000 in excess thereof or, if less, the entire amount thereof. Each notice of prepayment provided to Agent under this </w:t>
      </w:r>
      <w:r>
        <w:rPr>
          <w:rFonts w:ascii="Times New Roman" w:cs="Times New Roman" w:eastAsia="Times New Roman" w:hAnsi="Times New Roman"/>
          <w:sz w:val="22"/>
          <w:szCs w:val="22"/>
          <w:u w:val="single" w:color="auto"/>
          <w:color w:val="auto"/>
        </w:rPr>
        <w:t>Section 2.2(c)(i)</w:t>
      </w:r>
      <w:r>
        <w:rPr>
          <w:rFonts w:ascii="Times New Roman" w:cs="Times New Roman" w:eastAsia="Times New Roman" w:hAnsi="Times New Roman"/>
          <w:sz w:val="22"/>
          <w:szCs w:val="22"/>
          <w:color w:val="auto"/>
        </w:rPr>
        <w:t xml:space="preserve"> shall specify the date (which shall be a Business Day) of such prepayments, the Class of Loans being prepaid, the amount of such prepayment and the amount of Prepayment Premium (if applicable) payable as a result of such prepayment.</w:t>
      </w:r>
    </w:p>
    <w:p>
      <w:pPr>
        <w:spacing w:after="0" w:line="182" w:lineRule="exact"/>
        <w:rPr>
          <w:sz w:val="20"/>
          <w:szCs w:val="20"/>
          <w:color w:val="auto"/>
        </w:rPr>
      </w:pPr>
    </w:p>
    <w:p>
      <w:pPr>
        <w:jc w:val="both"/>
        <w:ind w:left="760" w:firstLine="745"/>
        <w:spacing w:after="0" w:line="239"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of a Change in Control, Borrower shall immediately prepay all of the Term Loans in full in an amount equal to the sum of (A) all unpaid principal and any and all accrued and unpaid interest with respect to the Term Loans, and (B) the Prepayment Premium (if applicable), and all other amounts payable or accrued and not yet paid under this Agreement and the other Loan Documents.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any Credit Party or any Subsidiary of a Credit Party shall incur Indebtedness not constituting Permitted Indebtedness, then (A) Borrower shall promptly notify Agent in writing of such incurrence of Indebtedness (including the amount of the Net Issuance Proceeds received by a Credit Party or such Subsidiary in respect thereof) (and upon receipt of any such written notice Agent shall promptly notify each relevant Lender thereof) and (B) promptly (and in any event, within five (5) Business Days (or such later date as agreed by the Blackstone Representative)) upon receipt by a Credit Party or such Subsidiary of the Net Issuance Proceeds of incurrence of such Indebtedness, Borrower shall deliver, or cause to be delivered, one hundred percent (100%) of such Net Issuance Proceeds to Agent for distribution to the Lenders as a prepayment of the Term Loans, together with any and all accrued and unpaid interest with respect to the Term Loans so prepaid, and the Prepayment Premium (if applicable). Any prepayment required pursuant to this clause (iii) shall not be deemed to be the exclusive right or remedy of the Lenders with respect to such incurrence of Indebtedness not constituting Permitted Indebtedness, and such incurrence shall constitute an Event of Default (and Agent and Lenders shall have all rights and remedies in respect thereof).</w:t>
      </w:r>
    </w:p>
    <w:p>
      <w:pPr>
        <w:spacing w:after="0" w:line="184"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receipt by any Credit Party or any Subsidiary of Net Proceeds from the occurrence of any Asset Sale not made in the ordinary course of business or any Event of Loss, to the extent the aggregate amount of the Net Proceeds received by the Credit Parties and their Subsidiaries in connection with such Asset Sale or Event of Loss and all other such Asset Sales and Events of Loss received during the same fiscal year exceeds $10,000,000 then (A) Borrower shall promptly notify Agent in writing of such Asset Sale or Event of Loss (including the amount of the Net Proceeds received by a Credit Party 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2" w:name="page103"/>
    <w:bookmarkEnd w:id="102"/>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such Subsidiary in respect thereof) (and upon receipt of any such written notice Agent shall promptly notify each relevant Lender thereof), and (B) promptly (and in any event, within three (3) Business Days (or such later date as agreed by the Blackstone Representative and Agent)) upon receipt by a Credit Party or such Subsidiary of the Net Proceeds of such Asset Sale or Event of Loss, Borrower shall deliver, or cause to be delivered, one hundred percent (100%) of such Net Proceeds (in excess of the threshold set forth above) to Agent for distribution to the Lenders as a prepayment of the Term Loans, together with any and all accrued and unpaid interest with respect to the Term Loans so prepaid, and, to the extent such prepayment constitutes a Prepayment Premium Trigger Event, the Prepayment Premium (if applicable).</w:t>
      </w:r>
    </w:p>
    <w:p>
      <w:pPr>
        <w:spacing w:after="0" w:line="170" w:lineRule="exact"/>
        <w:rPr>
          <w:sz w:val="20"/>
          <w:szCs w:val="20"/>
          <w:color w:val="auto"/>
        </w:rPr>
      </w:pPr>
    </w:p>
    <w:p>
      <w:pPr>
        <w:jc w:val="both"/>
        <w:ind w:left="760" w:firstLine="745"/>
        <w:spacing w:after="0" w:line="249" w:lineRule="exact"/>
        <w:tabs>
          <w:tab w:leader="none" w:pos="1941" w:val="left"/>
        </w:tabs>
        <w:numPr>
          <w:ilvl w:val="2"/>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Default or Event of Default has occurred and is continuing, no prepayment of all (or a portion) of such Net Proceeds pursuant to </w:t>
      </w:r>
      <w:r>
        <w:rPr>
          <w:rFonts w:ascii="Times New Roman" w:cs="Times New Roman" w:eastAsia="Times New Roman" w:hAnsi="Times New Roman"/>
          <w:sz w:val="22"/>
          <w:szCs w:val="22"/>
          <w:u w:val="single" w:color="auto"/>
          <w:color w:val="auto"/>
        </w:rPr>
        <w:t>clause (iv)</w:t>
      </w:r>
      <w:r>
        <w:rPr>
          <w:rFonts w:ascii="Times New Roman" w:cs="Times New Roman" w:eastAsia="Times New Roman" w:hAnsi="Times New Roman"/>
          <w:sz w:val="22"/>
          <w:szCs w:val="22"/>
          <w:color w:val="auto"/>
        </w:rPr>
        <w:t xml:space="preserve"> above shall be required to the extent (i) a Credit Party or such Subsidiary reinvests the Net Proceeds (or applicable portion thereof) of any such Asset Sale or Event of Loss with respect to Collateral in assets or property of any Credit Party constituting Collateral of a kind then used or usable in the business of such Credit Party, or (ii) a Credit Party or such Subsidiary reinvests the Net Proceeds (or applicable portion thereof) of any such Asset Sale or Event of Loss with respect to assets that are not Collateral in assets or property of any Credit Party or Subsidiary of a kind then used or usable in the business of such Credit Party or Subsidiary, in each case within three hundred sixty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(365) days after the date of receipt of such Net Proceeds or enters into a binding commitment thereof within said three hundred sixty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(365) day period and subsequently makes such reinvestment within one hundred eighty (180) days after the final day of such three hundred sixty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(365) day period. Pending such reinvestment, the Net Proceeds shall be deposited, and shall remain on deposit, in a deposit account subject to a Control Agreement.</w:t>
      </w:r>
    </w:p>
    <w:p>
      <w:pPr>
        <w:spacing w:after="0" w:line="187"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Allocation of Prepayments</w:t>
      </w:r>
      <w:r>
        <w:rPr>
          <w:rFonts w:ascii="Times New Roman" w:cs="Times New Roman" w:eastAsia="Times New Roman" w:hAnsi="Times New Roman"/>
          <w:sz w:val="22"/>
          <w:szCs w:val="22"/>
          <w:color w:val="auto"/>
        </w:rPr>
        <w:t xml:space="preserve">. Each prepayment or repayment by Borrower on account of principal of and interest on each Class of Loan shall be applied by Agent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according to the respective outstanding principal amounts of the Term Loans then held by the Lenders making up that Class. Each prepayment or repayment required to be made with respect to the Term Loans shall be applied by Agent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to the Initial Term Loans and Delayed Draw Term Loans according to the respective outstanding principal amounts of the Term Loans of each such Class.</w:t>
      </w:r>
    </w:p>
    <w:p>
      <w:pPr>
        <w:spacing w:after="0" w:line="176"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Declined Amounts</w:t>
      </w:r>
      <w:r>
        <w:rPr>
          <w:rFonts w:ascii="Times New Roman" w:cs="Times New Roman" w:eastAsia="Times New Roman" w:hAnsi="Times New Roman"/>
          <w:sz w:val="22"/>
          <w:szCs w:val="22"/>
          <w:color w:val="auto"/>
        </w:rPr>
        <w:t xml:space="preserve">. In the event of any mandatory prepayment of the Term Loans pursuant to </w:t>
      </w:r>
      <w:r>
        <w:rPr>
          <w:rFonts w:ascii="Times New Roman" w:cs="Times New Roman" w:eastAsia="Times New Roman" w:hAnsi="Times New Roman"/>
          <w:sz w:val="22"/>
          <w:szCs w:val="22"/>
          <w:u w:val="single" w:color="auto"/>
          <w:color w:val="auto"/>
        </w:rPr>
        <w:t>Sections 2.2(c)(ii)</w:t>
      </w:r>
      <w:r>
        <w:rPr>
          <w:rFonts w:ascii="Times New Roman" w:cs="Times New Roman" w:eastAsia="Times New Roman" w:hAnsi="Times New Roman"/>
          <w:sz w:val="22"/>
          <w:szCs w:val="22"/>
          <w:color w:val="auto"/>
        </w:rPr>
        <w:t>,</w:t>
      </w:r>
    </w:p>
    <w:p>
      <w:pPr>
        <w:spacing w:after="0" w:line="14" w:lineRule="exact"/>
        <w:rPr>
          <w:rFonts w:ascii="Times New Roman" w:cs="Times New Roman" w:eastAsia="Times New Roman" w:hAnsi="Times New Roman"/>
          <w:sz w:val="22"/>
          <w:szCs w:val="22"/>
          <w:color w:val="auto"/>
        </w:rPr>
      </w:pPr>
    </w:p>
    <w:p>
      <w:pPr>
        <w:jc w:val="both"/>
        <w:ind w:firstLine="8"/>
        <w:spacing w:after="0" w:line="232" w:lineRule="auto"/>
        <w:tabs>
          <w:tab w:leader="none" w:pos="391" w:val="left"/>
        </w:tabs>
        <w:numPr>
          <w:ilvl w:val="0"/>
          <w:numId w:val="6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or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b w:val="1"/>
          <w:bCs w:val="1"/>
          <w:color w:val="auto"/>
        </w:rPr>
        <w:t>Applicable Mandatory Prepayment</w:t>
      </w:r>
      <w:r>
        <w:rPr>
          <w:rFonts w:ascii="Times New Roman" w:cs="Times New Roman" w:eastAsia="Times New Roman" w:hAnsi="Times New Roman"/>
          <w:sz w:val="22"/>
          <w:szCs w:val="22"/>
          <w:color w:val="auto"/>
        </w:rPr>
        <w:t>”), (i) Borrower shall provide written notice to Agent no later than 12:00 p.m. Eastern Time, three (3) Business Days prior to the Applicable Mandatory Prepayment, which notice shall specify the date of such prepayment and provide a reasonably detailed calculation of the amount of such prepayment and the Prepayment Premium (if any) applicable thereto and (ii) each Lender may reject all or a portion of its share of such Applicable Mandatory Prepayment by written notice (each, a “</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(each such Lender, a “</w:t>
      </w:r>
      <w:r>
        <w:rPr>
          <w:rFonts w:ascii="Times New Roman" w:cs="Times New Roman" w:eastAsia="Times New Roman" w:hAnsi="Times New Roman"/>
          <w:sz w:val="22"/>
          <w:szCs w:val="22"/>
          <w:b w:val="1"/>
          <w:bCs w:val="1"/>
          <w:color w:val="auto"/>
        </w:rPr>
        <w:t>Rejecting Lender</w:t>
      </w:r>
      <w:r>
        <w:rPr>
          <w:rFonts w:ascii="Times New Roman" w:cs="Times New Roman" w:eastAsia="Times New Roman" w:hAnsi="Times New Roman"/>
          <w:sz w:val="22"/>
          <w:szCs w:val="22"/>
          <w:color w:val="auto"/>
        </w:rPr>
        <w:t>”) to Agent no later than 2:00 p.m. Eastern Time, two (2) Business Days prior to the date of prepayment (the “</w:t>
      </w:r>
      <w:r>
        <w:rPr>
          <w:rFonts w:ascii="Times New Roman" w:cs="Times New Roman" w:eastAsia="Times New Roman" w:hAnsi="Times New Roman"/>
          <w:sz w:val="22"/>
          <w:szCs w:val="22"/>
          <w:b w:val="1"/>
          <w:bCs w:val="1"/>
          <w:color w:val="auto"/>
        </w:rPr>
        <w:t>Rejection Deadline</w:t>
      </w:r>
      <w:r>
        <w:rPr>
          <w:rFonts w:ascii="Times New Roman" w:cs="Times New Roman" w:eastAsia="Times New Roman" w:hAnsi="Times New Roman"/>
          <w:sz w:val="22"/>
          <w:szCs w:val="22"/>
          <w:color w:val="auto"/>
        </w:rPr>
        <w:t>”). If a Lender fails to deliver a Rejection Notice to Agent at or prior to the Rejection Deadline, such Lender shall be deemed to have accepted its ratable share of the Applicable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3" w:name="page104"/>
    <w:bookmarkEnd w:id="103"/>
    <w:p>
      <w:pPr>
        <w:jc w:val="both"/>
        <w:spacing w:after="0" w:line="235" w:lineRule="auto"/>
        <w:rPr>
          <w:sz w:val="20"/>
          <w:szCs w:val="20"/>
          <w:color w:val="auto"/>
        </w:rPr>
      </w:pPr>
      <w:r>
        <w:rPr>
          <w:rFonts w:ascii="Times New Roman" w:cs="Times New Roman" w:eastAsia="Times New Roman" w:hAnsi="Times New Roman"/>
          <w:sz w:val="22"/>
          <w:szCs w:val="22"/>
          <w:color w:val="auto"/>
        </w:rPr>
        <w:t>Mandatory Prepayment. The aggregate portion of such Applicable Mandatory Prepayment that is rejected by Lenders pursuant to Rejection Notices shall be referred to as the “</w:t>
      </w:r>
      <w:r>
        <w:rPr>
          <w:rFonts w:ascii="Times New Roman" w:cs="Times New Roman" w:eastAsia="Times New Roman" w:hAnsi="Times New Roman"/>
          <w:sz w:val="22"/>
          <w:szCs w:val="22"/>
          <w:b w:val="1"/>
          <w:bCs w:val="1"/>
          <w:color w:val="auto"/>
        </w:rPr>
        <w:t>Rejected Amount</w:t>
      </w:r>
      <w:r>
        <w:rPr>
          <w:rFonts w:ascii="Times New Roman" w:cs="Times New Roman" w:eastAsia="Times New Roman" w:hAnsi="Times New Roman"/>
          <w:sz w:val="22"/>
          <w:szCs w:val="22"/>
          <w:color w:val="auto"/>
        </w:rPr>
        <w:t xml:space="preserve">”. Such Rejected Amount shall be offered to each Lender holding the same Class of Loans as such Rejecting Lender that is not a Rejecting Lender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and such Lender may reject all or a portion of its share of the Rejected Amount by no later than 2:00 pm Eastern Time, one (1) Business Day prior to the date of prepayment pursuant to the procedures set forth in the immediately preceding sentence and the aggregate portion of such Rejected Amount that is rejected by the Lenders shall be returned by Agent to Borrower and may be used by Borrower in any manner not prohibited by the Loan Documents.</w:t>
      </w:r>
    </w:p>
    <w:p>
      <w:pPr>
        <w:spacing w:after="0" w:line="183" w:lineRule="exact"/>
        <w:rPr>
          <w:sz w:val="20"/>
          <w:szCs w:val="20"/>
          <w:color w:val="auto"/>
        </w:rPr>
      </w:pPr>
    </w:p>
    <w:p>
      <w:pPr>
        <w:jc w:val="both"/>
        <w:ind w:firstLine="757"/>
        <w:spacing w:after="0" w:line="243" w:lineRule="auto"/>
        <w:tabs>
          <w:tab w:leader="none" w:pos="1181"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Prepayment Premium</w:t>
      </w:r>
      <w:r>
        <w:rPr>
          <w:rFonts w:ascii="Times New Roman" w:cs="Times New Roman" w:eastAsia="Times New Roman" w:hAnsi="Times New Roman"/>
          <w:sz w:val="21"/>
          <w:szCs w:val="21"/>
          <w:color w:val="auto"/>
        </w:rPr>
        <w:t xml:space="preserve">. Upon the occurrence of a Prepayment Premium Trigger Event, Borrower shall pay to Agent, for the account of the Lenders, the Prepayment Premium, plus any and all accrued but unpaid interest on the amount of principal being so prepaid through and including the date of prepayment. Any such Prepayment Premium shall be fully earned on the date due and payable and shall not be refundable or subject to proration for any reason. Notwithstanding anything to the contrary in this Agreement or any other Loan Document, it is understood and agreed that if a Prepayment Premium Trigger Event occurs under clauses (a)(ii), (b), (c) or (d) of the definition thereof, the Prepayment Premium, determined as of the date of such acceleration or event, shall be automatically due and payable and shall be treated and deemed as though the entire principal amount of the Term Loans were voluntarily prepaid as of such date and shall constitute part of the Obligations for all purposes herein. Any Prepayment Premium payable in accordance with this </w:t>
      </w:r>
      <w:r>
        <w:rPr>
          <w:rFonts w:ascii="Times New Roman" w:cs="Times New Roman" w:eastAsia="Times New Roman" w:hAnsi="Times New Roman"/>
          <w:sz w:val="21"/>
          <w:szCs w:val="21"/>
          <w:u w:val="single" w:color="auto"/>
          <w:color w:val="auto"/>
        </w:rPr>
        <w:t>Section 2.2(f)</w:t>
      </w:r>
      <w:r>
        <w:rPr>
          <w:rFonts w:ascii="Times New Roman" w:cs="Times New Roman" w:eastAsia="Times New Roman" w:hAnsi="Times New Roman"/>
          <w:sz w:val="21"/>
          <w:szCs w:val="21"/>
          <w:color w:val="auto"/>
        </w:rPr>
        <w:t> shall be presumed to be equal to the liquidated damages sustained by the Lenders as the result of the occurrence of the Prepayment Premium Trigger Event, and Borrower and Guarantors agree that it is reasonable under the circumstances currently existing. The Prepayment Premium, if any, shall also be due and payable in the event the Obligations (or this Agreement) are satisfied or released by foreclosure (whether by power of judicial proceeding), deed in lieu of foreclosure or by any other means or if the Obligations are reinstated pursuant to Section 1124 of the Bankruptcy Code (with the Prepayment Premium being determined as of the date of such foreclosure, deed in lieu of foreclosure, reinstatement or other event). If the Prepayment Premium becomes due and payable pursuant to this Agreement, such Prepayment Premium shall be deemed to be principal of the Term Loans, and interest shall accrue on the full principal amount of the Term Loans (including the Prepayment Premium) from and after the applicable Prepayment Premium Trigger Event. In the event the Prepayment Premium is determined not to be due or payable by order of any court of competent jurisdiction, including by operation of the Bankruptcy Code, despite such a triggering event having occurred, the Prepayment Premium shall nonetheless constitute Obligations under this Agreement for all purposes hereunder. BORROWER AND THE GUARANTORS EXPRESSLY WAIVE (TO THE FULLEST EXTENT THEY MAY LAWFULLY DO SO AND THE SAME IS NOT OUTSIDE THEIR LEGAL CAPACITY (WHETHER AS A RESULT OF FINANCIAL ASSISTANCE, CORPORATE BENEFIT, THIN CAPITALIZATION, CAPITAL MAINTENANCE OR LIQUIDITY MAINTENANCE RULES OR OTHER LEGAL PRINCIPLES)) THE PROVISIONS OF ANY PRESENT OR FUTURE STATUTE OR LAW THAT PROHIBITS OR MAY PROHIBIT THE COLLECTION OF THE FOREGOING PREPAYMENT PREMIUM IN CONNECTION WITH ANY SUCH PREPAYMENT, INCLUDING ANY VOLUNTARY OR INVOLUNTARY ACCELERATION OF THE OBLIGATIONS PURSUANT TO AN INSOLVENCY PROCEEDING OR OTHER PROCEEDING PURSUANT TO ANY INSOLVENCY LAWS OR PURSUANT TO A PLAN OF REORGANIZATION. THE CREDIT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4" w:name="page105"/>
    <w:bookmarkEnd w:id="104"/>
    <w:p>
      <w:pPr>
        <w:jc w:val="both"/>
        <w:spacing w:after="0" w:line="244" w:lineRule="auto"/>
        <w:rPr>
          <w:sz w:val="20"/>
          <w:szCs w:val="20"/>
          <w:color w:val="auto"/>
        </w:rPr>
      </w:pPr>
      <w:r>
        <w:rPr>
          <w:rFonts w:ascii="Times New Roman" w:cs="Times New Roman" w:eastAsia="Times New Roman" w:hAnsi="Times New Roman"/>
          <w:sz w:val="21"/>
          <w:szCs w:val="21"/>
          <w:color w:val="auto"/>
        </w:rPr>
        <w:t xml:space="preserve">PARTIES, AGENT AND THE LENDERS ACKNOWLEDGE AND AGREE THAT ANY PREPAYMENT PREMIUM DUE AND PAYABLE IN ACCORDANCE WITH THIS AGREEMENT SHALL NOT CONSTITUTE UNMATURED INTEREST, WHETHER UNDER SECTION 5.02(B)(3) OF THE BANKRUPTCY CODE OR OTHERWISE. EACH CREDIT PARTY FURTHER ACKNOWLEDGES AND AGREES, AND WAIVES ANY ARGUMENT TO THE CONTRARY, THAT PAYMENT OF SUCH AMOUNT DOES NOT CONSTITUTE A PENALTY OR AN OTHERWISE UNENFORCEABLE OR INVALID OBLIGATION. Borrower and Guarantors expressly agree that (i)  the Prepayment Premium is reasonable and is the product of an arm’s length transaction between sophisticated business people, ably represented by counsel, (ii) the Prepayment Premium shall be payable notwithstanding the then-prevailing market rates at the time payment is made, (iii) there has been a course of conduct between the Lenders and the Credit Parties giving specific consideration in this transaction for such agreement to pay the Prepayment Premium, (iv) the Credit Parties shall be estopped hereafter from claiming differently than as agreed to in this </w:t>
      </w:r>
      <w:r>
        <w:rPr>
          <w:rFonts w:ascii="Times New Roman" w:cs="Times New Roman" w:eastAsia="Times New Roman" w:hAnsi="Times New Roman"/>
          <w:sz w:val="21"/>
          <w:szCs w:val="21"/>
          <w:u w:val="single" w:color="auto"/>
          <w:color w:val="auto"/>
        </w:rPr>
        <w:t>Section 2.2(f)</w:t>
      </w:r>
      <w:r>
        <w:rPr>
          <w:rFonts w:ascii="Times New Roman" w:cs="Times New Roman" w:eastAsia="Times New Roman" w:hAnsi="Times New Roman"/>
          <w:sz w:val="21"/>
          <w:szCs w:val="21"/>
          <w:color w:val="auto"/>
        </w:rPr>
        <w:t>, (v) their agreement to pay the Prepayment Premium is a material inducement to the Lenders to provide the Commitments and make the Term Loans, and (vi) the Prepayment Premium represents a good faith, reasonable estimate and calculation of the lost profits or damages of the Lenders, and that it would be impractical and extremely difficult to ascertain the actual amount of damages to the Lenders or profits lost by the Lenders as a result of such Prepayment Premium Trigger Event.</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2.3  Payment of Interest on the Credit Extensions.</w:t>
      </w:r>
    </w:p>
    <w:p>
      <w:pPr>
        <w:spacing w:after="0" w:line="210" w:lineRule="exact"/>
        <w:rPr>
          <w:sz w:val="20"/>
          <w:szCs w:val="20"/>
          <w:color w:val="auto"/>
        </w:rPr>
      </w:pPr>
    </w:p>
    <w:p>
      <w:pPr>
        <w:ind w:left="1180" w:hanging="423"/>
        <w:spacing w:after="0"/>
        <w:tabs>
          <w:tab w:leader="none" w:pos="118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2.3(e)</w:t>
      </w:r>
      <w:r>
        <w:rPr>
          <w:rFonts w:ascii="Times New Roman" w:cs="Times New Roman" w:eastAsia="Times New Roman" w:hAnsi="Times New Roman"/>
          <w:sz w:val="22"/>
          <w:szCs w:val="22"/>
          <w:color w:val="auto"/>
        </w:rPr>
        <w:t xml:space="preserve">, the principal amount outstanding under the Term Loans shall accrue interest at a per annum rate equal to Adjusted Term SOFR or the Base Rate, as the case may be, plus the Applicable Margin, which interest shall be payable quarterly in arrears in accordance with this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shall accrue on the Term Loans commencing on, and including, the day on which the Term Loans are made, and shall not accrue on the Term Loans, or any portion thereof, for the day on which such Term Loans or such portion is paid.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33"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Borrowing of Term Loans initially shall be of the Type specified in the applicable Borrowing Notice. Thereafter, Borrower may elect to convert such Borrowing to a different Type or to continue such Borrowing. Borrower may elect different options with respect to different portions of the affected Borrowing, in which case each such portion shall be allocated ratably among the Lenders holding the Term Loans comprising such Borrowing, and the Term Loans comprising each such portion shall be considered a separate Borrowing. To make an election pursuant to this clause (iii), Borrower shall deliver a duly completed and executed irrevocable written notice in the form of the Interest Election Required attached hereto as </w:t>
      </w:r>
      <w:r>
        <w:rPr>
          <w:rFonts w:ascii="Times New Roman" w:cs="Times New Roman" w:eastAsia="Times New Roman" w:hAnsi="Times New Roman"/>
          <w:sz w:val="22"/>
          <w:szCs w:val="22"/>
          <w:u w:val="single" w:color="auto"/>
          <w:color w:val="auto"/>
        </w:rPr>
        <w:t>Exhibit J</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Interest Election Request</w:t>
      </w:r>
      <w:r>
        <w:rPr>
          <w:rFonts w:ascii="Times New Roman" w:cs="Times New Roman" w:eastAsia="Times New Roman" w:hAnsi="Times New Roman"/>
          <w:sz w:val="22"/>
          <w:szCs w:val="22"/>
          <w:color w:val="auto"/>
        </w:rPr>
        <w:t>”) to Agent not later than 12:00 p.m., Eastern Time, (x) three (3) Business Days prior to the requested date of any continuation of SOFR Loans or any conversion of Base Rate Loans to SOFR Loans, and (y) one (1) Business Day prior to the requested date of any conversion of SOFR Loans to Base Rate Loans. Each Interest Election Request shall specify (x) the Borrowing to which such Interest Election Request applies, (y) the effective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date of the election made pursuant to such Interest Election Request, which shall be a Business Day and (z) whether the resulting Borrowing is to be a Base Rate Borrowing or a Term SOFR Borrowing. If an Interest Election Request with respect to a SOFR Loan is not timely delivered prior to the end of the Interest Period applicable thereto, then, unless such Borrowing is repaid or prepaid as provided herein, at the end of such Interest Period such Borrowing shall be continued as a Term SOFR Borrowing with an interest period of one month.</w:t>
      </w:r>
    </w:p>
    <w:p>
      <w:pPr>
        <w:spacing w:after="0" w:line="177" w:lineRule="exact"/>
        <w:rPr>
          <w:sz w:val="20"/>
          <w:szCs w:val="20"/>
          <w:color w:val="auto"/>
        </w:rPr>
      </w:pPr>
    </w:p>
    <w:p>
      <w:pPr>
        <w:jc w:val="both"/>
        <w:ind w:firstLine="757"/>
        <w:spacing w:after="0" w:line="248" w:lineRule="auto"/>
        <w:tabs>
          <w:tab w:leader="none" w:pos="119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Rate</w:t>
      </w:r>
      <w:r>
        <w:rPr>
          <w:rFonts w:ascii="Times New Roman" w:cs="Times New Roman" w:eastAsia="Times New Roman" w:hAnsi="Times New Roman"/>
          <w:sz w:val="21"/>
          <w:szCs w:val="21"/>
          <w:color w:val="auto"/>
        </w:rPr>
        <w:t>. Following the occurrence and during the continuance of an Event of Default, all Obligations shall bear interest, after as well as before judgment, at a per annum rate equal to 2.00%</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plus the rate otherwise applicable to the Term Loans or other Obligations as provided in </w:t>
      </w:r>
      <w:r>
        <w:rPr>
          <w:rFonts w:ascii="Times New Roman" w:cs="Times New Roman" w:eastAsia="Times New Roman" w:hAnsi="Times New Roman"/>
          <w:sz w:val="21"/>
          <w:szCs w:val="21"/>
          <w:u w:val="single" w:color="auto"/>
          <w:color w:val="auto"/>
        </w:rPr>
        <w:t>Sections 2.3(a)</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xml:space="preserve">”), and such interest shall be payable entirely in cash on demand of the Blackstone Representative (notice of which shall be provided to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Blackstone Representative may waive the Default Rate in its sole discretion. Payment or acceptance of the increased interest rate provided in this </w:t>
      </w:r>
      <w:r>
        <w:rPr>
          <w:rFonts w:ascii="Times New Roman" w:cs="Times New Roman" w:eastAsia="Times New Roman" w:hAnsi="Times New Roman"/>
          <w:sz w:val="21"/>
          <w:szCs w:val="21"/>
          <w:u w:val="single" w:color="auto"/>
          <w:color w:val="auto"/>
        </w:rPr>
        <w:t>Section 2.3(b)</w:t>
      </w:r>
      <w:r>
        <w:rPr>
          <w:rFonts w:ascii="Times New Roman" w:cs="Times New Roman" w:eastAsia="Times New Roman" w:hAnsi="Times New Roman"/>
          <w:sz w:val="21"/>
          <w:szCs w:val="21"/>
          <w:color w:val="auto"/>
        </w:rPr>
        <w:t> is not a permitted alternative to timely payment and shall not constitute a waiver of any Event of Default or otherwise prejudice or limit any rights or remedies of the Agent, the Blackstone Representative or the Lenders.</w:t>
      </w:r>
    </w:p>
    <w:p>
      <w:pPr>
        <w:spacing w:after="0" w:line="135" w:lineRule="exact"/>
        <w:rPr>
          <w:rFonts w:ascii="Times New Roman" w:cs="Times New Roman" w:eastAsia="Times New Roman" w:hAnsi="Times New Roman"/>
          <w:sz w:val="21"/>
          <w:szCs w:val="21"/>
          <w:color w:val="auto"/>
        </w:rPr>
      </w:pPr>
    </w:p>
    <w:p>
      <w:pPr>
        <w:ind w:left="1220" w:hanging="463"/>
        <w:spacing w:after="0" w:line="253" w:lineRule="exact"/>
        <w:tabs>
          <w:tab w:leader="none" w:pos="12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360</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Day Year</w:t>
      </w:r>
      <w:r>
        <w:rPr>
          <w:rFonts w:ascii="Times New Roman" w:cs="Times New Roman" w:eastAsia="Times New Roman" w:hAnsi="Times New Roman"/>
          <w:sz w:val="22"/>
          <w:szCs w:val="22"/>
          <w:color w:val="auto"/>
        </w:rPr>
        <w:t>. Interest shall be computed on the basis of a year of a 360 days and the actual number of days</w:t>
      </w:r>
    </w:p>
    <w:p>
      <w:pPr>
        <w:spacing w:after="0" w:line="6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elapsed.</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7" w:lineRule="exact"/>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expressly provided herein, all loan payments (and any other payments hereunder) by Borrower hereunder shall be made on the date specified herein to such bank account of Agent as specified in writing by Agent from time to time to Borrower and the Lenders. Interest is payable on each Interest Date, beginning (in the case of Base Rate Loan) on September 30, 2025, on the date of any payment or prepayment or acceleration, in whole or in part, of principal outstanding on the Term Loans, on the principal amount so paid or prepaid or accelerated, and on the Term Loan Maturity Date. Payments of principal or interest received after 2:00 p.m. Eastern Time on such date are considered received at the opening of business on the next Business Day. Except as otherwise expressly provided herein,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made hereunder and pursuant to any other Loan Document, and all fees, expenses, indemnities and reimbursements, shall be made without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recoupment or counterclaim, in lawful money of the United States and in immediately available funds. Agent shall distribute such payments on a pro rata basis to each relevant Lender promptly upon receipt in like funds as received, net of any amounts owing by such Lender pursuant to </w:t>
      </w:r>
      <w:r>
        <w:rPr>
          <w:rFonts w:ascii="Times New Roman" w:cs="Times New Roman" w:eastAsia="Times New Roman" w:hAnsi="Times New Roman"/>
          <w:sz w:val="22"/>
          <w:szCs w:val="22"/>
          <w:u w:val="single" w:color="auto"/>
          <w:color w:val="auto"/>
        </w:rPr>
        <w:t>Section 12.14</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2"/>
          <w:szCs w:val="22"/>
          <w:color w:val="auto"/>
        </w:rPr>
      </w:pPr>
    </w:p>
    <w:p>
      <w:pPr>
        <w:jc w:val="both"/>
        <w:ind w:left="760" w:firstLine="745"/>
        <w:spacing w:after="0" w:line="261" w:lineRule="auto"/>
        <w:tabs>
          <w:tab w:leader="none" w:pos="1941"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other than as expressly provided elsewhere herein or required by court order, any Lender shall obtain payment in respect of any principal or interest on account of the Term Loans made by it (whether voluntary, involuntary, through the exercise of any right of setoff, or otherwise) in excess of its ratable share (or other share contemplated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jc w:val="both"/>
        <w:ind w:left="760"/>
        <w:spacing w:after="0" w:line="248" w:lineRule="auto"/>
        <w:rPr>
          <w:sz w:val="20"/>
          <w:szCs w:val="20"/>
          <w:color w:val="auto"/>
        </w:rPr>
      </w:pPr>
      <w:r>
        <w:rPr>
          <w:rFonts w:ascii="Times New Roman" w:cs="Times New Roman" w:eastAsia="Times New Roman" w:hAnsi="Times New Roman"/>
          <w:sz w:val="21"/>
          <w:szCs w:val="21"/>
          <w:color w:val="auto"/>
        </w:rPr>
        <w:t>hereunder) thereof, such Lender shall (A) immediately notify Agent of such fact, and (B) hold such amounts in trust for the benefit of Agent and the other Lenders and promptly pay or deliver to Agent, for application to the Term Loans made by the other Lenders pursuant to this Agreement, such excess amounts in the form received. For the avoidance of doubt, the provisions of this paragraph shall not be construed to apply to (x) any payment made by Borrower pursuant to and in accordance with the express terms of this Agreement as in effect from time to time (including the application of funds arising from the existence of a Defaulting Lender) or (y) any payment obtained by a Lender as consideration for the assignment of or sale of a participation in any of its Term Loans to any assignee or participant permitted hereunder.</w:t>
      </w:r>
    </w:p>
    <w:p>
      <w:pPr>
        <w:spacing w:after="0" w:line="170" w:lineRule="exact"/>
        <w:rPr>
          <w:sz w:val="20"/>
          <w:szCs w:val="20"/>
          <w:color w:val="auto"/>
        </w:rPr>
      </w:pPr>
    </w:p>
    <w:p>
      <w:pPr>
        <w:ind w:left="1940" w:hanging="435"/>
        <w:spacing w:after="0"/>
        <w:tabs>
          <w:tab w:leader="none" w:pos="194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941"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obligations of the Lenders hereunder to make Loans and to make payments pursuant to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are several and not joint. The failure of any Lender to make any Loan or to make any payment under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or to make its payment under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xml:space="preserve">. If any Lender shall fail to make any payment required to be made by it pursuant to </w:t>
      </w:r>
      <w:r>
        <w:rPr>
          <w:rFonts w:ascii="Times New Roman" w:cs="Times New Roman" w:eastAsia="Times New Roman" w:hAnsi="Times New Roman"/>
          <w:sz w:val="21"/>
          <w:szCs w:val="21"/>
          <w:u w:val="single" w:color="auto"/>
          <w:color w:val="auto"/>
        </w:rPr>
        <w:t>Section 12.13</w:t>
      </w:r>
      <w:r>
        <w:rPr>
          <w:rFonts w:ascii="Times New Roman" w:cs="Times New Roman" w:eastAsia="Times New Roman" w:hAnsi="Times New Roman"/>
          <w:sz w:val="21"/>
          <w:szCs w:val="21"/>
          <w:color w:val="auto"/>
        </w:rPr>
        <w:t>, then Agent may, in its discretion and notwithstanding any contrary provision hereof, apply any amounts thereafter received by Agent for the account of such Lender under any Loan Document to satisfy such Lender’s obligation to Agent.</w:t>
      </w:r>
    </w:p>
    <w:p>
      <w:pPr>
        <w:spacing w:after="0" w:line="170" w:lineRule="exact"/>
        <w:rPr>
          <w:rFonts w:ascii="Times New Roman" w:cs="Times New Roman" w:eastAsia="Times New Roman" w:hAnsi="Times New Roman"/>
          <w:sz w:val="21"/>
          <w:szCs w:val="21"/>
          <w:color w:val="auto"/>
        </w:rPr>
      </w:pPr>
    </w:p>
    <w:p>
      <w:pPr>
        <w:jc w:val="both"/>
        <w:ind w:left="760" w:firstLine="745"/>
        <w:spacing w:after="0" w:line="235"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Agent shall have received notice from Borrower prior to the date on which any payment is due to Agent for the account of the Lenders hereunder that Borrower will not make such payment, Agent may assume that Borrower has made such payment on such date in accordance herewith and may, in reliance upon such assumption and in its sole discretion, distribute to the Lenders the amount due. In such event, if Borrower has not in fact made such payment, then each of the Lenders severally agrees to repay to Agent forthwith on demand the amount so distributed to such Lender with interest thereon, for each day from and including the date such amount is distributed to it to but excluding the date of payment to Agent, at the greater of the Federal Funds Rate and a rate determined by Agent in accordance with banking industry rules on interbank compensation.</w:t>
      </w:r>
    </w:p>
    <w:p>
      <w:pPr>
        <w:spacing w:after="0" w:line="178" w:lineRule="exact"/>
        <w:rPr>
          <w:rFonts w:ascii="Times New Roman" w:cs="Times New Roman" w:eastAsia="Times New Roman" w:hAnsi="Times New Roman"/>
          <w:sz w:val="22"/>
          <w:szCs w:val="22"/>
          <w:color w:val="auto"/>
        </w:rPr>
      </w:pPr>
    </w:p>
    <w:p>
      <w:pPr>
        <w:ind w:left="1200" w:hanging="443"/>
        <w:spacing w:after="0"/>
        <w:tabs>
          <w:tab w:leader="none" w:pos="12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Inability to Determine Rates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if, on or prior to the first day of any Interest Period for any</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SOFR Loan:</w:t>
      </w:r>
    </w:p>
    <w:p>
      <w:pPr>
        <w:spacing w:after="0" w:line="182"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2045"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 determines (which determination shall be conclusive and binding absent manifest error) that “Adjusted Term SOFR” cannot be determined pursuant to the definition thereof,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funding such Loan, and the Required Lenders have provided notice of such determination to the Agent, Agent shall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ind w:left="760"/>
        <w:spacing w:after="0" w:line="233" w:lineRule="auto"/>
        <w:rPr>
          <w:sz w:val="20"/>
          <w:szCs w:val="20"/>
          <w:color w:val="auto"/>
        </w:rPr>
      </w:pPr>
      <w:r>
        <w:rPr>
          <w:rFonts w:ascii="Times New Roman" w:cs="Times New Roman" w:eastAsia="Times New Roman" w:hAnsi="Times New Roman"/>
          <w:sz w:val="22"/>
          <w:szCs w:val="22"/>
          <w:color w:val="auto"/>
        </w:rPr>
        <w:t xml:space="preserve">promptly so notify Borrower and each Lender. Upon notice thereof by Agent to Borrower, any obligation of the Lenders to make SOFR Loans, and any right of Borrower to continue SOFR Loans or to convert Base Rate Loans to SOFR Loans, shall be suspended (to the extent of the affected SOFR Loans or affected Interest Periods) until Agent (with respect to clause (ii), at the instruction of the Required Lenders) revokes such notice. Upon receipt of such notice, (i) Borrower may revoke any pending request for a borrowing of, conversion to or continuation of SOFR Loans (to the extent of the affected SOFR Loans or affected Interest Periods) or, failing that, Borrower shall be deemed to have converted any such request into a request for a Borrowing of or conversion to Base Rate Loans in the amount specified therein and (ii) any outstanding affected SOFR Loans shall be deemed to have been converted into Base Rate Loans at the end of the applicable Interest Period. Upon any such conversion, Borrower shall also pay accrued interest on the amount so converted, together with any additional amounts required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if Agent determines (which determination shall be conclusive and binding absent manifest error) that “Adjusted Term SOFR” cannot be determined pursuant to the definition thereof on any given day, the interest rate on Base Rate Loans shall be determined by Agent without reference to clause (c) of the definition of “Base Rate” until Agent revokes such determination.</w:t>
      </w:r>
    </w:p>
    <w:p>
      <w:pPr>
        <w:spacing w:after="0" w:line="180" w:lineRule="exact"/>
        <w:rPr>
          <w:sz w:val="20"/>
          <w:szCs w:val="20"/>
          <w:color w:val="auto"/>
        </w:rPr>
      </w:pPr>
    </w:p>
    <w:p>
      <w:pPr>
        <w:jc w:val="both"/>
        <w:ind w:firstLine="757"/>
        <w:spacing w:after="0" w:line="236" w:lineRule="auto"/>
        <w:tabs>
          <w:tab w:leader="none" w:pos="120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SOFR Conforming Changes</w:t>
      </w:r>
      <w:r>
        <w:rPr>
          <w:rFonts w:ascii="Times New Roman" w:cs="Times New Roman" w:eastAsia="Times New Roman" w:hAnsi="Times New Roman"/>
          <w:sz w:val="22"/>
          <w:szCs w:val="22"/>
          <w:color w:val="auto"/>
        </w:rPr>
        <w:t>. In connection with the use or administration of Term SOFR, the Agent (in consultation with Borrower and at the direction of the Blackstone Representative) shall endeavor in good faith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 Agent shall promptly notify the Lenders and Borrower of the effectiveness of any Conforming Changes in connection with the use or administration of Term SOFR.</w:t>
      </w:r>
    </w:p>
    <w:p>
      <w:pPr>
        <w:spacing w:after="0" w:line="181" w:lineRule="exact"/>
        <w:rPr>
          <w:rFonts w:ascii="Times New Roman" w:cs="Times New Roman" w:eastAsia="Times New Roman" w:hAnsi="Times New Roman"/>
          <w:sz w:val="22"/>
          <w:szCs w:val="22"/>
          <w:color w:val="auto"/>
        </w:rPr>
      </w:pPr>
    </w:p>
    <w:p>
      <w:pPr>
        <w:jc w:val="both"/>
        <w:ind w:firstLine="757"/>
        <w:spacing w:after="0" w:line="233" w:lineRule="auto"/>
        <w:tabs>
          <w:tab w:leader="none" w:pos="119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Illegality</w:t>
      </w:r>
      <w:r>
        <w:rPr>
          <w:rFonts w:ascii="Times New Roman" w:cs="Times New Roman" w:eastAsia="Times New Roman" w:hAnsi="Times New Roman"/>
          <w:sz w:val="22"/>
          <w:szCs w:val="22"/>
          <w:color w:val="auto"/>
        </w:rPr>
        <w:t>.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Adjusted Term SOFR or Term SOFR, or to determine or charge interest rates based upon SOFR, the Term SOFR Reference Rate, Adjusted Term SOFR or Term SOFR, then, upon notice thereof by such Lender to Borrower (through Agent), (a) any obligation of the Lenders to make SOFR Loans, and any right of Borrower to continue SOFR Loans or to convert Base Rate Loans to SOFR Loans, shall be suspended, and (b) the interest rate on which Loans shall, if necessary to avoid such illegality, be determined by Agent without reference to clause (c) of the definition of “Base Rate”, in each case until such Lender notifies Agent and Borrower that the circumstances giving rise to such determination no longer exist. Upon receipt of such notice, (i) Borrower shall, if necessary to avoid such illegality, upon demand from any Lender (with a copy to Agent), prepay or, if applicable, convert all SOFR Loans to Base Rate Loans (the interest rate on which Base Rate Loans of such Lender shall, if necessary to avoid such illegality, be determined by Agent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and (ii) if necessary to avoid such illegality, Agent shall during the period of such suspension compute the Base Rate without reference to clause (c) of the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definition of “Base Rate,” in each case until Agent is advised in writing by each affected Lender that it is no longer illegal for such Lender to determine or charge interest rates based upon SOFR, the Term SOFR Reference Rate, Adjusted Term SOFR or Term SOFR. Upon any such prepayment or conversion, Borrower shall also pay accrued interest on the amount so prepaid or converted, together with any additional amounts required pursuant to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2.4  [Reserved].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2.5  Requirements of Law; Increased Costs. In the event that any applicable Change in Law:</w:t>
      </w:r>
    </w:p>
    <w:p>
      <w:pPr>
        <w:spacing w:after="0" w:line="210" w:lineRule="exact"/>
        <w:rPr>
          <w:sz w:val="20"/>
          <w:szCs w:val="20"/>
          <w:color w:val="auto"/>
        </w:rPr>
      </w:pPr>
    </w:p>
    <w:p>
      <w:pPr>
        <w:jc w:val="both"/>
        <w:ind w:right="20" w:firstLine="757"/>
        <w:spacing w:after="0" w:line="244"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Does or shall subject Agent or any Lender to any Tax of any kind whatsoever with respect to this Agreement or the Term Loans made hereunder (except, in each case, Indemnified Taxes, Taxes described in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of the definition of Excluded Taxes, and Connection Income Taxes);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Agent or any Lender; or</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Does or shall impose on Agent or any Lender any other condition (other than Taxes); and the result of any of the foregoing is to increase the cost to Agent or any Lender (as determined by such Person in good faith using calculation methods customary in the industry) of making, renewing or maintaining the Term Loan, or to reduce any amount receivable in respect thereof, or to reduce the rate of return on the capital of Agent or any Lender or any Person controlling Agent or any Lender,</w:t>
      </w:r>
    </w:p>
    <w:p>
      <w:pPr>
        <w:spacing w:after="0" w:line="1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then, in any such case, Borrower shall promptly pay to Agent or such Lender, as applicable, within thirty (30) days of its receipt of the certificate described below, any additional amounts necessary to compensate Agent or such Lender for such additional cost or reduced amounts receivable, or rate of return as reasonably determined by Agent or such Lender with respect to this Agreement, or the Term Loans made hereunder. If Agent or any Lender becomes entitled to claim any additional amounts pursuant to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it shall promptly notify Borrower (and such Lender shall promptly notify Agent) in writing of the event by reason of which it has become so entitled, and a certificate as to any additional amounts payable pursuant to the foregoing sentence containing the calculation thereof in reasonable detail submitted by Agent or such Lender to Borrower shall be conclusive in the absence of manifest error. The provisions hereof shall survive the termination of this Agreement and the payment of the outstanding Term Loan and all other Obligations. Failure or delay on the part of Agent or any Lender to demand compensation for any increased costs or reduction in amounts received or receivable, or reduction in return on capital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not constitute a waiver of Agent’s or any Lender’s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shall not be under any obligation to compensate Agent or any Lender under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with respect to increased costs or reductions with respect to any period prior to the date that is one hundred eighty (180) days prior to the date of the delivery of the notice required pursuant to the foregoing provisions of this paragraph;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the Change in Law giving rise to such increased costs or reductions is retroactive, then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-186690</wp:posOffset>
            </wp:positionV>
            <wp:extent cx="342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spacing w:after="0" w:line="253" w:lineRule="exact"/>
        <w:rPr>
          <w:sz w:val="20"/>
          <w:szCs w:val="20"/>
          <w:color w:val="auto"/>
        </w:rPr>
      </w:pPr>
      <w:r>
        <w:rPr>
          <w:rFonts w:ascii="Times New Roman" w:cs="Times New Roman" w:eastAsia="Times New Roman" w:hAnsi="Times New Roman"/>
          <w:sz w:val="22"/>
          <w:szCs w:val="22"/>
          <w:color w:val="auto"/>
        </w:rPr>
        <w:t>180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period referred to above shall be extended to include the period of retroactive effect thereof.</w:t>
      </w: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2.6  Taxes; Withholding, Etc.</w:t>
      </w:r>
    </w:p>
    <w:p>
      <w:pPr>
        <w:spacing w:after="0" w:line="210" w:lineRule="exact"/>
        <w:rPr>
          <w:sz w:val="20"/>
          <w:szCs w:val="20"/>
          <w:color w:val="auto"/>
        </w:rPr>
      </w:pPr>
    </w:p>
    <w:p>
      <w:pPr>
        <w:jc w:val="both"/>
        <w:ind w:firstLine="757"/>
        <w:spacing w:after="0" w:line="234"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sums payable by or on account of any obligation of any Credit Party hereunder and under the other Loan Documents shall (except to the extent required by Requirements of Law (as determined in the good faith discretion of an applicable Credit Party or Agent)) be paid free and clear of, and without any deduction or withholding on account of, any Tax imposed, levied, collected, withheld or assessed by any Governmental Authority. In addition, Borrower shall timely pay to the relevant Governmental Authority in accordance with Requirements of Law, or at the option of Agent timely reimburse it for the payment of, and indemnify and hold Agent and each Lender harmless from, Other Taxes, and as soon as reasonably practicable after the date of paying such sum, Borrower shall furnish to Agent or such Lender, if reasonably available, the original or a certified copy of a receipt evidencing payment thereof, a copy of the return reporting such payment or other evidence of such payment reasonably satisfactory to Agent.</w:t>
      </w:r>
    </w:p>
    <w:p>
      <w:pPr>
        <w:spacing w:after="0" w:line="183"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Credit Party or Agent is required by Requirements of Law to make any deduction or withholding on account of any Tax (as determined in the good faith discretion of an applicable Credit Party or Agent, as applicable) from any sum paid or payable by any Credit Party to Agent or any Lender under any of the Loan Documents: (i)such Person shall notify Agent or such Lender, as applicable, in writing of any such requirement or any change in any such requirement promptly after a Credit Party becomes aware of it; (ii) such Person shall be entitled to make any such withholding or deduction; (iii) such Person shall timely pay the full amount deducted or withheld to the relevant Governmental Authority in accordance with Requirements of Law; (iv) if the Tax is an Indemnified Tax, the sum payable by the applicable Credit Party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w:t>
      </w:r>
      <w:r>
        <w:rPr>
          <w:rFonts w:ascii="Times New Roman" w:cs="Times New Roman" w:eastAsia="Times New Roman" w:hAnsi="Times New Roman"/>
          <w:sz w:val="22"/>
          <w:szCs w:val="22"/>
          <w:u w:val="single" w:color="auto"/>
          <w:color w:val="auto"/>
        </w:rPr>
        <w:t>Section 2.6(b)</w:t>
      </w:r>
      <w:r>
        <w:rPr>
          <w:rFonts w:ascii="Times New Roman" w:cs="Times New Roman" w:eastAsia="Times New Roman" w:hAnsi="Times New Roman"/>
          <w:sz w:val="22"/>
          <w:szCs w:val="22"/>
          <w:color w:val="auto"/>
        </w:rPr>
        <w:t>), Agent or such Lender, as applicable,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deliver to Agent and each Lender evidence reasonably satisfactory to Agent and Lender of such deduction, withholding or payment and of the remittance thereof to the relevant taxing or other Governmental Authority, including, if reasonably available, the original or certified copy of a receipt issued by such Governmental Authority evidencing such payment or a copy of the return reporting such payment.</w:t>
      </w:r>
    </w:p>
    <w:p>
      <w:pPr>
        <w:spacing w:after="0" w:line="191"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indemnify each Lender or, as applicable (and without double counting), Agent for the full amount of any Indemnified Taxes (including Indemnified Taxes imposed or asserted on or attributable to amounts payable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payable or paid by such Lender or Agent, or required to be withheld or deducted from a payment to such Lender or Agent, and any reasonable expenses arising therefrom or with respect thereto, whether or not such Indemnified Taxes were correctly or legally imposed or asserted by the relevant Governmental Authority, and any indemnification payment pursuant to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shall be made to Agent or any Lender within thirty (30) days from written demand therefor, except that no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10" w:name="page111"/>
    <w:bookmarkEnd w:id="110"/>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payment shall be due from Borrower under this </w:t>
      </w:r>
      <w:r>
        <w:rPr>
          <w:rFonts w:ascii="Times New Roman" w:cs="Times New Roman" w:eastAsia="Times New Roman" w:hAnsi="Times New Roman"/>
          <w:sz w:val="22"/>
          <w:szCs w:val="22"/>
          <w:u w:val="single" w:color="auto"/>
          <w:color w:val="auto"/>
        </w:rPr>
        <w:t>Section 2.6(c) </w:t>
      </w:r>
      <w:r>
        <w:rPr>
          <w:rFonts w:ascii="Times New Roman" w:cs="Times New Roman" w:eastAsia="Times New Roman" w:hAnsi="Times New Roman"/>
          <w:sz w:val="22"/>
          <w:szCs w:val="22"/>
          <w:color w:val="auto"/>
        </w:rPr>
        <w:t xml:space="preserve">to the extent that the relevant Lender has been compensated by an increased payment under </w:t>
      </w:r>
      <w:r>
        <w:rPr>
          <w:rFonts w:ascii="Times New Roman" w:cs="Times New Roman" w:eastAsia="Times New Roman" w:hAnsi="Times New Roman"/>
          <w:sz w:val="22"/>
          <w:szCs w:val="22"/>
          <w:u w:val="single" w:color="auto"/>
          <w:color w:val="auto"/>
        </w:rPr>
        <w:t>Section 2.6(b)(iv) </w:t>
      </w:r>
      <w:r>
        <w:rPr>
          <w:rFonts w:ascii="Times New Roman" w:cs="Times New Roman" w:eastAsia="Times New Roman" w:hAnsi="Times New Roman"/>
          <w:sz w:val="22"/>
          <w:szCs w:val="22"/>
          <w:color w:val="auto"/>
        </w:rPr>
        <w:t xml:space="preserve">above with respect to the same Indemnified Taxes. In the case of the first and the second sentence of this </w:t>
      </w:r>
      <w:r>
        <w:rPr>
          <w:rFonts w:ascii="Times New Roman" w:cs="Times New Roman" w:eastAsia="Times New Roman" w:hAnsi="Times New Roman"/>
          <w:sz w:val="22"/>
          <w:szCs w:val="22"/>
          <w:u w:val="single" w:color="auto"/>
          <w:color w:val="auto"/>
        </w:rPr>
        <w:t>Section 2.6(c)</w:t>
      </w:r>
      <w:r>
        <w:rPr>
          <w:rFonts w:ascii="Times New Roman" w:cs="Times New Roman" w:eastAsia="Times New Roman" w:hAnsi="Times New Roman"/>
          <w:sz w:val="22"/>
          <w:szCs w:val="22"/>
          <w:color w:val="auto"/>
        </w:rPr>
        <w:t>, a certificate as to the amount of such payment or liability delivered to Borrower by Lender (with a copy to Agent), or by Agent on its own behalf or on behalf of Lender, shall be conclusive absent manifest error.</w:t>
      </w:r>
    </w:p>
    <w:p>
      <w:pPr>
        <w:spacing w:after="0" w:line="180" w:lineRule="exact"/>
        <w:rPr>
          <w:sz w:val="20"/>
          <w:szCs w:val="20"/>
          <w:color w:val="auto"/>
        </w:rPr>
      </w:pPr>
    </w:p>
    <w:p>
      <w:pPr>
        <w:ind w:left="1180" w:hanging="423"/>
        <w:spacing w:after="0"/>
        <w:tabs>
          <w:tab w:leader="none" w:pos="11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Status of Lenders and Agent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5" w:lineRule="auto"/>
        <w:tabs>
          <w:tab w:leader="none" w:pos="1941"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Loan Document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2.6(d)(ii)(A)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(ii)(D)</w:t>
      </w:r>
      <w:r>
        <w:rPr>
          <w:rFonts w:ascii="Times New Roman" w:cs="Times New Roman" w:eastAsia="Times New Roman" w:hAnsi="Times New Roman"/>
          <w:sz w:val="21"/>
          <w:szCs w:val="21"/>
          <w:color w:val="auto"/>
        </w:rPr>
        <w:t>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7"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generality of the foregoing, in the event that Borrower is a U.S. Borrower,</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57" w:lineRule="exact"/>
        <w:tabs>
          <w:tab w:leader="none" w:pos="2689"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a U.S. Person shall deliver to Borrower and Agent on or prior to the date on which such Lender becomes a Lender under this Agreement (and from time to time thereafter upon the reasonable request of Borrower or Agent),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9 certifying that such Lender is exempt from U.S. federal backup withholding tax;</w:t>
      </w:r>
    </w:p>
    <w:p>
      <w:pPr>
        <w:spacing w:after="0" w:line="176" w:lineRule="exact"/>
        <w:rPr>
          <w:rFonts w:ascii="Times New Roman" w:cs="Times New Roman" w:eastAsia="Times New Roman" w:hAnsi="Times New Roman"/>
          <w:sz w:val="22"/>
          <w:szCs w:val="22"/>
          <w:color w:val="auto"/>
        </w:rPr>
      </w:pPr>
    </w:p>
    <w:p>
      <w:pPr>
        <w:jc w:val="both"/>
        <w:ind w:left="760" w:firstLine="1494"/>
        <w:spacing w:after="0" w:line="239" w:lineRule="auto"/>
        <w:tabs>
          <w:tab w:leader="none" w:pos="2689" w:val="left"/>
        </w:tabs>
        <w:numPr>
          <w:ilvl w:val="2"/>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whichever of the following is applicable:</w:t>
      </w:r>
    </w:p>
    <w:p>
      <w:pPr>
        <w:spacing w:after="0" w:line="180" w:lineRule="exact"/>
        <w:rPr>
          <w:rFonts w:ascii="Times New Roman" w:cs="Times New Roman" w:eastAsia="Times New Roman" w:hAnsi="Times New Roman"/>
          <w:sz w:val="22"/>
          <w:szCs w:val="22"/>
          <w:color w:val="auto"/>
        </w:rPr>
      </w:pPr>
    </w:p>
    <w:p>
      <w:pPr>
        <w:jc w:val="both"/>
        <w:ind w:left="760" w:firstLine="2243"/>
        <w:spacing w:after="0" w:line="263" w:lineRule="exact"/>
        <w:tabs>
          <w:tab w:leader="none" w:pos="3438" w:val="left"/>
        </w:tabs>
        <w:numPr>
          <w:ilvl w:val="3"/>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an income tax treaty to which the United States is a party (x) with respect to payments of interest under any Loan Document,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 applicable, establishing an exemption from, or reduction of, U.S. federal withholding Tax pursuant to the “interest” article of such tax treaty and (y) with respect to any other applicable payments under any Loan Document,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1" w:name="page112"/>
    <w:bookmarkEnd w:id="111"/>
    <w:p>
      <w:pPr>
        <w:ind w:left="760"/>
        <w:spacing w:after="0" w:line="258" w:lineRule="auto"/>
        <w:rPr>
          <w:sz w:val="20"/>
          <w:szCs w:val="20"/>
          <w:color w:val="auto"/>
        </w:rPr>
      </w:pPr>
      <w:r>
        <w:rPr>
          <w:rFonts w:ascii="Times New Roman" w:cs="Times New Roman" w:eastAsia="Times New Roman" w:hAnsi="Times New Roman"/>
          <w:sz w:val="22"/>
          <w:szCs w:val="22"/>
          <w:color w:val="auto"/>
        </w:rPr>
        <w:t>applicable, establishing an exemption from, or reduction of, U.S. federal withholding Tax pursuant to the “business profits” or “other income” article of such tax treaty;</w:t>
      </w:r>
    </w:p>
    <w:p>
      <w:pPr>
        <w:spacing w:after="0" w:line="124" w:lineRule="exact"/>
        <w:rPr>
          <w:sz w:val="20"/>
          <w:szCs w:val="20"/>
          <w:color w:val="auto"/>
        </w:rPr>
      </w:pPr>
    </w:p>
    <w:p>
      <w:pPr>
        <w:ind w:left="3440" w:hanging="437"/>
        <w:spacing w:after="0" w:line="253" w:lineRule="exact"/>
        <w:tabs>
          <w:tab w:leader="none" w:pos="34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w:t>
      </w:r>
    </w:p>
    <w:p>
      <w:pPr>
        <w:spacing w:after="0" w:line="254" w:lineRule="exact"/>
        <w:rPr>
          <w:rFonts w:ascii="Times New Roman" w:cs="Times New Roman" w:eastAsia="Times New Roman" w:hAnsi="Times New Roman"/>
          <w:sz w:val="22"/>
          <w:szCs w:val="22"/>
          <w:color w:val="auto"/>
        </w:rPr>
      </w:pPr>
    </w:p>
    <w:p>
      <w:pPr>
        <w:jc w:val="both"/>
        <w:ind w:left="760" w:firstLine="2243"/>
        <w:spacing w:after="0" w:line="257" w:lineRule="exact"/>
        <w:tabs>
          <w:tab w:leader="none" w:pos="343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Foreign Lender claiming the benefits of the exemption for portfolio interest under Section 881(c) of the IRC, (x) a certificate in a form reasonably acceptable to Borrower and Agent to the effect that such Foreign Lender is not a “bank” within the meaning of Section 881(c)(3)(A) of the IRC, a “10 percent shareholder” of Borrower within the meaning of Section 881(c)(3)(B) of the IRC, or a “controlled foreign corporation” described in Section 881(c)(3)(C) of the IRC (a “</w:t>
      </w:r>
      <w:r>
        <w:rPr>
          <w:rFonts w:ascii="Times New Roman" w:cs="Times New Roman" w:eastAsia="Times New Roman" w:hAnsi="Times New Roman"/>
          <w:sz w:val="22"/>
          <w:szCs w:val="22"/>
          <w:b w:val="1"/>
          <w:bCs w:val="1"/>
          <w:color w:val="auto"/>
        </w:rPr>
        <w:t>U.S. Tax Compliance Certificate</w:t>
      </w:r>
      <w:r>
        <w:rPr>
          <w:rFonts w:ascii="Times New Roman" w:cs="Times New Roman" w:eastAsia="Times New Roman" w:hAnsi="Times New Roman"/>
          <w:sz w:val="22"/>
          <w:szCs w:val="22"/>
          <w:color w:val="auto"/>
        </w:rPr>
        <w:t>”) and (y)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or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as applicable; or</w:t>
      </w:r>
    </w:p>
    <w:p>
      <w:pPr>
        <w:spacing w:after="0" w:line="150" w:lineRule="exact"/>
        <w:rPr>
          <w:rFonts w:ascii="Times New Roman" w:cs="Times New Roman" w:eastAsia="Times New Roman" w:hAnsi="Times New Roman"/>
          <w:sz w:val="22"/>
          <w:szCs w:val="22"/>
          <w:color w:val="auto"/>
        </w:rPr>
      </w:pPr>
    </w:p>
    <w:p>
      <w:pPr>
        <w:jc w:val="both"/>
        <w:ind w:left="760" w:firstLine="2243"/>
        <w:spacing w:after="0" w:line="252" w:lineRule="exact"/>
        <w:tabs>
          <w:tab w:leader="none" w:pos="343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 Foreign Lender is not the beneficial owner, executed copies of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8IMY, accompanied by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8ECI,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8BEN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 a U.S. Tax Compliance Certificate in a form reasonably acceptable to Borrower and Agent, IRS Form 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9, and/or other certification documents from each beneficial owner,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the Foreign Lender is a partnership and one or more direct or indirect partners of such Foreign Lender are claiming the portfolio interest exemption, such Foreign Lender may provide a U.S. Tax Compliance Certificate in a form reasonably acceptable to Borrower and Agent on behalf of each such direct and indirect partner;</w:t>
      </w:r>
    </w:p>
    <w:p>
      <w:pPr>
        <w:spacing w:after="0" w:line="180" w:lineRule="exact"/>
        <w:rPr>
          <w:rFonts w:ascii="Times New Roman" w:cs="Times New Roman" w:eastAsia="Times New Roman" w:hAnsi="Times New Roman"/>
          <w:sz w:val="22"/>
          <w:szCs w:val="22"/>
          <w:color w:val="auto"/>
        </w:rPr>
      </w:pPr>
    </w:p>
    <w:p>
      <w:pPr>
        <w:jc w:val="both"/>
        <w:ind w:left="760" w:firstLine="1494"/>
        <w:spacing w:after="0" w:line="235" w:lineRule="auto"/>
        <w:tabs>
          <w:tab w:leader="none" w:pos="268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Foreign Lender shall, to the extent it is legally entitled to do so, deliver to Borrower and Agent (in such number of copies as shall be requested by the recipient) on or prior to the date on which such Foreign Lender becomes a Lender under this Agreement (and from time to time thereafter upon the reasonable request of Borrower or Agent), executed copies of any other form prescribed by applicable law as a basis for claiming exemption from or a reduction in U.S. federal withholding Tax, duly completed, together with such supplementary documentation as may be prescribed by applicable law to permit Borrower or Agent to determine the withholding or deduction required to be made; and</w:t>
      </w:r>
    </w:p>
    <w:p>
      <w:pPr>
        <w:spacing w:after="0" w:line="183" w:lineRule="exact"/>
        <w:rPr>
          <w:rFonts w:ascii="Times New Roman" w:cs="Times New Roman" w:eastAsia="Times New Roman" w:hAnsi="Times New Roman"/>
          <w:sz w:val="22"/>
          <w:szCs w:val="22"/>
          <w:color w:val="auto"/>
        </w:rPr>
      </w:pPr>
    </w:p>
    <w:p>
      <w:pPr>
        <w:jc w:val="both"/>
        <w:ind w:left="760" w:firstLine="1494"/>
        <w:spacing w:after="0" w:line="246" w:lineRule="auto"/>
        <w:tabs>
          <w:tab w:leader="none" w:pos="2689"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and Agent at the time or times prescribed by law and at such time or times reasonably requested by Borrower or Agent such documentation prescribed by applicable law (including as prescribed by Section 1471(b)(3)(C)(i) of the IRC)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2" w:name="page113"/>
    <w:bookmarkEnd w:id="112"/>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legally permissible, Agent, on or prior to the date Agent becomes a party to this Agreement, shall (i) deliver a duly executed IRS Form W-9 to the Borrower in the event that Agent is a U.S. Person or (ii) if Agent is not a U.S. Person, deliver a duly executed applicable IRS Form W-8 certifying its exemption from U.S. withholding Taxes with respect to amounts receivable for its own account.</w:t>
      </w:r>
    </w:p>
    <w:p>
      <w:pPr>
        <w:spacing w:after="0" w:line="1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Lender and Agent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73" w:lineRule="exact"/>
        <w:rPr>
          <w:sz w:val="20"/>
          <w:szCs w:val="20"/>
          <w:color w:val="auto"/>
        </w:rPr>
      </w:pPr>
    </w:p>
    <w:p>
      <w:pPr>
        <w:jc w:val="both"/>
        <w:ind w:firstLine="757"/>
        <w:spacing w:after="0" w:line="235"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each Lender acknowledge and agree that, for U.S. federal and other applicable income tax purposes, the Term Loans have original issue discount (“OID”) within the meaning of Section 1272 of the Code. Information regarding the amount of any OID, the issue price, the issue date and the yield to maturity of the Term Loans may be obtained by writing to the Borrower at the following address: 30930 Russell Ranch Road Suite 300, Westlake Village, CA 91362, Attention: Chief Financial Officer, Email: cprentiss@mannkindcorp.com. Neither Borrower nor any Lender shall take any tax position inconsistent with this Section 2.6(e) unless otherwise required by applicable law or the final determination of a tax authority following a tax audit or examination.</w:t>
      </w:r>
    </w:p>
    <w:p>
      <w:pPr>
        <w:spacing w:after="0" w:line="183" w:lineRule="exact"/>
        <w:rPr>
          <w:rFonts w:ascii="Times New Roman" w:cs="Times New Roman" w:eastAsia="Times New Roman" w:hAnsi="Times New Roman"/>
          <w:sz w:val="22"/>
          <w:szCs w:val="22"/>
          <w:color w:val="auto"/>
        </w:rPr>
      </w:pPr>
    </w:p>
    <w:p>
      <w:pPr>
        <w:jc w:val="both"/>
        <w:ind w:firstLine="757"/>
        <w:spacing w:after="0" w:line="247" w:lineRule="exact"/>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(including by the payment of additional amounts pursuant to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it shall pay to the indemnifying party an amount equal to such refund (but only to the extent of indemnity payments made under this Section with respect to the Taxes giving rise to such refund), net of all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xml:space="preserve">, in no event shall the indemnified party be required to pay any amount to an indemnifying party pursuant to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the payment of which would place the indemnified party in a less favorable net after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2"/>
          <w:szCs w:val="22"/>
          <w:u w:val="single" w:color="auto"/>
          <w:color w:val="auto"/>
        </w:rPr>
        <w:t>paragraph (f)</w:t>
      </w:r>
      <w:r>
        <w:rPr>
          <w:rFonts w:ascii="Times New Roman" w:cs="Times New Roman" w:eastAsia="Times New Roman" w:hAnsi="Times New Roman"/>
          <w:sz w:val="22"/>
          <w:szCs w:val="22"/>
          <w:color w:val="auto"/>
        </w:rPr>
        <w:t> shall not be construed to require any indemnified party to make available its Tax returns (or any other information relating to its Taxes that it deems confidential) to the indemnifying party or any other Person.</w:t>
      </w:r>
    </w:p>
    <w:p>
      <w:pPr>
        <w:spacing w:after="0" w:line="18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under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the resignation or replacement of Agent or any assignment of rights by, or the replacement of, a Lender, the termination of the Commitments and the repayment, satisfaction or discharge of the Obligations.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2.7  Fees.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ind w:right="40" w:firstLine="757"/>
        <w:spacing w:after="0" w:line="258" w:lineRule="auto"/>
        <w:tabs>
          <w:tab w:leader="none" w:pos="11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the amounts required to be paid in the Lender Fee Letter and the Agent Fee Letter, in the manner and at the times required by each such letter.</w:t>
      </w:r>
    </w:p>
    <w:p>
      <w:pPr>
        <w:spacing w:after="0" w:line="154"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to Agent a fee (the “</w:t>
      </w:r>
      <w:r>
        <w:rPr>
          <w:rFonts w:ascii="Times New Roman" w:cs="Times New Roman" w:eastAsia="Times New Roman" w:hAnsi="Times New Roman"/>
          <w:sz w:val="22"/>
          <w:szCs w:val="22"/>
          <w:b w:val="1"/>
          <w:bCs w:val="1"/>
          <w:color w:val="auto"/>
        </w:rPr>
        <w:t>DDTL Ticking Fee</w:t>
      </w:r>
      <w:r>
        <w:rPr>
          <w:rFonts w:ascii="Times New Roman" w:cs="Times New Roman" w:eastAsia="Times New Roman" w:hAnsi="Times New Roman"/>
          <w:sz w:val="22"/>
          <w:szCs w:val="22"/>
          <w:color w:val="auto"/>
        </w:rPr>
        <w:t>”) for the account of each Delayed Draw Term Lender holding Delayed Draw Commitments for the period from the first anniversary of the Closing Date until the expiration of the Delayed Draw Commitment Period (or such earlier date as the Delayed Draw Commitment shall terminate as provided in this Agreement) computed at a rate of 1.0% per annum multiplied by the daily unused portion of the Delayed Draw Commitment of such Delayed Draw Term Lender during such period, in each case, payable quarterly in arrears on the last Business Day of each calendar quarter, commencing with September 30, 2026, and on the expiration of the Delayed Draw Commitment Period, or such earlier date as the Delayed Draw Commitment shall terminate as provided in this Agreement, and shall be calculated based upon the actual number of days elapsed over a 360-day year. The DDTL Ticking Fee shall accrue at all times from and after the first anniversary of the Closing Date through the expiration of the Delayed Draw Commitment Period (or such earlier date as the Delayed Draw Commitment shall terminate as provided in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2.8  Register; Term Loan Note.</w:t>
      </w:r>
    </w:p>
    <w:p>
      <w:pPr>
        <w:spacing w:after="0" w:line="176" w:lineRule="exact"/>
        <w:rPr>
          <w:sz w:val="20"/>
          <w:szCs w:val="20"/>
          <w:color w:val="auto"/>
        </w:rPr>
      </w:pPr>
    </w:p>
    <w:p>
      <w:pPr>
        <w:jc w:val="both"/>
        <w:ind w:firstLine="757"/>
        <w:spacing w:after="0" w:line="250" w:lineRule="exact"/>
        <w:tabs>
          <w:tab w:leader="none" w:pos="118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Agent, acting solely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fiduciary agent of Borrower, shall maintain a copy of each Assignment and Assumption and a register for the recordation of the names and addresses of the Lenders, and the Commitments of, and principal amounts (and related stated interest amounts) of the Term Loans and the amounts due owing to each Lender pursuant to the terms hereof from time to time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The entries in the Register shall be conclusive, absent manifest error, and Borrower, Agent and the Lenders shall treat each Person whose name is recorded in the Register pursuant to the terms hereof as a Lender hereunder for all purposes of this Agreement, notwithstanding notice to the contrary. The Register shall be available for inspection by Borrower, Agent and any Lender (solely with respect to itself), at any reasonable time and from time to time upon reasonable prior notice. Any assignment of any interest in the Term Loans or other obligation hereunder shall be effective only upon appropriate entries with respect thereto being made in the Register. This </w:t>
      </w:r>
      <w:r>
        <w:rPr>
          <w:rFonts w:ascii="Times New Roman" w:cs="Times New Roman" w:eastAsia="Times New Roman" w:hAnsi="Times New Roman"/>
          <w:sz w:val="22"/>
          <w:szCs w:val="22"/>
          <w:u w:val="single" w:color="auto"/>
          <w:color w:val="auto"/>
        </w:rPr>
        <w:t>Section 2.8</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shall be construed so that the Term Loans are at all times maintained in “registered form” within the meaning of Section 163(f), 871(h)(2) and 881(c)(2) of the IRC and any related Treasury Regulations (or any other relevant or successor provisions of the IRC or of such Treasury Regulations).</w:t>
      </w:r>
    </w:p>
    <w:p>
      <w:pPr>
        <w:spacing w:after="0" w:line="182" w:lineRule="exact"/>
        <w:rPr>
          <w:rFonts w:ascii="Times New Roman" w:cs="Times New Roman" w:eastAsia="Times New Roman" w:hAnsi="Times New Roman"/>
          <w:sz w:val="22"/>
          <w:szCs w:val="22"/>
          <w:color w:val="auto"/>
        </w:rPr>
      </w:pPr>
    </w:p>
    <w:p>
      <w:pPr>
        <w:ind w:right="20" w:firstLine="757"/>
        <w:spacing w:after="0" w:line="258" w:lineRule="auto"/>
        <w:tabs>
          <w:tab w:leader="none" w:pos="122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Loan Note</w:t>
      </w:r>
      <w:r>
        <w:rPr>
          <w:rFonts w:ascii="Times New Roman" w:cs="Times New Roman" w:eastAsia="Times New Roman" w:hAnsi="Times New Roman"/>
          <w:sz w:val="22"/>
          <w:szCs w:val="22"/>
          <w:color w:val="auto"/>
        </w:rPr>
        <w:t>. Borrower shall execute and deliver to each Lender, upon written request, to evidence such Lender’s Term Loans, a Term Loan Note.</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2.9  Benchmark Replacement Setting.</w:t>
      </w:r>
    </w:p>
    <w:p>
      <w:pPr>
        <w:spacing w:after="0" w:line="210" w:lineRule="exact"/>
        <w:rPr>
          <w:sz w:val="20"/>
          <w:szCs w:val="20"/>
          <w:color w:val="auto"/>
        </w:rPr>
      </w:pPr>
    </w:p>
    <w:p>
      <w:pPr>
        <w:jc w:val="both"/>
        <w:ind w:firstLine="757"/>
        <w:spacing w:after="0" w:line="254" w:lineRule="exact"/>
        <w:tabs>
          <w:tab w:leader="none" w:pos="119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Agent (acting at the direction of the Blackstone Representative), the Blackstone Representative and Borrower may amend this Agreement to replace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with a Benchmark Replacement. Any such amendment with respect to a Benchmark Transition Event shall become effective at 5:00 p.m. Eastern Time on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Business Day after Agent has posted such proposed amendment to all affected Lenders and Borrower so long as Agent has not received, by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2"/>
          <w:szCs w:val="22"/>
          <w:u w:val="single" w:color="auto"/>
          <w:color w:val="auto"/>
        </w:rPr>
        <w:t>Section 2.9(a)</w:t>
      </w:r>
      <w:r>
        <w:rPr>
          <w:rFonts w:ascii="Times New Roman" w:cs="Times New Roman" w:eastAsia="Times New Roman" w:hAnsi="Times New Roman"/>
          <w:sz w:val="22"/>
          <w:szCs w:val="22"/>
          <w:color w:val="auto"/>
        </w:rPr>
        <w:t xml:space="preserve"> shall occur prior to the applicable Benchmark Transition Start Date.</w:t>
      </w:r>
    </w:p>
    <w:p>
      <w:pPr>
        <w:spacing w:after="0" w:line="173" w:lineRule="exact"/>
        <w:rPr>
          <w:sz w:val="20"/>
          <w:szCs w:val="20"/>
          <w:color w:val="auto"/>
        </w:rPr>
      </w:pPr>
    </w:p>
    <w:p>
      <w:pPr>
        <w:jc w:val="both"/>
        <w:ind w:firstLine="757"/>
        <w:spacing w:after="0" w:line="238" w:lineRule="auto"/>
        <w:tabs>
          <w:tab w:leader="none" w:pos="1262"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Agent (in consultation with Borrower and the Blackstone Representative) shall have the right to make Conforming Changes from time to time and, notwithstanding anything to the contrary herein or in any other Loan Document, any amendments implementing such Conforming Changes shall become effective without any further action or consent of any other party to this Agreement or any other Loan Document.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 Standards for Decisions and Determinations</w:t>
      </w:r>
      <w:r>
        <w:rPr>
          <w:rFonts w:ascii="Times New Roman" w:cs="Times New Roman" w:eastAsia="Times New Roman" w:hAnsi="Times New Roman"/>
          <w:sz w:val="22"/>
          <w:szCs w:val="22"/>
          <w:color w:val="auto"/>
        </w:rPr>
        <w:t xml:space="preserve">. Agent shall promptly notify Borrower and the Lenders of (i) the implementation of any Benchmark Replacement and (ii) the effectiveness of any Conforming Changes in connection with the use, administration, adoption or implementation of a Benchmark Replacement. Agent shall promptly notify Borrower of the removal or reinstatement of any tenor of a Benchmark pursuant to </w:t>
      </w:r>
      <w:r>
        <w:rPr>
          <w:rFonts w:ascii="Times New Roman" w:cs="Times New Roman" w:eastAsia="Times New Roman" w:hAnsi="Times New Roman"/>
          <w:sz w:val="22"/>
          <w:szCs w:val="22"/>
          <w:u w:val="single" w:color="auto"/>
          <w:color w:val="auto"/>
        </w:rPr>
        <w:t>Section 2.9(d)</w:t>
      </w:r>
      <w:r>
        <w:rPr>
          <w:rFonts w:ascii="Times New Roman" w:cs="Times New Roman" w:eastAsia="Times New Roman" w:hAnsi="Times New Roman"/>
          <w:sz w:val="22"/>
          <w:szCs w:val="22"/>
          <w:color w:val="auto"/>
        </w:rPr>
        <w:t xml:space="preserve">. Any determination, decision or election that may be made by Agent or, if applicable, any Lender (or group of Lenders)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including any determination with respect to a tenor, rate or adjustment, or of the occurrence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occurrence of an event, circumstance or date, and any decision to take or refrain from taking any action or any selection, shall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jc w:val="both"/>
        <w:ind w:firstLine="757"/>
        <w:spacing w:after="0" w:line="248" w:lineRule="exact"/>
        <w:tabs>
          <w:tab w:leader="none" w:pos="1208"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Unavailability of Tenor of Benchmark</w:t>
      </w:r>
      <w:r>
        <w:rPr>
          <w:rFonts w:ascii="Times New Roman" w:cs="Times New Roman" w:eastAsia="Times New Roman" w:hAnsi="Times New Roman"/>
          <w:sz w:val="22"/>
          <w:szCs w:val="22"/>
          <w:color w:val="auto"/>
        </w:rPr>
        <w:t>. Notwithstanding anything to the contrary herein or in any other Loan Document, at any time (including in connection with the implementation of a Benchmark Replacement), (i) if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is a term rate (including the Term SOFR Reference Rate) and either (A) any tenor for such Benchmark is not displayed on a screen or other information service that publishes such rate from time to time as selected by Agent (acting at the direction of the Blackstone Representative)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Agent (acting at the direction of the Blackstone Representative) may modify the definition of “Interest Period” (or any similar or analogous definition) for any Benchmark settings at or after such time to remove such unavailable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representative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Agent (acting at the direction of the Blackstone Representative) may modify the definition of “Interest Period” (or any similar or analogous definition) for all Benchmark settings at or after such time to reinstate such previously removed tenor.</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22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Borrower’s receipt of notice of the commencement of a Benchmark Unavailability Period, (i) Borrower may revoke any pending request for a SOFR Borrowing of, conversion to or continuation of SOFR Loans to be made,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55" w:lineRule="exact"/>
        <w:rPr>
          <w:sz w:val="20"/>
          <w:szCs w:val="20"/>
          <w:color w:val="auto"/>
        </w:rPr>
      </w:pPr>
      <w:r>
        <w:rPr>
          <w:rFonts w:ascii="Times New Roman" w:cs="Times New Roman" w:eastAsia="Times New Roman" w:hAnsi="Times New Roman"/>
          <w:sz w:val="22"/>
          <w:szCs w:val="22"/>
          <w:color w:val="auto"/>
        </w:rPr>
        <w:t>converted or continued during any Benchmark Unavailability Period and, failing that, Borrower will be deemed to have converted any such request into a request for a Borrowing of or conversion to Base Rate Loans and (ii) any outstanding affected SOFR Loans will be deemed to have been converted to Base Rate Loans at the end of the applicable Interest Period. During a Benchmark Unavailability Period or at any time that a tenor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is not an Available Tenor, the component of Base Rate based upon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or such tenor for such Benchmark, as applicable, will not be used in any determination of Base Rate.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2.10 Incremental Delayed Draw Term Loans.</w:t>
      </w:r>
    </w:p>
    <w:p>
      <w:pPr>
        <w:spacing w:after="0" w:line="210" w:lineRule="exact"/>
        <w:rPr>
          <w:sz w:val="20"/>
          <w:szCs w:val="20"/>
          <w:color w:val="auto"/>
        </w:rPr>
      </w:pPr>
    </w:p>
    <w:p>
      <w:pPr>
        <w:jc w:val="both"/>
        <w:ind w:firstLine="757"/>
        <w:spacing w:after="0" w:line="248" w:lineRule="auto"/>
        <w:tabs>
          <w:tab w:leader="none" w:pos="118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of this Agreement, Borrower may at any time and from time to time after the Closing Date, subject to the prior written consent of the Blackstone Representative and the Required Lenders (to be granted or withheld in their sole and absolute discretion), by notice to Agent, the Blackstone Representative and the Lenders, request one or more additional Classes of Delayed Draw Term Loans or additional Delayed Draw Term Loans of the same Class of any existing Class of Delayed Draw Term Loans (the “</w:t>
      </w:r>
      <w:r>
        <w:rPr>
          <w:rFonts w:ascii="Times New Roman" w:cs="Times New Roman" w:eastAsia="Times New Roman" w:hAnsi="Times New Roman"/>
          <w:sz w:val="21"/>
          <w:szCs w:val="21"/>
          <w:b w:val="1"/>
          <w:bCs w:val="1"/>
          <w:color w:val="auto"/>
        </w:rPr>
        <w:t>Incremental Delayed Draw Term Loans</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Incremental Delayed Draw Term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Facilities</w:t>
      </w:r>
      <w:r>
        <w:rPr>
          <w:rFonts w:ascii="Times New Roman" w:cs="Times New Roman" w:eastAsia="Times New Roman" w:hAnsi="Times New Roman"/>
          <w:sz w:val="21"/>
          <w:szCs w:val="21"/>
          <w:color w:val="auto"/>
        </w:rPr>
        <w:t>”). Notwithstanding anything to the contrary herein, the aggregate principal amount of Incremental Delayed Draw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Facilities incurred hereunder shall not exceed $300,000,000 (the “</w:t>
      </w:r>
      <w:r>
        <w:rPr>
          <w:rFonts w:ascii="Times New Roman" w:cs="Times New Roman" w:eastAsia="Times New Roman" w:hAnsi="Times New Roman"/>
          <w:sz w:val="21"/>
          <w:szCs w:val="21"/>
          <w:b w:val="1"/>
          <w:bCs w:val="1"/>
          <w:color w:val="auto"/>
        </w:rPr>
        <w:t>Maximum Incremental Delayed Draw Term Amount</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757"/>
        <w:spacing w:after="0" w:line="234"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otherwise specified in the applicable Incremental Term Supplement (as defined below), each Incremental Delayed Draw Term Loan shall be on the same terms as, and shall be treated for all purposes as, the Delayed Draw Term Loans, respectively; provided that the Prepayment Premium (if any) applicable to such Incremental Delayed Draw Term Loans shall be determined by Borrower, the Blackstone Representative and the Required Lenders by mutual agreement at the time of incurrence of such Incremental Delayed Draw Term Loans and set forth in the applicable Incremental Term Supplement. Each Incremental Delayed Draw Term Loan shall be in a minimum principal amount of $1,000,000 and integral multiples of $500,000 in excess thereof (unless Borrower and the Blackstone Representative otherwise agree);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 may be less than $1,000,000, if such amount represents all the remaining availability under the Maximum Incremental Term Amount set forth above.</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notice from Borrower pursuant to this </w:t>
      </w:r>
      <w:r>
        <w:rPr>
          <w:rFonts w:ascii="Times New Roman" w:cs="Times New Roman" w:eastAsia="Times New Roman" w:hAnsi="Times New Roman"/>
          <w:sz w:val="22"/>
          <w:szCs w:val="22"/>
          <w:u w:val="single" w:color="auto"/>
          <w:color w:val="auto"/>
        </w:rPr>
        <w:t>Section 2.10</w:t>
      </w:r>
      <w:r>
        <w:rPr>
          <w:rFonts w:ascii="Times New Roman" w:cs="Times New Roman" w:eastAsia="Times New Roman" w:hAnsi="Times New Roman"/>
          <w:sz w:val="22"/>
          <w:szCs w:val="22"/>
          <w:color w:val="auto"/>
        </w:rPr>
        <w:t xml:space="preserve"> shall set forth the requested amount and type of the relevant Incremental Delayed Draw Term Facilities.</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Commitments in respect of Incremental Delayed Draw Term Facilities shall become commitments under this Agreement pursuant to a supplement (an “Incremental Term Supplement”) to this Agreement and, as appropriate, the other Loan Documents, executed by Borrower, each Lender agreeing to provide such commitment (provided that no Lender shall be obligated to provide any loans or commitments under any Incremental Delayed Draw Term Facility unless it so agrees), the Blackstone Representative, the Required Lenders and Agent. Incremental Delayed Draw Term Loans shall be a “Term Loan” for all purposes of this Agreement and the other Loan Documents. The effectiveness of any Incremental Term Supplement and the occurrence of any credit event (including the making of a Term Loan) pursuant to such Incremental Term Supplement may be subject to the satisfaction of such additional conditions as the parties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spacing w:after="0" w:line="258" w:lineRule="auto"/>
        <w:rPr>
          <w:sz w:val="20"/>
          <w:szCs w:val="20"/>
          <w:color w:val="auto"/>
        </w:rPr>
      </w:pPr>
      <w:r>
        <w:rPr>
          <w:rFonts w:ascii="Times New Roman" w:cs="Times New Roman" w:eastAsia="Times New Roman" w:hAnsi="Times New Roman"/>
          <w:sz w:val="22"/>
          <w:szCs w:val="22"/>
          <w:color w:val="auto"/>
        </w:rPr>
        <w:t>thereto shall agree. Borrower shall use the proceeds of the Incremental Delayed Draw Term Facilities to fund business development activities.</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2.11 Mitigation Obligations; Replacement of Lenders.</w:t>
      </w:r>
    </w:p>
    <w:p>
      <w:pPr>
        <w:spacing w:after="0" w:line="210" w:lineRule="exact"/>
        <w:rPr>
          <w:sz w:val="20"/>
          <w:szCs w:val="20"/>
          <w:color w:val="auto"/>
        </w:rPr>
      </w:pPr>
    </w:p>
    <w:p>
      <w:pPr>
        <w:jc w:val="both"/>
        <w:ind w:firstLine="757"/>
        <w:spacing w:after="0" w:line="247" w:lineRule="auto"/>
        <w:tabs>
          <w:tab w:leader="none" w:pos="119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requires a Credit Party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sole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2.6</w:t>
      </w:r>
      <w:r>
        <w:rPr>
          <w:rFonts w:ascii="Times New Roman" w:cs="Times New Roman" w:eastAsia="Times New Roman" w:hAnsi="Times New Roman"/>
          <w:sz w:val="21"/>
          <w:szCs w:val="21"/>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1" w:lineRule="exact"/>
        <w:rPr>
          <w:rFonts w:ascii="Times New Roman" w:cs="Times New Roman" w:eastAsia="Times New Roman" w:hAnsi="Times New Roman"/>
          <w:sz w:val="21"/>
          <w:szCs w:val="21"/>
          <w:color w:val="auto"/>
        </w:rPr>
      </w:pPr>
    </w:p>
    <w:p>
      <w:pPr>
        <w:jc w:val="both"/>
        <w:ind w:firstLine="757"/>
        <w:spacing w:after="0" w:line="246" w:lineRule="auto"/>
        <w:tabs>
          <w:tab w:leader="none" w:pos="1181"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if a Credit Party is required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and, in each case, such Lender has declined or is unable to designate a different lending office in accordance with </w:t>
      </w:r>
      <w:r>
        <w:rPr>
          <w:rFonts w:ascii="Times New Roman" w:cs="Times New Roman" w:eastAsia="Times New Roman" w:hAnsi="Times New Roman"/>
          <w:sz w:val="21"/>
          <w:szCs w:val="21"/>
          <w:u w:val="single" w:color="auto"/>
          <w:color w:val="auto"/>
        </w:rPr>
        <w:t>Section 2.11(a)</w:t>
      </w:r>
      <w:r>
        <w:rPr>
          <w:rFonts w:ascii="Times New Roman" w:cs="Times New Roman" w:eastAsia="Times New Roman" w:hAnsi="Times New Roman"/>
          <w:sz w:val="21"/>
          <w:szCs w:val="21"/>
          <w:color w:val="auto"/>
        </w:rPr>
        <w:t xml:space="preserve">, or if any Lender is a Defaulting Lender and failed to cure the circumstances as a result of which it has become a Defaulting Lender within five (5) Business Days after the Borrower’s request that it cure such circumstances , then the Borrower may, at its sole expense and effort, upon notice to such Lender and Agent, require such Lender to assign and delegate, without recourse (in accordance with and subject to the restrictions contained in, and consents required by, this Agreement), all of its interests, rights (other than its existing rights to payments pursuant to </w:t>
      </w:r>
      <w:r>
        <w:rPr>
          <w:rFonts w:ascii="Times New Roman" w:cs="Times New Roman" w:eastAsia="Times New Roman" w:hAnsi="Times New Roman"/>
          <w:sz w:val="21"/>
          <w:szCs w:val="21"/>
          <w:u w:val="single" w:color="auto"/>
          <w:color w:val="auto"/>
        </w:rPr>
        <w:t>Section 2.5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and obligations under this Agreement and the related Loan Documents to an eligible assignee under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that shall assume such obligations (which assignee may be another Lender, if a Lender accepts such assignment); provided that:</w:t>
      </w:r>
    </w:p>
    <w:p>
      <w:pPr>
        <w:spacing w:after="0" w:line="170" w:lineRule="exact"/>
        <w:rPr>
          <w:rFonts w:ascii="Times New Roman" w:cs="Times New Roman" w:eastAsia="Times New Roman" w:hAnsi="Times New Roman"/>
          <w:sz w:val="21"/>
          <w:szCs w:val="21"/>
          <w:color w:val="auto"/>
        </w:rPr>
      </w:pPr>
    </w:p>
    <w:p>
      <w:pPr>
        <w:ind w:left="1940" w:hanging="435"/>
        <w:spacing w:after="0"/>
        <w:tabs>
          <w:tab w:leader="none" w:pos="19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Borrower shall have paid to Agent the assignment fee (if any) specified in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Credit Parties (in the case of all other amounts);</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any such assignment resulting from a claim for compensation under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or payments required to be made pursuant to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such assignment will result in a reduction in such compensation or payments thereafter;</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ind w:left="760" w:firstLine="745"/>
        <w:spacing w:after="0" w:line="244"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Each party hereto agrees that an assignment required pursuant to this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 xml:space="preserve"> may be effected pursuant to an Assignment and Assumption executed by the Borrower, Agent and the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any such documents shall be without recourse to or warranty by the parties thereto.</w:t>
      </w:r>
    </w:p>
    <w:p>
      <w:pPr>
        <w:spacing w:after="0" w:line="173" w:lineRule="exact"/>
        <w:rPr>
          <w:sz w:val="20"/>
          <w:szCs w:val="20"/>
          <w:color w:val="auto"/>
        </w:rPr>
      </w:pPr>
    </w:p>
    <w:p>
      <w:pPr>
        <w:ind w:left="440" w:hanging="432"/>
        <w:spacing w:after="0"/>
        <w:tabs>
          <w:tab w:leader="none" w:pos="44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OF TERM LOAN</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3.1 Conditions Precedent to Closing Date. Subject to </w:t>
      </w:r>
      <w:r>
        <w:rPr>
          <w:rFonts w:ascii="Times New Roman" w:cs="Times New Roman" w:eastAsia="Times New Roman" w:hAnsi="Times New Roman"/>
          <w:sz w:val="22"/>
          <w:szCs w:val="22"/>
          <w:b w:val="1"/>
          <w:bCs w:val="1"/>
          <w:u w:val="single" w:color="auto"/>
          <w:color w:val="auto"/>
        </w:rPr>
        <w:t>Section 5.14</w:t>
      </w:r>
      <w:r>
        <w:rPr>
          <w:rFonts w:ascii="Times New Roman" w:cs="Times New Roman" w:eastAsia="Times New Roman" w:hAnsi="Times New Roman"/>
          <w:sz w:val="22"/>
          <w:szCs w:val="22"/>
          <w:b w:val="1"/>
          <w:bCs w:val="1"/>
          <w:color w:val="auto"/>
        </w:rPr>
        <w:t xml:space="preserve">, the effectiveness of this Agreement and the occurrence of the Closing Date is subject to the satisfaction (or waiver in accordance with </w:t>
      </w:r>
      <w:r>
        <w:rPr>
          <w:rFonts w:ascii="Times New Roman" w:cs="Times New Roman" w:eastAsia="Times New Roman" w:hAnsi="Times New Roman"/>
          <w:sz w:val="22"/>
          <w:szCs w:val="22"/>
          <w:b w:val="1"/>
          <w:bCs w:val="1"/>
          <w:u w:val="single" w:color="auto"/>
          <w:color w:val="auto"/>
        </w:rPr>
        <w:t>Section 11.5</w:t>
      </w:r>
      <w:r>
        <w:rPr>
          <w:rFonts w:ascii="Times New Roman" w:cs="Times New Roman" w:eastAsia="Times New Roman" w:hAnsi="Times New Roman"/>
          <w:sz w:val="22"/>
          <w:szCs w:val="22"/>
          <w:b w:val="1"/>
          <w:bCs w:val="1"/>
          <w:color w:val="auto"/>
        </w:rPr>
        <w:t xml:space="preserve"> hereof) of the following conditions:</w:t>
      </w:r>
    </w:p>
    <w:p>
      <w:pPr>
        <w:spacing w:after="0" w:line="171" w:lineRule="exact"/>
        <w:rPr>
          <w:sz w:val="20"/>
          <w:szCs w:val="20"/>
          <w:color w:val="auto"/>
        </w:rPr>
      </w:pPr>
    </w:p>
    <w:p>
      <w:pPr>
        <w:jc w:val="both"/>
        <w:ind w:firstLine="757"/>
        <w:spacing w:after="0" w:line="235"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(i) the Loan Documents (including, to the extent requested by a Lender at least two (2) Business Days prior to the Closing Date, a Term Loan Note, executed by Borrower) executed and delivered by each applicable Credit Party and Lender, which Loan Documents shall be in form and substance reasonably satisfactory to the Blackstone Representative, the Disclosure Letter, and each other schedule to such Loan Documents (the Disclosure Letter and such other schedules to be in form and substance reasonably satisfactory to the Blackstone Representative) and (ii) the Collateral Documents dated as of the Closing Date, executed in escrow by each of the applicable Credit Parties and Agent, to the extent applicable, and circulated but not released, which Collateral Documents shall be in form and substance reasonably satisfactory to Agent and the Blackstone Representative;</w:t>
      </w:r>
    </w:p>
    <w:p>
      <w:pPr>
        <w:spacing w:after="0" w:line="178"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Agent’s and the Lenders’ receipt of (i) true, correct and complete copies of the Operating Documents of each of the Credit Parties, and (ii) a Secretary’s Certificate with respect to each Credit Party dated the Closing Date, certifying (x) that the foregoing copies are true, correct and complete (such Secretary’s Certificate to be in form and substance reasonably satisfactory to the Blackstone Representative), (y) that the Borrowing Resolutions with respect to the Loan Documents are in full force and effect, true, correct, complete and have not been altered as of the Closing Date (such Borrowing Resolutions to be in form and substance reasonably satisfactory to the Blackstone Representative) , and (z) the specimen signatures of the officers of the Credit Parties authorized to execute and deliver the Loan Documents which specimens are to be attached to the Secretary’s Certificate;</w:t>
      </w:r>
    </w:p>
    <w:p>
      <w:pPr>
        <w:spacing w:after="0" w:line="170" w:lineRule="exact"/>
        <w:rPr>
          <w:rFonts w:ascii="Times New Roman" w:cs="Times New Roman" w:eastAsia="Times New Roman" w:hAnsi="Times New Roman"/>
          <w:sz w:val="21"/>
          <w:szCs w:val="21"/>
          <w:color w:val="auto"/>
        </w:rPr>
      </w:pPr>
    </w:p>
    <w:p>
      <w:pPr>
        <w:ind w:firstLine="757"/>
        <w:spacing w:after="0" w:line="258"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the Perfection Certificate for Borrower and the other Credit Parties, in form and substance reasonably satisfactory to the Blackstone Representative;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the appropriate UCC financing statement forms and U.S. intellectual property filing documents, as applicable, with respect to the Collateral of the Credit Parties, in each case, for filing with the appropriate entity on or promptly after the Closing Date;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jc w:val="both"/>
        <w:ind w:firstLine="757"/>
        <w:spacing w:after="0" w:line="244"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a good standing certificate for each Credit Party, certified by the Secretary of State (or the equivalent thereof) of the jurisdiction of incorporation or formation of such Credit Party as of a date no earlier than thirty (30) days prior to the Closing Date;</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Lenders shall be satisfied with lien searches regarding the Credit Parties made as of a date reasonably close to the Closing Date;</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receipt of all certificates (in the case of Equity Interests that are certificated securities (as defined in the UCC)) evidencing the issued and outstanding capital securities owned by each Credit Party that are required to be pledged and so delivered under the Security Agreement, together with stock powers or assignments, as applicable, properly endorsed for transfer to Agent or duly executed in blank, in each case in form reasonably satisfactory to Agent, or, in the case of Equity Interests that are uncertificated securities (as defined in the UCC), an executed uncertificated stock control agreement among the issuer, the registered owner and Agent substantially in the form attached as an Annex to the Security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shall have obtained all Governmental Approvals and all consents of other Persons, if any, in each case that are necessary in connection with the transactions contemplated by the Loan Documents and each of the foregoing shall be in full force and effect and in form and substance reasonably satisfactory to the Blackstone Representative;</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a legal opinion of Cooley LLP, in form and substance reasonably satisfactory to the Blackstone Representative;</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Agent’s and the Lenders’ receipt of (i) evidence that the products liability and general liability insurance policies maintained regarding any Collateral are in full force and effect, and (ii) appropriate evidence showing loss payable or additional insured clauses or endorsements in favor of Agent in accordance with </w:t>
      </w:r>
      <w:r>
        <w:rPr>
          <w:rFonts w:ascii="Times New Roman" w:cs="Times New Roman" w:eastAsia="Times New Roman" w:hAnsi="Times New Roman"/>
          <w:sz w:val="22"/>
          <w:szCs w:val="22"/>
          <w:u w:val="single" w:color="auto"/>
          <w:color w:val="auto"/>
        </w:rPr>
        <w:t>Section 5.4</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of all documentation and other information required by bank regulatory authorities under applicable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your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customer” and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rules and regulations, including the U.S.A. Patriot Act (Title III of Pub. L. 107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56 (signed into law October 26, 2001)) (the “</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to the extent requested, at least five (5) Business Days before the Closing Date;</w:t>
      </w:r>
    </w:p>
    <w:p>
      <w:pPr>
        <w:spacing w:after="0" w:line="177"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Agent’s and the Lenders’ receipt of the Agent Fee Letter and Blackstone Representative’s receipt of the Lender Fee Letter, and payment of Lender and Agent Expenses (to the extent invoiced at least one (1) Business Day prior to the Closing Date) and other fees then due as specified in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xml:space="preserve"> hereof;</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Agent’s and the Lenders’ receipt of a certificate, dated the Closing Date and signed by a Responsible Officer of Borrower, confirming (i) there is no Adverse Proceeding pending or, to the Knowledge of the Credit Parties, threatened, that (x) contests the transactions contemplated by the Loan Documents or (y) individually or in the aggregate could reasonably be expected to result in a Material Adverse Change, except as set forth on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xml:space="preserve"> of the Disclosure Letter (such certificate to be in form and substance reasonably satisfactory to the Blackstone Representative), and (ii) that Borrower and its Subsidiaries, on a consolidated basis, are Solvent;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right="60" w:firstLine="757"/>
        <w:spacing w:after="0" w:line="258"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Blackstone Representative’s receipt on or prior to the Closing Date of copies of each Material Contract identified as such in the Perfection Certificate;</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Blackstone Representative’s receipt on or prior to the Closing Date of the Intercompany Subordination Agreement; and</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Agent’s and the Lender’s receipt on or prior to the Closing Date of the (x) Payment / Advance Form and (y) Funding Direction Letter, in each case in form and substance satisfactory to the Blackstone Representative.</w:t>
      </w:r>
    </w:p>
    <w:p>
      <w:pPr>
        <w:spacing w:after="0" w:line="15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 xml:space="preserve">For purposes of determining compliance with the conditions specified in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Agent shall have received written notice from such Lender prior to the proposed Closing Date specifying its objection thereto.</w:t>
      </w:r>
    </w:p>
    <w:p>
      <w:pPr>
        <w:spacing w:after="0" w:line="15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3.2 Conditions to Each Credit Extension. The obligation of each Lender to make any Credit Extension requested to be made by it hereunder on any date is subject to the satisfaction or waiver in accordance with </w:t>
      </w:r>
      <w:r>
        <w:rPr>
          <w:rFonts w:ascii="Times New Roman" w:cs="Times New Roman" w:eastAsia="Times New Roman" w:hAnsi="Times New Roman"/>
          <w:sz w:val="22"/>
          <w:szCs w:val="22"/>
          <w:b w:val="1"/>
          <w:bCs w:val="1"/>
          <w:u w:val="single" w:color="auto"/>
          <w:color w:val="auto"/>
        </w:rPr>
        <w:t>Section 11.5</w:t>
      </w:r>
      <w:r>
        <w:rPr>
          <w:rFonts w:ascii="Times New Roman" w:cs="Times New Roman" w:eastAsia="Times New Roman" w:hAnsi="Times New Roman"/>
          <w:sz w:val="22"/>
          <w:szCs w:val="22"/>
          <w:b w:val="1"/>
          <w:bCs w:val="1"/>
          <w:color w:val="auto"/>
        </w:rPr>
        <w:t xml:space="preserve"> of the following conditions precedent:</w:t>
      </w:r>
    </w:p>
    <w:p>
      <w:pPr>
        <w:spacing w:after="0" w:line="171" w:lineRule="exact"/>
        <w:rPr>
          <w:sz w:val="20"/>
          <w:szCs w:val="20"/>
          <w:color w:val="auto"/>
        </w:rPr>
      </w:pPr>
    </w:p>
    <w:p>
      <w:pPr>
        <w:jc w:val="both"/>
        <w:ind w:firstLine="757"/>
        <w:spacing w:after="0" w:line="236"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made by the Credit Parties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in each case, on the date on which the Term Loan is made (both with and without giving effect to the Term Loan) or as of such earlier date, as applicable);</w:t>
      </w:r>
    </w:p>
    <w:p>
      <w:pPr>
        <w:spacing w:after="0" w:line="181"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such Funding Date, there shall not have occurred and be continuing (i) any Material Adverse Change or (ii) any Default or Event of Default;</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borrowing of Delayed Draw Term Loans, such borrowing shall occur during the Delayed Draw Commitment Period; and</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shall have received a fully executed Borrowing Notice in accordance with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 xml:space="preserve">Each delivery of a Borrowing Notice or notice requesting the issuance, amendment, extension and the acceptance by Borrower of the proceeds of such Credit Extension shall constitute a representation and warranty by Borrower that on the date of such Credit Extension (both immediately before and after giving effect to such Credit Extension and the application of the proceeds thereof) the conditions contained in this </w:t>
      </w:r>
      <w:r>
        <w:rPr>
          <w:rFonts w:ascii="Times New Roman" w:cs="Times New Roman" w:eastAsia="Times New Roman" w:hAnsi="Times New Roman"/>
          <w:sz w:val="22"/>
          <w:szCs w:val="22"/>
          <w:u w:val="single" w:color="auto"/>
          <w:color w:val="auto"/>
        </w:rPr>
        <w:t>Section 3.2</w:t>
      </w:r>
      <w:r>
        <w:rPr>
          <w:rFonts w:ascii="Times New Roman" w:cs="Times New Roman" w:eastAsia="Times New Roman" w:hAnsi="Times New Roman"/>
          <w:sz w:val="22"/>
          <w:szCs w:val="22"/>
          <w:color w:val="auto"/>
        </w:rPr>
        <w:t xml:space="preserve"> have been satisfied. Borrower shall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color w:val="auto"/>
        </w:rPr>
        <w:t xml:space="preserve">provide such information as Agent may reasonably request to confirm that the conditions in this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have been satisfied.</w:t>
      </w:r>
    </w:p>
    <w:p>
      <w:pPr>
        <w:spacing w:after="0" w:line="21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3.3 Covenant to Deliver. The Credit Parties agree to deliver to Agent and the Lenders, if applicable, each item required to be delivered to Agent and the Lenders, if applicable, under this Agreement as a condition precedent to any Credit Extension;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however</w:t>
      </w:r>
      <w:r>
        <w:rPr>
          <w:rFonts w:ascii="Times New Roman" w:cs="Times New Roman" w:eastAsia="Times New Roman" w:hAnsi="Times New Roman"/>
          <w:sz w:val="21"/>
          <w:szCs w:val="21"/>
          <w:b w:val="1"/>
          <w:bCs w:val="1"/>
          <w:color w:val="auto"/>
        </w:rPr>
        <w:t xml:space="preserve">, that any such items set forth on </w:t>
      </w:r>
      <w:r>
        <w:rPr>
          <w:rFonts w:ascii="Times New Roman" w:cs="Times New Roman" w:eastAsia="Times New Roman" w:hAnsi="Times New Roman"/>
          <w:sz w:val="21"/>
          <w:szCs w:val="21"/>
          <w:b w:val="1"/>
          <w:bCs w:val="1"/>
          <w:u w:val="single" w:color="auto"/>
          <w:color w:val="auto"/>
        </w:rPr>
        <w:t>Schedule 5.14</w:t>
      </w:r>
      <w:r>
        <w:rPr>
          <w:rFonts w:ascii="Times New Roman" w:cs="Times New Roman" w:eastAsia="Times New Roman" w:hAnsi="Times New Roman"/>
          <w:sz w:val="21"/>
          <w:szCs w:val="21"/>
          <w:b w:val="1"/>
          <w:bCs w:val="1"/>
          <w:color w:val="auto"/>
        </w:rPr>
        <w:t xml:space="preserve"> of the Disclosure Letter shall be delivered to Agent within the time period prescribed therefore on such schedule. The Credit Parties expressly agree that a Credit Extension made prior to the receipt by Agent and the Lenders, if applicable, of any such item shall not constitute a waiver by Agent, the Blackstone Representative or any Lender of the Credit Parties’ obligation to deliver such item, and the making of any Credit Extension in the absence of any such item required to have been delivered by the date of such Credit Extension shall be in Agent’s (acting at the direction of the Blackstone Representative) sole discretion.</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3.4 Procedures for Borrowing. Subject to the prior satisfaction of all other applicable conditions to the making of any Term Loan set forth in this Agreement, to obtain such Term Loan, Borrower shall deliver to Agent by electronic mail or facsimile a completed Payment/Advance Form in the form of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b w:val="1"/>
          <w:bCs w:val="1"/>
          <w:color w:val="auto"/>
        </w:rPr>
        <w:t xml:space="preserve"> hereto executed by a Responsible Officer of Borrower.</w:t>
      </w:r>
    </w:p>
    <w:p>
      <w:pPr>
        <w:spacing w:after="0" w:line="172" w:lineRule="exact"/>
        <w:rPr>
          <w:sz w:val="20"/>
          <w:szCs w:val="20"/>
          <w:color w:val="auto"/>
        </w:rPr>
      </w:pPr>
    </w:p>
    <w:p>
      <w:pPr>
        <w:ind w:left="440" w:hanging="432"/>
        <w:spacing w:after="0"/>
        <w:tabs>
          <w:tab w:leader="none" w:pos="44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REPRESENTATIONS AND WARRANTIES</w:t>
      </w:r>
    </w:p>
    <w:p>
      <w:pPr>
        <w:spacing w:after="0" w:line="21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In order to induce Agent, the Blackstone Representative and the Lenders to enter into this Agreement and make the Credit Extensions from time to time, each Credit Party, jointly and severally, represents and warrants on behalf of itself and its Subsidiaries, to Agent, the Blackstone Representative and each Lender that the following statements are true and correct as of the Closing Date and on each Funding Date (both with and without giving effect to such Loan) and as of any other date on which the representations and warranties are required to be made:</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4.1 Due Organization, Power and Authority . Each of Borrower and each of its Subsidiaries (a) is duly incorporated, organized or formed, and validly existing and, where applicable, in good standing under the laws of its jurisdiction of incorporation, organization or formation identified on </w:t>
      </w:r>
      <w:r>
        <w:rPr>
          <w:rFonts w:ascii="Times New Roman" w:cs="Times New Roman" w:eastAsia="Times New Roman" w:hAnsi="Times New Roman"/>
          <w:sz w:val="22"/>
          <w:szCs w:val="22"/>
          <w:b w:val="1"/>
          <w:bCs w:val="1"/>
          <w:u w:val="single" w:color="auto"/>
          <w:color w:val="auto"/>
        </w:rPr>
        <w:t>Schedule 4.15</w:t>
      </w:r>
      <w:r>
        <w:rPr>
          <w:rFonts w:ascii="Times New Roman" w:cs="Times New Roman" w:eastAsia="Times New Roman" w:hAnsi="Times New Roman"/>
          <w:sz w:val="22"/>
          <w:szCs w:val="22"/>
          <w:b w:val="1"/>
          <w:bCs w:val="1"/>
          <w:color w:val="auto"/>
        </w:rPr>
        <w:t xml:space="preserve"> 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in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b w:val="1"/>
          <w:bCs w:val="1"/>
          <w:color w:val="auto"/>
        </w:rPr>
        <w:t xml:space="preserve"> (other than with respect to Borrower and any other Credit Party), </w:t>
      </w:r>
      <w:r>
        <w:rPr>
          <w:rFonts w:ascii="Times New Roman" w:cs="Times New Roman" w:eastAsia="Times New Roman" w:hAnsi="Times New Roman"/>
          <w:sz w:val="22"/>
          <w:szCs w:val="22"/>
          <w:b w:val="1"/>
          <w:bCs w:val="1"/>
          <w:u w:val="single" w:color="auto"/>
          <w:color w:val="auto"/>
        </w:rPr>
        <w:t>(b)(i)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b w:val="1"/>
          <w:bCs w:val="1"/>
          <w:color w:val="auto"/>
        </w:rPr>
        <w:t xml:space="preserve"> or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b w:val="1"/>
          <w:bCs w:val="1"/>
          <w:color w:val="auto"/>
        </w:rPr>
        <w:t xml:space="preserve"> above, to the extent that failure to do so could not, individually or in the aggregate, reasonably be expected to result in a Material Adverse Change.</w:t>
      </w:r>
    </w:p>
    <w:p>
      <w:pPr>
        <w:spacing w:after="0" w:line="176" w:lineRule="exact"/>
        <w:rPr>
          <w:sz w:val="20"/>
          <w:szCs w:val="20"/>
          <w:color w:val="auto"/>
        </w:rPr>
      </w:pPr>
    </w:p>
    <w:p>
      <w:pPr>
        <w:jc w:val="both"/>
        <w:ind w:firstLine="749"/>
        <w:spacing w:after="0" w:line="257" w:lineRule="exact"/>
        <w:rPr>
          <w:sz w:val="20"/>
          <w:szCs w:val="20"/>
          <w:color w:val="auto"/>
        </w:rPr>
      </w:pPr>
      <w:r>
        <w:rPr>
          <w:rFonts w:ascii="Times New Roman" w:cs="Times New Roman" w:eastAsia="Times New Roman" w:hAnsi="Times New Roman"/>
          <w:sz w:val="21"/>
          <w:szCs w:val="21"/>
          <w:b w:val="1"/>
          <w:bCs w:val="1"/>
          <w:color w:val="auto"/>
        </w:rPr>
        <w:t>4.2 Equity Interests. All of the outstanding Equity Interests in each Subsidiary of Borrower, the Equity Interests of which are required to be pledged pursuant to the Collateral Documents, have been duly authorized and validly issued, are fully paid and, in the case of Equity Interests representing corporate interests, are non</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assessable, and, on the Closing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Date, all such</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1" w:name="page122"/>
    <w:bookmarkEnd w:id="121"/>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Equity Interests owned directly by Borrower or any other Credit Party are owned free and clear of all Liens except for Permitted Liens. </w:t>
      </w:r>
      <w:r>
        <w:rPr>
          <w:rFonts w:ascii="Times New Roman" w:cs="Times New Roman" w:eastAsia="Times New Roman" w:hAnsi="Times New Roman"/>
          <w:sz w:val="22"/>
          <w:szCs w:val="22"/>
          <w:b w:val="1"/>
          <w:bCs w:val="1"/>
          <w:u w:val="single" w:color="auto"/>
          <w:color w:val="auto"/>
        </w:rPr>
        <w:t>Schedule 4.2</w:t>
      </w:r>
      <w:r>
        <w:rPr>
          <w:rFonts w:ascii="Times New Roman" w:cs="Times New Roman" w:eastAsia="Times New Roman" w:hAnsi="Times New Roman"/>
          <w:sz w:val="22"/>
          <w:szCs w:val="22"/>
          <w:b w:val="1"/>
          <w:bCs w:val="1"/>
          <w:color w:val="auto"/>
        </w:rPr>
        <w:t xml:space="preserve"> of the Disclosure Letter identifies each Person, the Equity Interests of which are required to be pledged on the Closing Date pursuant to the Collateral Documents.</w:t>
      </w:r>
    </w:p>
    <w:p>
      <w:pPr>
        <w:spacing w:after="0" w:line="16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4.3 Authorization; No Conflict . Except as set forth on </w:t>
      </w:r>
      <w:r>
        <w:rPr>
          <w:rFonts w:ascii="Times New Roman" w:cs="Times New Roman" w:eastAsia="Times New Roman" w:hAnsi="Times New Roman"/>
          <w:sz w:val="21"/>
          <w:szCs w:val="21"/>
          <w:b w:val="1"/>
          <w:bCs w:val="1"/>
          <w:u w:val="single" w:color="auto"/>
          <w:color w:val="auto"/>
        </w:rPr>
        <w:t>Schedule 4.3</w:t>
      </w:r>
      <w:r>
        <w:rPr>
          <w:rFonts w:ascii="Times New Roman" w:cs="Times New Roman" w:eastAsia="Times New Roman" w:hAnsi="Times New Roman"/>
          <w:sz w:val="21"/>
          <w:szCs w:val="21"/>
          <w:b w:val="1"/>
          <w:bCs w:val="1"/>
          <w:color w:val="auto"/>
        </w:rPr>
        <w:t xml:space="preserve"> of the Disclosure Letter, the execution, delivery and performance by each Credit Party of the Loan Documents to which it is a party, and the consummation of the transactions contemplated thereby, (a) have been duly authorized by all necessary corporate or other organizational action and (b) do not and shall not (i) contravene the terms of any of such Credit Party’s Operating Documents, (ii) conflict with or result in any breach or contravention of, or require any payment to be made under (A) any provision of any security issued by such Credit Party or of any agreement, instrument or other undertaking to which such Credit Party is a party or affecting such Credit Party or the assets or properties of such Credit Party or any of its Subsidiaries or</w:t>
      </w:r>
    </w:p>
    <w:p>
      <w:pPr>
        <w:spacing w:after="0" w:line="3" w:lineRule="exact"/>
        <w:rPr>
          <w:sz w:val="20"/>
          <w:szCs w:val="20"/>
          <w:color w:val="auto"/>
        </w:rPr>
      </w:pPr>
    </w:p>
    <w:p>
      <w:pPr>
        <w:jc w:val="both"/>
        <w:ind w:firstLine="8"/>
        <w:spacing w:after="0" w:line="233" w:lineRule="auto"/>
        <w:tabs>
          <w:tab w:leader="none" w:pos="346"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any order, writ, judgment, injunction, decree, determination or award of any Governmental Authority by which such Credit Party or any of its properties or assets are subject, (iii) result in the creation of any Lien (other than under the Loan Documents) or (iv) violate any Requirements of Law, except, in the cases of </w:t>
      </w:r>
      <w:r>
        <w:rPr>
          <w:rFonts w:ascii="Times New Roman" w:cs="Times New Roman" w:eastAsia="Times New Roman" w:hAnsi="Times New Roman"/>
          <w:sz w:val="22"/>
          <w:szCs w:val="22"/>
          <w:b w:val="1"/>
          <w:bCs w:val="1"/>
          <w:u w:val="single" w:color="auto"/>
          <w:color w:val="auto"/>
        </w:rPr>
        <w:t>clauses (b)(ii)</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(b)(iv)</w:t>
      </w:r>
      <w:r>
        <w:rPr>
          <w:rFonts w:ascii="Times New Roman" w:cs="Times New Roman" w:eastAsia="Times New Roman" w:hAnsi="Times New Roman"/>
          <w:sz w:val="22"/>
          <w:szCs w:val="22"/>
          <w:b w:val="1"/>
          <w:bCs w:val="1"/>
          <w:color w:val="auto"/>
        </w:rPr>
        <w:t xml:space="preserve"> above, to the extent that such conflict, breach, contravention, payment or violation could not, individually or in the aggregate, reasonably be expected to result in a Material Adverse Change.</w:t>
      </w:r>
    </w:p>
    <w:p>
      <w:pPr>
        <w:spacing w:after="0" w:line="17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4.4 Government Consents; Third Party Consents. Except as set forth on </w:t>
      </w:r>
      <w:r>
        <w:rPr>
          <w:rFonts w:ascii="Times New Roman" w:cs="Times New Roman" w:eastAsia="Times New Roman" w:hAnsi="Times New Roman"/>
          <w:sz w:val="22"/>
          <w:szCs w:val="22"/>
          <w:b w:val="1"/>
          <w:bCs w:val="1"/>
          <w:u w:val="single" w:color="auto"/>
          <w:color w:val="auto"/>
        </w:rPr>
        <w:t>Schedule 4.4</w:t>
      </w:r>
      <w:r>
        <w:rPr>
          <w:rFonts w:ascii="Times New Roman" w:cs="Times New Roman" w:eastAsia="Times New Roman" w:hAnsi="Times New Roman"/>
          <w:sz w:val="22"/>
          <w:szCs w:val="22"/>
          <w:b w:val="1"/>
          <w:bCs w:val="1"/>
          <w:color w:val="auto"/>
        </w:rPr>
        <w:t xml:space="preserve"> of the Disclosure Letter, no Governmental Approval or other approval, consent, exemption or authorization, or other action by, or notice to, or filing with, any Governmental Authority or any other Person (including any counterparty to any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Agent or any Lender of its rights under the Loan Documents or the remedies in respect of the Collateral pursuant to the Collateral Documents, except for (i) filings necessary to perfect the Liens on the Collateral granted by the Credit Parties to Agent in favor and for the benefit of the Secured Parties, (ii) the approvals, consents, exemptions, authorizations, actions, notices and filings which have been duly obtained, taken, given or made and are in full force and effect, (iii) filings under state or federal securities laws and (iv) those approvals, consents, exemptions, authorizations or other actions, notices or filings, the failure of which to obtain or make could not, individually or in the aggregate, reasonably be expected to result in a Material Adverse Change.</w:t>
      </w:r>
    </w:p>
    <w:p>
      <w:pPr>
        <w:spacing w:after="0" w:line="18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4.5 Binding Obligation. Each Loan Document has been duly executed and delivered by each Credit Party that is a party thereto and constitutes a legal, valid and binding obligation of such Credit Party, enforceable against such Credit Party in accordance with its respective terms, except as such enforceability may be limited by bankruptcy, insolvency, reorganization, moratorium or similar laws relating to or limiting creditors’ rights generally,.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4.6  Collateral and Intellectual Property.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2" w:name="page123"/>
    <w:bookmarkEnd w:id="122"/>
    <w:p>
      <w:pPr>
        <w:jc w:val="both"/>
        <w:ind w:firstLine="757"/>
        <w:spacing w:after="0" w:line="234"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its exact legal name is that indicated on the completed perfection certificate signed by such Credit Party and delivered to the Agent and the Lenders in connection with this Agreement (with respect to all Credit Parties, collectively, the “</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and on the signature page hereof; (ii) it is an organization of the type and is organized in the jurisdiction set forth in the Perfection Certificate; (iii) the Perfection Certificate accurately sets forth its organizational identification number or accurately states that it has none; (iv) the Perfection Certificate accurately sets forth as of the Closing Date its place of business, or, if more than one, its chief executive office as well as its mailing address (if different than its chief executive office); (v) it (and each of its predecessors) has not, in the five (5) years prior to the Closing Date, changed its jurisdiction of formation, organizational structure or type, or any organizational number assigned by its jurisdiction; and (vi) all other information set forth on the Perfection Certificate pertaining to it and each of its Subsidiaries is accurate and complete in all material respects as of the Closing Date.</w:t>
      </w:r>
    </w:p>
    <w:p>
      <w:pPr>
        <w:spacing w:after="0" w:line="179"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it has good title to, has rights in, and the power to transfer each item of the Collateral upon which it purports to grant a Lien under any Collateral Document, free and clear of any and all Liens except Permitted Liens, except as could not materially interfere with the Credit Parties’ ability to conduct their business as currently conducted, including any material loss of rights, and (ii) it has no Deposit Accounts maintained at a bank or other depository or financial institution other than the deposit or current accounts described in the Perfection Certificate delivered to Agent and the Lenders in connection herewith.</w:t>
      </w:r>
    </w:p>
    <w:p>
      <w:pPr>
        <w:spacing w:after="0" w:line="142"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true, correct and complete list of each item of Registered Product IP that is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owned by, or exclusively licensed to, any Credit Party or any of its Subsidiaries, including its name/title, current owner, registration, patent or application number, and registration or application date, is set forth on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xml:space="preserve"> of the Disclosure Letter. Each such item of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Registered Product IP is subsisting and no such item of Registered Product IP has lapsed, expired, been cancelled or invalidated or become abandoned (other than as permitted under clause (i) of the definition of “Permitted Transfers”). To the Knowledge of the Credit Parties, each such item of Registered Product IP that is licensed from another Person is subsisting, valid and enforceable (or will be enforceable upon issuance) and without material defects, and no such item of Registered Product IP has lapsed, expired, been cancelled or invalidated, or become abandoned (other than through the lapse, expiration or abandonment of such Registered Product IP in the exercise of ordinary course prosecution practices and reasonable business judgment). To the Knowledge of the Credit Parties, each item of Registered Product IP owned by any Credit Party or any of its Subsidiaries is valid, enforceable (or will be enforceable upon issuance) and without material defects. Each Person who has or has had any rights in or to Product IP owned by any Credit Party or any of its Subsidiaries, including each inventor named on the Patents within such owned Product IP filed by any Credit Party or any of its Subsidiaries, has executed an agreement assigning his, her or its entire right, title and interest in and to such owned Product IP, to the Credit Party or its Subsidiaries, as applicable, and to the Knowledge of the Credit Parties, no such Person has any contractual or other obligation that would preclude or conflict with such assignment.</w:t>
      </w:r>
    </w:p>
    <w:p>
      <w:pPr>
        <w:spacing w:after="0" w:line="18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Except as set forth on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all material Registered Product IP is exclusively owned by the Credit Party or their Subsidiaries; (ii) to the Knowledge of the Credit Parties, no circumstances or grounds exist that would give rise to a claim of a third party to any rights in any Registered Product IP owned or purported to be owned by any Credit Party or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both"/>
        <w:spacing w:after="0" w:line="249" w:lineRule="exact"/>
        <w:rPr>
          <w:sz w:val="20"/>
          <w:szCs w:val="20"/>
          <w:color w:val="auto"/>
        </w:rPr>
      </w:pPr>
      <w:r>
        <w:rPr>
          <w:rFonts w:ascii="Times New Roman" w:cs="Times New Roman" w:eastAsia="Times New Roman" w:hAnsi="Times New Roman"/>
          <w:sz w:val="22"/>
          <w:szCs w:val="22"/>
          <w:color w:val="auto"/>
        </w:rPr>
        <w:t>Subsidiaries (other than any co-owner of any patent or patent application constituting Product IP who is listed on the records of the USPTO or foreign equivalent); (iii) each Credit Party possesses valid title to all Product IP for which it is listed as the owner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owner, as applicable, on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xml:space="preserve"> of the Disclosure Letter; (iv) there are no Liens on any of the Credit Parties’ or their Subsidiaries’ interest in the Product IP, other than Permitted Liens that do not secure Indebtedness for borrowed money; (v) no Subsidiary that is not a Credit Party holds any Product IP; and (vi) the Credit Parties have not received any notice of any Person disputing the inventorship or ownership of any material Registered Product IP. Nothing in this </w:t>
      </w:r>
      <w:r>
        <w:rPr>
          <w:rFonts w:ascii="Times New Roman" w:cs="Times New Roman" w:eastAsia="Times New Roman" w:hAnsi="Times New Roman"/>
          <w:sz w:val="22"/>
          <w:szCs w:val="22"/>
          <w:u w:val="single" w:color="auto"/>
          <w:color w:val="auto"/>
        </w:rPr>
        <w:t>Section 4.6(d)</w:t>
      </w:r>
      <w:r>
        <w:rPr>
          <w:rFonts w:ascii="Times New Roman" w:cs="Times New Roman" w:eastAsia="Times New Roman" w:hAnsi="Times New Roman"/>
          <w:sz w:val="22"/>
          <w:szCs w:val="22"/>
          <w:color w:val="auto"/>
        </w:rPr>
        <w:t xml:space="preserve"> shall be construed as a representation or warranty with respect to infringement, misappropriation or other violation of Intellectual Property.</w:t>
      </w:r>
    </w:p>
    <w:p>
      <w:pPr>
        <w:spacing w:after="0" w:line="183" w:lineRule="exact"/>
        <w:rPr>
          <w:sz w:val="20"/>
          <w:szCs w:val="20"/>
          <w:color w:val="auto"/>
        </w:rPr>
      </w:pPr>
    </w:p>
    <w:p>
      <w:pPr>
        <w:jc w:val="both"/>
        <w:ind w:firstLine="757"/>
        <w:spacing w:after="0" w:line="238"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maintenance, annuity or renewal fees that are currently overdue beyond their allotted grace period for any Registered Product IP that is owned by or licensed to (and for which such Credit Party or any of its Subsidiaries controls the prosecution and maintenance thereof) any Credit Party or any of its Subsidiaries, nor have any applications or registrations therefor lapsed or become abandoned, been cancelled or expired that would result in a material loss of rights relating to such Product.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unpaid fees or royalties, and at any time after the Closing Date, there are no material unpaid fees or royalties, in each case, under any Material Contract that have become due, or are expected to become overdue, except to the extent disputed in good faith and for which appropriate reserves have been taken under GAAP.</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any fees, royalties, milestone or other similar payments that are due pursuant to any Material Contract that is listed on </w:t>
      </w:r>
      <w:r>
        <w:rPr>
          <w:rFonts w:ascii="Times New Roman" w:cs="Times New Roman" w:eastAsia="Times New Roman" w:hAnsi="Times New Roman"/>
          <w:sz w:val="22"/>
          <w:szCs w:val="22"/>
          <w:u w:val="single" w:color="auto"/>
          <w:color w:val="auto"/>
        </w:rPr>
        <w:t>Schedule 4.6(g)</w:t>
      </w:r>
      <w:r>
        <w:rPr>
          <w:rFonts w:ascii="Times New Roman" w:cs="Times New Roman" w:eastAsia="Times New Roman" w:hAnsi="Times New Roman"/>
          <w:sz w:val="22"/>
          <w:szCs w:val="22"/>
          <w:color w:val="auto"/>
        </w:rPr>
        <w:t xml:space="preserve"> of the Disclosure Letter, no material payments by any Credit Party or any of its Subsidiaries are due to any other Person in respect of any Product IP pursuant to any Material Contract.</w:t>
      </w:r>
    </w:p>
    <w:p>
      <w:pPr>
        <w:spacing w:after="0" w:line="173" w:lineRule="exact"/>
        <w:rPr>
          <w:rFonts w:ascii="Times New Roman" w:cs="Times New Roman" w:eastAsia="Times New Roman" w:hAnsi="Times New Roman"/>
          <w:sz w:val="22"/>
          <w:szCs w:val="22"/>
          <w:color w:val="auto"/>
        </w:rPr>
      </w:pPr>
    </w:p>
    <w:p>
      <w:pPr>
        <w:jc w:val="both"/>
        <w:ind w:firstLine="757"/>
        <w:spacing w:after="0" w:line="248" w:lineRule="exact"/>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or any of its Subsidiaries has undertaken any acts, and, to the Knowledge of the Credit Parties, no circumstance or grounds exist that would invalidate or reduce, in whole or in part, the enforceability or scope of (or failed to engage in any act to preserve the validity, enforceability or scope of) (i) Registered Product IP in any manner that could reasonably be expected to materially adversely affect the patent protection for any Product, including any material loss of rights, or (ii) in the case of Registered Product IP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or exclusively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exclusively licensed by any Credit Party or any of its Subsidiaries, such Credit Party’s or Subsidiary’s entitlement to own or license and exploit (other than any restrictions on licensing or exploitation pursuant to the terms of any Permitted Transfer) such Registered Product IP. To the Knowledge of the Credit Parties, no person having a duty of candor to a Patent Office, including to the U.S. Patent and Trademark Office, has withheld, misrepresented, or concealed a material fact or prior art reference from the Patent Office that would affect the validity, scope or enforceability of any Registered Product IP owned by the Credit Parties and their Subsidiaries for which such Credit Parties and their Subsidiaries control the prosecution and maintenance thereof.</w:t>
      </w:r>
    </w:p>
    <w:p>
      <w:pPr>
        <w:spacing w:after="0" w:line="177" w:lineRule="exact"/>
        <w:rPr>
          <w:rFonts w:ascii="Times New Roman" w:cs="Times New Roman" w:eastAsia="Times New Roman" w:hAnsi="Times New Roman"/>
          <w:sz w:val="22"/>
          <w:szCs w:val="22"/>
          <w:color w:val="auto"/>
        </w:rPr>
      </w:pPr>
    </w:p>
    <w:p>
      <w:pPr>
        <w:jc w:val="both"/>
        <w:ind w:firstLine="757"/>
        <w:spacing w:after="0" w:line="276" w:lineRule="exact"/>
        <w:tabs>
          <w:tab w:leader="none" w:pos="118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Schedule 4.7</w:t>
      </w:r>
      <w:r>
        <w:rPr>
          <w:rFonts w:ascii="Times New Roman" w:cs="Times New Roman" w:eastAsia="Times New Roman" w:hAnsi="Times New Roman"/>
          <w:sz w:val="22"/>
          <w:szCs w:val="22"/>
          <w:color w:val="auto"/>
        </w:rPr>
        <w:t xml:space="preserve"> of the Disclosure Letter or advised pursuant to </w:t>
      </w:r>
      <w:r>
        <w:rPr>
          <w:rFonts w:ascii="Times New Roman" w:cs="Times New Roman" w:eastAsia="Times New Roman" w:hAnsi="Times New Roman"/>
          <w:sz w:val="22"/>
          <w:szCs w:val="22"/>
          <w:u w:val="single" w:color="auto"/>
          <w:color w:val="auto"/>
        </w:rPr>
        <w:t>Section 5.2(f)</w:t>
      </w:r>
      <w:r>
        <w:rPr>
          <w:rFonts w:ascii="Times New Roman" w:cs="Times New Roman" w:eastAsia="Times New Roman" w:hAnsi="Times New Roman"/>
          <w:sz w:val="22"/>
          <w:szCs w:val="22"/>
          <w:color w:val="auto"/>
        </w:rPr>
        <w:t xml:space="preserve">, there is no pending, decided or settled opposition, interference proceeding, reissue proceeding, reexamination proceeding, </w:t>
      </w:r>
      <w:r>
        <w:rPr>
          <w:rFonts w:ascii="Times New Roman" w:cs="Times New Roman" w:eastAsia="Times New Roman" w:hAnsi="Times New Roman"/>
          <w:sz w:val="22"/>
          <w:szCs w:val="22"/>
          <w:i w:val="1"/>
          <w:iCs w:val="1"/>
          <w:color w:val="auto"/>
        </w:rPr>
        <w:t>inter</w:t>
      </w:r>
      <w:r>
        <w:rPr>
          <w:rFonts w:ascii="MS PGothic" w:cs="MS PGothic" w:eastAsia="MS PGothic" w:hAnsi="MS PGothic"/>
          <w:sz w:val="22"/>
          <w:szCs w:val="22"/>
          <w:i w:val="1"/>
          <w:iCs w:val="1"/>
          <w:color w:val="auto"/>
        </w:rPr>
        <w:t>‑</w:t>
      </w:r>
      <w:r>
        <w:rPr>
          <w:rFonts w:ascii="Times New Roman" w:cs="Times New Roman" w:eastAsia="Times New Roman" w:hAnsi="Times New Roman"/>
          <w:sz w:val="22"/>
          <w:szCs w:val="22"/>
          <w:i w:val="1"/>
          <w:iCs w:val="1"/>
          <w:color w:val="auto"/>
        </w:rPr>
        <w:t>partes</w:t>
      </w:r>
      <w:r>
        <w:rPr>
          <w:rFonts w:ascii="Times New Roman" w:cs="Times New Roman" w:eastAsia="Times New Roman" w:hAnsi="Times New Roman"/>
          <w:sz w:val="22"/>
          <w:szCs w:val="22"/>
          <w:color w:val="auto"/>
        </w:rPr>
        <w:t xml:space="preserve"> review proceeding,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grant review proceeding, derivation proceeding, cancellation proceeding, injunction, lawsuit, hearing,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jc w:val="both"/>
        <w:spacing w:after="0" w:line="236" w:lineRule="auto"/>
        <w:rPr>
          <w:sz w:val="20"/>
          <w:szCs w:val="20"/>
          <w:color w:val="auto"/>
        </w:rPr>
      </w:pPr>
      <w:r>
        <w:rPr>
          <w:rFonts w:ascii="Times New Roman" w:cs="Times New Roman" w:eastAsia="Times New Roman" w:hAnsi="Times New Roman"/>
          <w:sz w:val="22"/>
          <w:szCs w:val="22"/>
          <w:color w:val="auto"/>
        </w:rPr>
        <w:t>investigation, complaint, arbitration, mediation, demand, International Trade Commission investigation, decree, or any other dispute, disagreement, or claim, in each case alleged in writing to Borrower or any of its Subsidiaries (collectively referred to hereinafter as “</w:t>
      </w:r>
      <w:r>
        <w:rPr>
          <w:rFonts w:ascii="Times New Roman" w:cs="Times New Roman" w:eastAsia="Times New Roman" w:hAnsi="Times New Roman"/>
          <w:sz w:val="22"/>
          <w:szCs w:val="22"/>
          <w:b w:val="1"/>
          <w:bCs w:val="1"/>
          <w:color w:val="auto"/>
        </w:rPr>
        <w:t>Specified Disputes</w:t>
      </w:r>
      <w:r>
        <w:rPr>
          <w:rFonts w:ascii="Times New Roman" w:cs="Times New Roman" w:eastAsia="Times New Roman" w:hAnsi="Times New Roman"/>
          <w:sz w:val="22"/>
          <w:szCs w:val="22"/>
          <w:color w:val="auto"/>
        </w:rPr>
        <w:t>”), nor has any such Specified Dispute been threatened in writing, in each case challenging the legality, validity, scope, enforceability, inventorship or ownership of any Product IP of the Credit Parties and their Subsidiaries that is owned by any Credit Party or any of its Subsidiaries or for which any Credit Party or its Subsidiaries controls the prosecution and maintenance thereof.</w:t>
      </w:r>
    </w:p>
    <w:p>
      <w:pPr>
        <w:spacing w:after="0" w:line="181" w:lineRule="exact"/>
        <w:rPr>
          <w:sz w:val="20"/>
          <w:szCs w:val="20"/>
          <w:color w:val="auto"/>
        </w:rPr>
      </w:pPr>
    </w:p>
    <w:p>
      <w:pPr>
        <w:ind w:left="1180" w:hanging="423"/>
        <w:spacing w:after="0"/>
        <w:tabs>
          <w:tab w:leader="none" w:pos="118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is a party to, nor is it bound by, any Restricted License.</w:t>
      </w:r>
    </w:p>
    <w:p>
      <w:pPr>
        <w:spacing w:after="0" w:line="171" w:lineRule="exact"/>
        <w:rPr>
          <w:rFonts w:ascii="Times New Roman" w:cs="Times New Roman" w:eastAsia="Times New Roman" w:hAnsi="Times New Roman"/>
          <w:sz w:val="22"/>
          <w:szCs w:val="22"/>
          <w:color w:val="auto"/>
        </w:rPr>
      </w:pPr>
    </w:p>
    <w:p>
      <w:pPr>
        <w:jc w:val="both"/>
        <w:ind w:firstLine="757"/>
        <w:spacing w:after="0" w:line="272" w:lineRule="exact"/>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each case where Registered Product IP is a Patent or Trademark and is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any Credit Party or its Subsidiaries by assignment, the assignment for such item of Registered Product IP has been duly recorded with the U.S. Patent and Trademark Office.</w:t>
      </w:r>
    </w:p>
    <w:p>
      <w:pPr>
        <w:spacing w:after="0" w:line="177" w:lineRule="exact"/>
        <w:rPr>
          <w:rFonts w:ascii="Times New Roman" w:cs="Times New Roman" w:eastAsia="Times New Roman" w:hAnsi="Times New Roman"/>
          <w:sz w:val="22"/>
          <w:szCs w:val="22"/>
          <w:color w:val="auto"/>
        </w:rPr>
      </w:pPr>
    </w:p>
    <w:p>
      <w:pPr>
        <w:jc w:val="both"/>
        <w:ind w:firstLine="757"/>
        <w:spacing w:after="0" w:line="248" w:lineRule="auto"/>
        <w:tabs>
          <w:tab w:leader="none" w:pos="1181"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set forth on </w:t>
      </w:r>
      <w:r>
        <w:rPr>
          <w:rFonts w:ascii="Times New Roman" w:cs="Times New Roman" w:eastAsia="Times New Roman" w:hAnsi="Times New Roman"/>
          <w:sz w:val="21"/>
          <w:szCs w:val="21"/>
          <w:u w:val="single" w:color="auto"/>
          <w:color w:val="auto"/>
        </w:rPr>
        <w:t>Schedule 4.6(l)</w:t>
      </w:r>
      <w:r>
        <w:rPr>
          <w:rFonts w:ascii="Times New Roman" w:cs="Times New Roman" w:eastAsia="Times New Roman" w:hAnsi="Times New Roman"/>
          <w:sz w:val="21"/>
          <w:szCs w:val="21"/>
          <w:color w:val="auto"/>
        </w:rPr>
        <w:t xml:space="preserve"> of the Disclosure Letter or advised pursuant to Section 5.2 or otherwise disclosed, there are no pending or, to the Knowledge of the Credit Parties, threatened (in writing) claims against Borrower or any of its Subsidiaries alleging (i) that any research, development, manufacture, production, use, commercialization, marketing, importing, storage, transport, offer for sale, distribution or sale of any Product in the Territory infringes or violates (or in the past infringed or violated) the rights of any third parties in or to any Intellectual Property (“</w:t>
      </w:r>
      <w:r>
        <w:rPr>
          <w:rFonts w:ascii="Times New Roman" w:cs="Times New Roman" w:eastAsia="Times New Roman" w:hAnsi="Times New Roman"/>
          <w:sz w:val="21"/>
          <w:szCs w:val="21"/>
          <w:b w:val="1"/>
          <w:bCs w:val="1"/>
          <w:color w:val="auto"/>
        </w:rPr>
        <w:t>Third Party IP</w:t>
      </w:r>
      <w:r>
        <w:rPr>
          <w:rFonts w:ascii="Times New Roman" w:cs="Times New Roman" w:eastAsia="Times New Roman" w:hAnsi="Times New Roman"/>
          <w:sz w:val="21"/>
          <w:szCs w:val="21"/>
          <w:color w:val="auto"/>
        </w:rPr>
        <w:t>”) or constitutes a misappropriation of (or in the past constituted a misappropriation of) any Third Party IP, or (ii) that any Registered Product IP owned by or exclusively licensed to any of the Credit Parties or their Subsidiaries is invalid or unenforceable.</w:t>
      </w:r>
    </w:p>
    <w:p>
      <w:pPr>
        <w:spacing w:after="0" w:line="170" w:lineRule="exact"/>
        <w:rPr>
          <w:rFonts w:ascii="Times New Roman" w:cs="Times New Roman" w:eastAsia="Times New Roman" w:hAnsi="Times New Roman"/>
          <w:sz w:val="21"/>
          <w:szCs w:val="21"/>
          <w:color w:val="auto"/>
        </w:rPr>
      </w:pPr>
    </w:p>
    <w:p>
      <w:pPr>
        <w:ind w:firstLine="757"/>
        <w:spacing w:after="0" w:line="238"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Credit Parties, the manufacture, production, use, commercialization, marketing, importing, storage, transport, offer for sale, distribution or sale of any Product in the Territory (i) does not (A) infringe or violate (or in the past infringed or violated) any issued patent or other registered Third Party IP or (B) constitute a misappropriation of (or in the past constituted a misappropriation of) any Third Party IP, and (ii) will not infringe a valid claim of a published patent application when such application issues as patent.</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There are no settlements to which any of the Credit Parties or any of their Subsidiaries is a party, covenants not to sue granted by any of the Credit Parties or any of their Subsidiaries (other than as described in </w:t>
      </w:r>
      <w:r>
        <w:rPr>
          <w:rFonts w:ascii="Times New Roman" w:cs="Times New Roman" w:eastAsia="Times New Roman" w:hAnsi="Times New Roman"/>
          <w:sz w:val="22"/>
          <w:szCs w:val="22"/>
          <w:u w:val="single" w:color="auto"/>
          <w:color w:val="auto"/>
        </w:rPr>
        <w:t>clauses (j), (k)</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(l)</w:t>
      </w:r>
      <w:r>
        <w:rPr>
          <w:rFonts w:ascii="Times New Roman" w:cs="Times New Roman" w:eastAsia="Times New Roman" w:hAnsi="Times New Roman"/>
          <w:sz w:val="22"/>
          <w:szCs w:val="22"/>
          <w:color w:val="auto"/>
        </w:rPr>
        <w:t xml:space="preserve"> of the definition of “Permitted Transfers”), or consents, judgments, orders or similar actions by any Governmental Authority applicable to any the Credit Parties or any of their Subsidiaries that: (i) restrict the rights of any Credit Party or any of its Subsidiaries to use any Intellectual Property relating to the research, development, manufacture, production, use, commercialization, marketing, importing, storage, transport, offer for sale, distribution or sale of any Product in the Territory (in order to accommodate any Third Party IP or otherwise), or (ii) permit any third parties to use any Product IP.</w:t>
      </w:r>
    </w:p>
    <w:p>
      <w:pPr>
        <w:spacing w:after="0" w:line="18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Credit Parties, (i) there is no, nor has there been any, infringement or violation by any Person of any of any Product IP of the Credit Parties and their Subsidiaries or the rights therein, and (ii) there is no, nor has there been any, misappropriation by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jc w:val="both"/>
        <w:spacing w:after="0" w:line="244" w:lineRule="auto"/>
        <w:rPr>
          <w:sz w:val="20"/>
          <w:szCs w:val="20"/>
          <w:color w:val="auto"/>
        </w:rPr>
      </w:pPr>
      <w:r>
        <w:rPr>
          <w:rFonts w:ascii="Times New Roman" w:cs="Times New Roman" w:eastAsia="Times New Roman" w:hAnsi="Times New Roman"/>
          <w:sz w:val="22"/>
          <w:szCs w:val="22"/>
          <w:color w:val="auto"/>
        </w:rPr>
        <w:t>any Person of any of any Product IP of the Credit Parties and their Subsidiaries or the subject matter thereof, in each case ((i) and (ii)) which, individually or in the aggregate, has resulted in, or would reasonably be expected to result in, a Material Adverse Change.</w:t>
      </w:r>
    </w:p>
    <w:p>
      <w:pPr>
        <w:spacing w:after="0" w:line="173" w:lineRule="exact"/>
        <w:rPr>
          <w:sz w:val="20"/>
          <w:szCs w:val="20"/>
          <w:color w:val="auto"/>
        </w:rPr>
      </w:pPr>
    </w:p>
    <w:p>
      <w:pPr>
        <w:jc w:val="both"/>
        <w:ind w:firstLine="757"/>
        <w:spacing w:after="0" w:line="238"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the Credit Parties, each Credit Party and each of its Subsidiaries has taken commercially reasonable measures customary in the pharmaceutical industry designed to protect the confidentiality and value of all trade secrets owned by such Credit Party or any of its Subsidiaries or used or held for use by such Credit Party or any of its Subsidiaries, in each case relating to the research, development, manufacture, production, use, commercialization, marketing, importing, storage, transport, offer for sale, distribution or sale of any Product in the Territory.</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and each of its Subsidiaries has taken commercially reasonable measures to obtain, maintain, and renew any and all material regulatory exclusivities for any Product, such as new chemical entity (NCE) and orphan drug exclusivity in the U.S., and corresponding exclusivities in counterpart foreign jurisdictions in the Territory.</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any shipment of Afrezza, Tyvaso DPI, and V-Go occurring prior to the Closing Date, all units of Afrezza, Tyvaso DPI, and V-Go so shipped complied with their relevant specifications and were manufactured in accordance with current FDA Good Manufacturing Practices to the extent required under Requirements of Law.</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4.7 Adverse Proceedings, Compliance with Laws. Except as set forth on </w:t>
      </w:r>
      <w:r>
        <w:rPr>
          <w:rFonts w:ascii="Times New Roman" w:cs="Times New Roman" w:eastAsia="Times New Roman" w:hAnsi="Times New Roman"/>
          <w:sz w:val="22"/>
          <w:szCs w:val="22"/>
          <w:b w:val="1"/>
          <w:bCs w:val="1"/>
          <w:u w:val="single" w:color="auto"/>
          <w:color w:val="auto"/>
        </w:rPr>
        <w:t>Schedule 4.7</w:t>
      </w:r>
      <w:r>
        <w:rPr>
          <w:rFonts w:ascii="Times New Roman" w:cs="Times New Roman" w:eastAsia="Times New Roman" w:hAnsi="Times New Roman"/>
          <w:sz w:val="22"/>
          <w:szCs w:val="22"/>
          <w:b w:val="1"/>
          <w:bCs w:val="1"/>
          <w:color w:val="auto"/>
        </w:rPr>
        <w:t xml:space="preserve"> of the Disclosure Letter or advised pursuant to </w:t>
      </w:r>
      <w:r>
        <w:rPr>
          <w:rFonts w:ascii="Times New Roman" w:cs="Times New Roman" w:eastAsia="Times New Roman" w:hAnsi="Times New Roman"/>
          <w:sz w:val="22"/>
          <w:szCs w:val="22"/>
          <w:b w:val="1"/>
          <w:bCs w:val="1"/>
          <w:u w:val="single" w:color="auto"/>
          <w:color w:val="auto"/>
        </w:rPr>
        <w:t>Section 5.2(f)</w:t>
      </w:r>
      <w:r>
        <w:rPr>
          <w:rFonts w:ascii="Times New Roman" w:cs="Times New Roman" w:eastAsia="Times New Roman" w:hAnsi="Times New Roman"/>
          <w:sz w:val="22"/>
          <w:szCs w:val="22"/>
          <w:b w:val="1"/>
          <w:bCs w:val="1"/>
          <w:color w:val="auto"/>
        </w:rPr>
        <w:t>, there are no Adverse Proceedings pending or, to the Knowledge of the Credit Parties or their Subsidiaries, threatened in writing or contemplated, at law, in equity, in arbitration or before any Governmental Authority, by or against Borrower or any of its Subsidiaries or against any of their respective assets or properties or revenues (including involving allegations of sexual harassment or misconduct by any officer of Borrower or any of its Subsidiaries) that (a) either individually or in the aggregate, could reasonably be expected to result in a Material Adverse Change or (b) involve this Agreement or any Loan Document (other than any Adverse Proceeding brought or threatened by any Secured Party). Neither Borrower nor any of its Subsidiaries (a) is in violation of any Requirements of Law (including Environmental Laws) that, individually or in the aggregate, could reasonably be expected to result in a Material Adverse Change, or (b) is subject to or in default with respect to any final judgments, orders,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Change.</w:t>
      </w:r>
    </w:p>
    <w:p>
      <w:pPr>
        <w:spacing w:after="0" w:line="182"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4.8 Exchange Act Documents; Financial Statements; Financial Condition; No Material Adverse Change; Books and Records.</w:t>
      </w:r>
    </w:p>
    <w:p>
      <w:pPr>
        <w:spacing w:after="0" w:line="154" w:lineRule="exact"/>
        <w:rPr>
          <w:sz w:val="20"/>
          <w:szCs w:val="20"/>
          <w:color w:val="auto"/>
        </w:rPr>
      </w:pPr>
    </w:p>
    <w:p>
      <w:pPr>
        <w:jc w:val="both"/>
        <w:ind w:firstLine="757"/>
        <w:spacing w:after="0" w:line="239" w:lineRule="auto"/>
        <w:tabs>
          <w:tab w:leader="none" w:pos="11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documents filed by Borrower with the SEC pursuant to the Exchange Act since January 1, 2025 (the “</w:t>
      </w:r>
      <w:r>
        <w:rPr>
          <w:rFonts w:ascii="Times New Roman" w:cs="Times New Roman" w:eastAsia="Times New Roman" w:hAnsi="Times New Roman"/>
          <w:sz w:val="22"/>
          <w:szCs w:val="22"/>
          <w:b w:val="1"/>
          <w:bCs w:val="1"/>
          <w:color w:val="auto"/>
        </w:rPr>
        <w:t>Exchange Act Documents</w:t>
      </w:r>
      <w:r>
        <w:rPr>
          <w:rFonts w:ascii="Times New Roman" w:cs="Times New Roman" w:eastAsia="Times New Roman" w:hAnsi="Times New Roman"/>
          <w:sz w:val="22"/>
          <w:szCs w:val="22"/>
          <w:color w:val="auto"/>
        </w:rPr>
        <w:t>”),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both"/>
        <w:spacing w:after="0" w:line="235" w:lineRule="auto"/>
        <w:rPr>
          <w:sz w:val="20"/>
          <w:szCs w:val="20"/>
          <w:color w:val="auto"/>
        </w:rPr>
      </w:pPr>
      <w:r>
        <w:rPr>
          <w:rFonts w:ascii="Times New Roman" w:cs="Times New Roman" w:eastAsia="Times New Roman" w:hAnsi="Times New Roman"/>
          <w:sz w:val="22"/>
          <w:szCs w:val="22"/>
          <w:color w:val="auto"/>
        </w:rPr>
        <w:t>projections and forward looking statements, estimates, budgets and general economic or industry data of a general nature), in the light of the circumstances under which they were made, not misleading. With respect to projected financial information included in the Exchange Act Documents,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w:t>
      </w:r>
    </w:p>
    <w:p>
      <w:pPr>
        <w:spacing w:after="0" w:line="178" w:lineRule="exact"/>
        <w:rPr>
          <w:sz w:val="20"/>
          <w:szCs w:val="20"/>
          <w:color w:val="auto"/>
        </w:rPr>
      </w:pPr>
    </w:p>
    <w:p>
      <w:pPr>
        <w:jc w:val="both"/>
        <w:ind w:firstLine="757"/>
        <w:spacing w:after="0" w:line="249" w:lineRule="exact"/>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financial statements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all material respects in conformity with GAAP applied on a consistent basis throughout the periods covered thereby, except as otherwise disclosed therein and, in the case of unaudited, interim financial statements, subject to normal year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end audit adjustments and the exclusion of certain footnotes, and any supporting schedules included in the Exchange Act Documents present fairly in all material respects the information required to be stated therein;</w:t>
      </w:r>
    </w:p>
    <w:p>
      <w:pPr>
        <w:spacing w:after="0" w:line="18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2024, there has not occurred or failed to occur any change or event that has had or could reasonably be expected to have, either alone or in conjunction with any other change(s), event(s) or failure(s), a Material Adverse Change, except as has been disclosed in the Exchange Act Documents; and</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Books of Borrower and each of its Subsidiaries in existence immediately prior to the Closing Date contain full, true and correct entries of all dealings and transactions in relation to its business and activities in all material respects in conformity with GAAP, and in conformity with all Requirements of Law.</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4.9 Solvency. Borrower and its Subsidiaries, on a consolidated basis, are Solvent. Without limiting the generality of the foregoing, there has been no proposal made or resolution adopted by any competent corporate body for the dissolution or liquidation of any Credit Party, nor do any circumstances exist which may result in the dissolution or liquidation of any Credit Party.</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4.10 Payment of Taxes. All foreign, federal and state income and other Tax returns and reports (or extensions thereof) of each Credit Party and each of its Subsidiaries required to be filed by any of them have been timely filed and are correct, and all Taxes which are due and payable by any Credit Party or any of its Subsidiaries have been paid when due and payable, except, in each case, (a) where the validity or amount thereof is being contested in good faith by appropriate proceedings;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the applicable Credit Party has set aside on its books adequate reserves therefor in conformity with GAAP or (b) to the extent the failure to do so, individually or in the aggregate, could not reasonably be expected to result in a Material Adverse Change.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ind w:firstLine="749"/>
        <w:spacing w:after="0" w:line="243" w:lineRule="auto"/>
        <w:rPr>
          <w:sz w:val="20"/>
          <w:szCs w:val="20"/>
          <w:color w:val="auto"/>
        </w:rPr>
      </w:pPr>
      <w:r>
        <w:rPr>
          <w:rFonts w:ascii="Times New Roman" w:cs="Times New Roman" w:eastAsia="Times New Roman" w:hAnsi="Times New Roman"/>
          <w:sz w:val="21"/>
          <w:szCs w:val="21"/>
          <w:b w:val="1"/>
          <w:bCs w:val="1"/>
          <w:color w:val="auto"/>
        </w:rPr>
        <w:t>4.11 Environmental Matters . Neither Borrower nor any of its Subject Subsidiaries nor any of their respective Facilities or operations is subject to any outstanding written order, consent decree or settlement agreement with any Person relating to any Environmental Law, any Environmental Claim, or any Hazardous Materials Activity that, individually or in the aggregate, could be expected to result in a Material Adverse Change, and Borrower and each of its Subject Subsidiaries have complied at all times in all material respects with applicable Environmental Laws. Neither Borrower nor any of its Subject Subsidiaries have received any notice of any Environmental Claim, including any letter or written request for information under Section 104 of the Comprehensive Environmental Response, Compensation, and Liability Act (42 U.S.C. § 9604) or any comparable state law. There are and, to the Knowledge of the Credit Parties, have been, no conditions, occurrences, or Hazardous Materials Activities that could reasonably be expected to form the basis of an Environmental Claim against Borrower or any of its Subject Subsidiaries that, individually or in the aggregate, could reasonably be expected to result in a Material Adverse Change. To the Knowledge of the Credit Parties, no predecessor of Borrower or any of its Subject Subsidiaries has filed any notice under any Environmental Law indicating past or present treatment of Hazardous Materials at any Facility, which could reasonably be expected to form the basis of an Environmental Claim against Borrower or any of its Subject Subsidiaries that, individually or in the aggregate, could reasonably be expected to result in a Material Adverse Change (but, for the avoidance of doubt, Borrower has not undertaken any investigation of or made any inquiries to, or relating to, any of its or its Subject Subsidiaries’ predecessors), and neither Borrower’s nor any of its Subject Subsidiaries’ operations involves the generation, transportation, treatment, storage or disposal of hazardous waste, as defined under 40 C.F.R. Parts 260 270 or any state equivalent, which would reasonably be expected to form the basis of an Environmental Claim against Borrower or any of its Subject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which, individually or in the aggregate, has resulted in, or could reasonably be expected to result in, a Material Adverse Change. Neither Borrower nor any of its Subject Subsidiaries have undertaken or assumed (by operation of law or otherwise) any liability arising under Environmental Law, or provided an indemnity with respect to any Environmental Law, for any other Person that, individually or in the aggregate, could reasonably be expected to result in a Material Adverse Change.</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4.12 Material Contracts . After giving effect to the consummation of the transactions contemplated by this Agreement, each Material Contract is a legal, valid, binding, and enforceable obligation in accordance with its respective terms (except as may be limited by bankruptcy, insolvency, reorganization, moratorium or similar laws relating to or limiting creditors’ rights generally or by equitable principles relating to enforceability) of the applicable Credit Party and, to the Knowledge of the Credit Parties, each other party thereto, and is in full force and effect, and neither the applicable Credit Party nor, to the Knowledge of the Credit Parties,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No Credit Party or any of its Subsidiaries has received any written notice from any party thereto asserting, or, to the Knowledge of the Credit Parties, threatening to assert, circumstances that could reasonably be expected to result in the cancellation, termination or invalidation of any Material Contract.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8" w:name="page129"/>
    <w:bookmarkEnd w:id="128"/>
    <w:p>
      <w:pPr>
        <w:jc w:val="both"/>
        <w:ind w:firstLine="749"/>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4.13 Regulatory Compliance. No Credit Party is or is required to be an “investment company”, and no Credit Party is a company “controlled” by an “investment company”, under the Investment Company Act of 1940, as amended. No Credit Party is engaged as one of its important activities in extending credit for Margin Stock (under Regulations X, T and U of the Federal Reserve Board). Except as could not, either individually or in the aggregate, reasonably be expected to result in a Material Adverse Change, each Credit Party is in compliance with all applicable laws and regulations respecting labor, employment, fair employment practices, work place safety and health, terms and conditions of employment, wages and hours (including the Federal Fair Labor Standards Act). No Credit Party is delinquent in any payments to any Employee for any wages, salaries, commissions, bonuses, fees or other direct compensation due with respect to any services performed for it to the date hereof or amounts required to be reimbursed to such Employees; there are no grievances, complaints or charges with respect to employment or labor matters (including, without limitation, charges of employment discrimination, retaliation or unfair labor practices) pending or, to the knowledge of any Credit Party, threatened in any judicial, regulatory or administrative forum, or under any private dispute resolution procedure; and none of the employment policies or practices of Credit Party are currently being audited, or to the knowledge of any Credit Party, being investigated by any Governmental Authority, except in each case as could not, either individually or in the aggregate, reasonably be expected to result in a Material Adverse Change. Except as could not, either individually or in the aggregate, reasonably be expected to result in a Material Adverse Change, each Employee Benefit Plan, and with respect to each Employee Benefit Plan, each Credit Party and Subsidiary, is in compliance with all applicable provisions of ERISA, the IRC and other U.S. federal or state Requirements of Law, respectively. (i) No ERISA Event has occurred or is reasonably expected to occur; (ii) neither any Credit Party nor any ERISA Affiliate has incurred, or would reasonably be expected to incur, any liability (and no event has occurred which, with the giving of notice under Section 4219 of ERISA, would result in such liability) under Section 4201 </w:t>
      </w:r>
      <w:r>
        <w:rPr>
          <w:rFonts w:ascii="Times New Roman" w:cs="Times New Roman" w:eastAsia="Times New Roman" w:hAnsi="Times New Roman"/>
          <w:sz w:val="22"/>
          <w:szCs w:val="22"/>
          <w:b w:val="1"/>
          <w:bCs w:val="1"/>
          <w:i w:val="1"/>
          <w:iCs w:val="1"/>
          <w:color w:val="auto"/>
        </w:rPr>
        <w:t>et seq</w:t>
      </w:r>
      <w:r>
        <w:rPr>
          <w:rFonts w:ascii="Times New Roman" w:cs="Times New Roman" w:eastAsia="Times New Roman" w:hAnsi="Times New Roman"/>
          <w:sz w:val="22"/>
          <w:szCs w:val="22"/>
          <w:b w:val="1"/>
          <w:bCs w:val="1"/>
          <w:color w:val="auto"/>
        </w:rPr>
        <w:t xml:space="preserve">. or 4243 of ERISA with respect to a Multiemployer Plan; (iii) neither any Credit Party nor any ERISA Affiliate has engaged in a transaction that would be subject to Section 4069 or 4212(c) of ERISA; and (iv) other than claims for benefits in the ordinary course, there are no pending or threatened claims, actions or lawsuits related to any Employee Benefit Plan, except, with respect to each of </w:t>
      </w:r>
      <w:r>
        <w:rPr>
          <w:rFonts w:ascii="Times New Roman" w:cs="Times New Roman" w:eastAsia="Times New Roman" w:hAnsi="Times New Roman"/>
          <w:sz w:val="22"/>
          <w:szCs w:val="22"/>
          <w:b w:val="1"/>
          <w:bCs w:val="1"/>
          <w:u w:val="single" w:color="auto"/>
          <w:color w:val="auto"/>
        </w:rPr>
        <w:t>clauses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(ii),(iii)</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(iv)</w:t>
      </w:r>
      <w:r>
        <w:rPr>
          <w:rFonts w:ascii="Times New Roman" w:cs="Times New Roman" w:eastAsia="Times New Roman" w:hAnsi="Times New Roman"/>
          <w:sz w:val="22"/>
          <w:szCs w:val="22"/>
          <w:b w:val="1"/>
          <w:bCs w:val="1"/>
          <w:color w:val="auto"/>
        </w:rPr>
        <w:t xml:space="preserve"> above, as could not reasonably be expected, individually or in the aggregate, to result in a Material Adverse Change. Each Employee Benefit Plan that is intended to be qualified under Section 401(a) of the IRC has received a favorable determination, opinion or advisory letter from the Internal Revenue Service to the effect that the form of such Employee Benefit Plan is qualified under Section 401(a) of the IRC and that the trust related thereto is exempt from federal income tax under Section 501(a) of the IRC. Except as could not, either individually or in the aggregate, reasonably be expected to result in a Material Adverse Change, no Credit Party or Subsidiary has any obligation to provide health or welfare benefits to any individual after termination of employment, other than coverage in connection with bona fide severance or unsubsidized coverage that is required by the Consolidated Omnibus Budget Reconciliation Act of 1985, as amended (“COBRA”) or similar state law. Except as could not, either individually or in the aggregate, reasonably be expected to result in a Material Adverse Change, each arrangement pursuant to which a Credit Party or Subsidiary has an obligation to pay or accrue nonqualified deferred compensation (within the meaning of Section 409A of the IRC) has been administered in accordance with plan documents that satisfy the requirements of Section 409A of the IRC.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9" w:name="page130"/>
    <w:bookmarkEnd w:id="129"/>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4.14 Margin Stock . No Credit Party is engaged, nor shall it engage, principally or as one of its important activities, in the business of extending credit for the purpose of “purchasing” or “carrying” any “margin stock” as such terms are defined in Regulation U of the Federal Reserve Board as now and from time to time hereafter in effect (such securities being referred to herein as “Margin Stock”). No Credit Party owns any Margin Stock, and none of the proceeds of the Credit Extensions or other extensions of credit under this Agreement shall be used, directly or indirectly, for the purpose of purchasing or carrying any Margin Stock, for the purpose of reducing or retiring any Indebtedness that was originally incurred to purchase or carry any Margin Stock, or for any other purpose that might cause the Term Loan or other extensions of credit under this Agreement to be considered a “purpose credit” within the meaning of Regulation T, U or X of the Federal Reserve Board. No Credit Party or any of its Subsidiaries has taken or permitted to be taken any action that might cause any Loan Document to violate Regulation T, U or X of the Federal Reserve Board.</w:t>
      </w:r>
    </w:p>
    <w:p>
      <w:pPr>
        <w:spacing w:after="0" w:line="171"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4.15 Subsidiaries. </w:t>
      </w:r>
      <w:r>
        <w:rPr>
          <w:rFonts w:ascii="Times New Roman" w:cs="Times New Roman" w:eastAsia="Times New Roman" w:hAnsi="Times New Roman"/>
          <w:sz w:val="21"/>
          <w:szCs w:val="21"/>
          <w:b w:val="1"/>
          <w:bCs w:val="1"/>
          <w:u w:val="single" w:color="auto"/>
          <w:color w:val="auto"/>
        </w:rPr>
        <w:t>Schedule 4.15</w:t>
      </w:r>
      <w:r>
        <w:rPr>
          <w:rFonts w:ascii="Times New Roman" w:cs="Times New Roman" w:eastAsia="Times New Roman" w:hAnsi="Times New Roman"/>
          <w:sz w:val="21"/>
          <w:szCs w:val="21"/>
          <w:b w:val="1"/>
          <w:bCs w:val="1"/>
          <w:color w:val="auto"/>
        </w:rPr>
        <w:t xml:space="preserve"> of the Disclosure Letter sets forth (a) the name and jurisdiction of incorporation, organization or formation of Borrower and each of its Subsidiaries and (b) the ownership interest of Borrower and any other Credit Party in each of their respective Subsidiaries, including the percentage of such ownership.</w:t>
      </w:r>
    </w:p>
    <w:p>
      <w:pPr>
        <w:spacing w:after="0" w:line="15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4.16 Employee Matters. Neither Borrower nor any of its Subsidiaries is engaged in any unfair labor practice that could, either individually or in the aggregate, reasonably be expected to result in a Material Adverse Change. There are no collective bargaining agreements or other contracts, agreements, or leases (whether written or oral and whether express or implied) with any Union or work rules or practices agreed to with any Union, binding on any Credit Party with respect to any employee. There is (a) no unfair labor practice complaint pending against Borrower or any of its Subject Subsidiaries or, to the Knowledge of the Credit Parties, threatened in writing against any of them before the National Labor Relations Board, and no grievance or arbitration proceeding arising out of or under any collective bargaining agreement that is pending against Borrower or any of its Subject Subsidiaries or, to the Knowledge of the Credit Parties, threatened in writing against any of them, (b) no strike or work stoppage in existence or, to the Knowledge of the Credit Parties, threatened in writing involving Borrower or any of its Subject Subsidiaries, and (c) to the Knowledge of the Credit Parties, there is no union representation question existing with respect to the employees of Borrower or any of its Subject Subsidiaries and, to the Knowledge of the Credit Parties, no union organization activity that is taking place that in each case specified in any of </w:t>
      </w:r>
      <w:r>
        <w:rPr>
          <w:rFonts w:ascii="Times New Roman" w:cs="Times New Roman" w:eastAsia="Times New Roman" w:hAnsi="Times New Roman"/>
          <w:sz w:val="22"/>
          <w:szCs w:val="22"/>
          <w:b w:val="1"/>
          <w:bCs w:val="1"/>
          <w:u w:val="single" w:color="auto"/>
          <w:color w:val="auto"/>
        </w:rPr>
        <w:t>clauses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b w:val="1"/>
          <w:bCs w:val="1"/>
          <w:color w:val="auto"/>
        </w:rPr>
        <w:t xml:space="preserve">, individually or together with any other matter specified in </w:t>
      </w:r>
      <w:r>
        <w:rPr>
          <w:rFonts w:ascii="Times New Roman" w:cs="Times New Roman" w:eastAsia="Times New Roman" w:hAnsi="Times New Roman"/>
          <w:sz w:val="22"/>
          <w:szCs w:val="22"/>
          <w:b w:val="1"/>
          <w:bCs w:val="1"/>
          <w:u w:val="single" w:color="auto"/>
          <w:color w:val="auto"/>
        </w:rPr>
        <w:t>clause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b w:val="1"/>
          <w:bCs w:val="1"/>
          <w:color w:val="auto"/>
        </w:rPr>
        <w:t xml:space="preserve"> or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b w:val="1"/>
          <w:bCs w:val="1"/>
          <w:color w:val="auto"/>
        </w:rPr>
        <w:t>, could reasonably be expected to result in a Material Adverse Change.</w:t>
      </w:r>
    </w:p>
    <w:p>
      <w:pPr>
        <w:spacing w:after="0" w:line="180"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b w:val="1"/>
          <w:bCs w:val="1"/>
          <w:color w:val="auto"/>
        </w:rPr>
        <w:t>4.17 Full Disclosure . None of the documents, certificates or written statements (excluding any projections and forward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looking statements, estimates, budgets and general economic or industry data of a general nature) furnished or otherwise made available to Agent and the Lenders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with respect to projected financial information, Borrower represents only that such information was prepared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5844540</wp:posOffset>
            </wp:positionH>
            <wp:positionV relativeFrom="paragraph">
              <wp:posOffset>-185420</wp:posOffset>
            </wp:positionV>
            <wp:extent cx="514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0" w:name="page131"/>
    <w:bookmarkEnd w:id="130"/>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shall be attained, that actual results may differ in a material manner from such projections, and any failure to meet such projections shall not be deemed to be a breach of any representation or covenant herein). To the Knowledge of the Credit Parties,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and the Lenders for use in connection with the transactions contemplated hereby.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4.18 FCPA; Patriot Act; OFAC.</w:t>
      </w:r>
    </w:p>
    <w:p>
      <w:pPr>
        <w:spacing w:after="0" w:line="210" w:lineRule="exact"/>
        <w:rPr>
          <w:sz w:val="20"/>
          <w:szCs w:val="20"/>
          <w:color w:val="auto"/>
        </w:rPr>
      </w:pPr>
    </w:p>
    <w:p>
      <w:pPr>
        <w:jc w:val="both"/>
        <w:ind w:firstLine="757"/>
        <w:spacing w:after="0" w:line="234"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Borrower, its Subsidiaries or any director, officer, employee, or, to the Knowledge of the Credit Parties, agent or other Person acting, directly or indirectly, on behalf of Borrower or any Subsidiary of Borrower has (i) used any corporate funds of Borrower or any of its Subsidiaries for any unlawful contribution, gift, entertainment or other unlawful expense relating to political activity, (ii) made any direct or indirect unlawful payment to any Public Official from corporate funds of Borrower or any of its Subsidiaries, (iii) violated or is in violation of any Anti-Corruption Laws of each jurisdiction (foreign or domestic) in which Borrower or any of its Subsidiaries is subject to such jurisdiction’s Requirements of Laws, or (iv) made any bribe, improper rebate, payoff, influence payment, kickback or other unlawful payment, and no part of the proceeds of any Credit Extension shall be used, directly or indirectly, for any payments to any Public Official, in order to obtain, retain or direct business or obtain any improper advantage in violation of any Anti-Corruption Laws in which Borrower or any of its Subsidiaries is subject to such jurisdiction’s Requirements of Laws;</w:t>
      </w:r>
    </w:p>
    <w:p>
      <w:pPr>
        <w:spacing w:after="0" w:line="179"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its Subsidiaries have implemented policies and procedures reasonably designed to ensure compliance with Anti-Corruption Laws.</w:t>
      </w:r>
    </w:p>
    <w:p>
      <w:pPr>
        <w:spacing w:after="0" w:line="158"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in the past five years, Borrower and its Subsidiaries have not conducted or initiated any internal investigation or made a voluntary, directed, or involuntary disclosure to any Governmental Authority (including but not limited to the U.S. Department of Justice, U.S. Securities Exchange Commission, or U.K. Securities Fraud Office) with respect to any alleged act or omission arising under or relating to any non-compliance with Anti-Corruption Laws. Neither Borrower, its Subsidiaries, nor, to the Knowledge of the Credit Parties, any Person acting directly or indirectly on their behalf has received any notice, request, or citation from any Governmental Authority for any actual or potential non-compliance with any of the foregoing of this Section.</w:t>
      </w:r>
    </w:p>
    <w:p>
      <w:pPr>
        <w:spacing w:after="0" w:line="183"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operations of Borrower and its Subsidiaries are and have been conducted at all times in compliance with applicable financial recordkeeping and reporting requirements of the Currency and Foreign Transactions Reporting Act of 1970, as amended, the Bank Secrecy Act of 1970, as amended by Title III of the Uniting and Strengthening America by Providing Appropriate Tools Required to Intercept and Obstruct Terrorism (USA PATRIOT) Act of 2001, and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rules and regulations of each jurisdiction (foreign or domestic) in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31" w:name="page132"/>
    <w:bookmarkEnd w:id="131"/>
    <w:p>
      <w:pPr>
        <w:jc w:val="both"/>
        <w:spacing w:after="0" w:line="268" w:lineRule="exact"/>
        <w:rPr>
          <w:sz w:val="20"/>
          <w:szCs w:val="20"/>
          <w:color w:val="auto"/>
        </w:rPr>
      </w:pPr>
      <w:r>
        <w:rPr>
          <w:rFonts w:ascii="Times New Roman" w:cs="Times New Roman" w:eastAsia="Times New Roman" w:hAnsi="Times New Roman"/>
          <w:sz w:val="22"/>
          <w:szCs w:val="22"/>
          <w:color w:val="auto"/>
        </w:rPr>
        <w:t>which Borrower or any of its Subsidiaries is subject to such jurisdiction’s Requirements of Law (collectively, the “</w:t>
      </w: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Money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Laundering Laws</w:t>
      </w:r>
      <w:r>
        <w:rPr>
          <w:rFonts w:ascii="Times New Roman" w:cs="Times New Roman" w:eastAsia="Times New Roman" w:hAnsi="Times New Roman"/>
          <w:sz w:val="22"/>
          <w:szCs w:val="22"/>
          <w:color w:val="auto"/>
        </w:rPr>
        <w:t>”) and (ii) no action, suit or proceeding by or before any Governmental Authority or any arbitrator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Borrower or any of its Subsidiaries with respect to the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is pending or, to the knowledge of Borrower, threatened in writing.</w:t>
      </w:r>
    </w:p>
    <w:p>
      <w:pPr>
        <w:spacing w:after="0" w:line="179" w:lineRule="exact"/>
        <w:rPr>
          <w:sz w:val="20"/>
          <w:szCs w:val="20"/>
          <w:color w:val="auto"/>
        </w:rPr>
      </w:pPr>
    </w:p>
    <w:p>
      <w:pPr>
        <w:jc w:val="both"/>
        <w:ind w:firstLine="757"/>
        <w:spacing w:after="0" w:line="234" w:lineRule="auto"/>
        <w:tabs>
          <w:tab w:leader="none" w:pos="118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Borrower, its Subsidiaries or, any director, officer, or, to the Knowledge of the Credit Parties, agent or employee of Borrower or any Subsidiary of Borrower is a Sanctioned Person. Borrower, its Subsidiaries and their respective directors, officers, employees, and, to the Knowledge of the Credit Parties, agents that act in any capacity in connection with the Credit Facilities established hereby, are in compliance with applicable Sanctions. Borrower will maintain in effect and enforce policies and procedures reasonably designed to ensure compliance by the Borrower, its Subsidiaries and their respective directors, officers, employees and agents with applicable Sanctions. Borrower will not, directly or, to the Knowledge of the Credit Parties, indirectly, use the proceeds of the Credit Extension, or lend, contribute or otherwise make available such proceeds to any Subsidiary, joint venture partner or other Person, for the purpose of funding, financing or facilitating any activities, business or transaction of or with any Sanctioned Person, or in any Sanctioned Country, or in any manner that would result in the violation of any Sanctions applicable to any party hereto.</w:t>
      </w:r>
    </w:p>
    <w:p>
      <w:pPr>
        <w:spacing w:after="0" w:line="179"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 information included in the Beneficial Ownership Certification is true and correct.</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4.19 Health Care Matters.</w:t>
      </w:r>
    </w:p>
    <w:p>
      <w:pPr>
        <w:spacing w:after="0" w:line="210" w:lineRule="exact"/>
        <w:rPr>
          <w:sz w:val="20"/>
          <w:szCs w:val="20"/>
          <w:color w:val="auto"/>
        </w:rPr>
      </w:pPr>
    </w:p>
    <w:p>
      <w:pPr>
        <w:jc w:val="both"/>
        <w:ind w:firstLine="757"/>
        <w:spacing w:after="0" w:line="233" w:lineRule="auto"/>
        <w:tabs>
          <w:tab w:leader="none" w:pos="120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Health Care Laws</w:t>
      </w:r>
      <w:r>
        <w:rPr>
          <w:rFonts w:ascii="Times New Roman" w:cs="Times New Roman" w:eastAsia="Times New Roman" w:hAnsi="Times New Roman"/>
          <w:sz w:val="22"/>
          <w:szCs w:val="22"/>
          <w:color w:val="auto"/>
        </w:rPr>
        <w:t>. Each Credit Party and, to the Knowledge of the Credit Parties, each of its Subsidiaries and each officer, Affiliate, and employee acting on behalf of such Credit Party or any of its Subsidiaries, is, and for the three (3) years prior to the Closing Date, has been, in compliance in all material respects with all Health Care Laws, including Requirements of Law applicable to the development, testing, manufacture, distribution, storage, import, export, advertising, labeling, promotion and commercialization of any Product in the Territory. No Credit Party has had any Product development or manufacturing site (whether Credit Party-owned or that of a contract manufacturer for the Products) subject to a Governmental Authority (including the FDA) shutdown or import or export prohibition, nor received any warning letters, untitled letters, requests or requirements to make changes to the Products or any processes or operations with respect to the Products, or other correspondence or written notice from the FDA or other Governmental Authority alleging or asserting material noncompliance with any applicable Health Care Laws. To the Knowledge of the Credit Parties, neither the FDA nor any other Governmental Authority has threatened such action.</w:t>
      </w:r>
    </w:p>
    <w:p>
      <w:pPr>
        <w:spacing w:after="0" w:line="18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Approvals</w:t>
      </w:r>
      <w:r>
        <w:rPr>
          <w:rFonts w:ascii="Times New Roman" w:cs="Times New Roman" w:eastAsia="Times New Roman" w:hAnsi="Times New Roman"/>
          <w:sz w:val="22"/>
          <w:szCs w:val="22"/>
          <w:color w:val="auto"/>
        </w:rPr>
        <w:t>. Each Credit Party and each Subsidiary involved in any development, testing, manufacture, distribution, storage, import, export, advertising, labeling, promotion and commercialization of any Product in the Territory has all Regulatory Approvals material to its business and operations as currently conducted. As of the Closing Date, except as would not reasonably be expected to result in a Material Adverse Change, each Credit Party and its Subsidiaries has filed or maintained with the applicable Governmental Authorities all notices, documents, listings, supplemental applications or notifications, reports, submissions, and other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32" w:name="page133"/>
    <w:bookmarkEnd w:id="132"/>
    <w:p>
      <w:pPr>
        <w:jc w:val="both"/>
        <w:spacing w:after="0" w:line="238" w:lineRule="auto"/>
        <w:rPr>
          <w:sz w:val="20"/>
          <w:szCs w:val="20"/>
          <w:color w:val="auto"/>
        </w:rPr>
      </w:pPr>
      <w:r>
        <w:rPr>
          <w:rFonts w:ascii="Times New Roman" w:cs="Times New Roman" w:eastAsia="Times New Roman" w:hAnsi="Times New Roman"/>
          <w:sz w:val="22"/>
          <w:szCs w:val="22"/>
          <w:color w:val="auto"/>
        </w:rPr>
        <w:t>filings required under the Health Care Laws and Regulatory Approvals, including annual reports, adverse event reports, advertising and promotional material submissions, and clinicaltrials.gov registrations and reports, and, except as would not reasonably be expected to result in a Material Adverse Change, each such filing was true, complete and correct as of the date of submission, and each Credit Party and its Subsidiaries has submitted any necessary or required updates, changes, corrections, amendments, supplements or modifications to such filings.</w:t>
      </w:r>
    </w:p>
    <w:p>
      <w:pPr>
        <w:spacing w:after="0" w:line="177" w:lineRule="exact"/>
        <w:rPr>
          <w:sz w:val="20"/>
          <w:szCs w:val="20"/>
          <w:color w:val="auto"/>
        </w:rPr>
      </w:pPr>
    </w:p>
    <w:p>
      <w:pPr>
        <w:jc w:val="both"/>
        <w:ind w:firstLine="757"/>
        <w:spacing w:after="0" w:line="235"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Preclinical and Clinical Development</w:t>
      </w:r>
      <w:r>
        <w:rPr>
          <w:rFonts w:ascii="Times New Roman" w:cs="Times New Roman" w:eastAsia="Times New Roman" w:hAnsi="Times New Roman"/>
          <w:sz w:val="22"/>
          <w:szCs w:val="22"/>
          <w:color w:val="auto"/>
        </w:rPr>
        <w:t>. All preclinical and clinical studies of any Products conducted by or on behalf of any Credit Party or Subsidiary thereof or sponsored by such Credit Party or Subsidiary were, and if still pending, are being conducted in material compliance with all applicable Health Care Laws, including without limitation, 21 C.F.R. Parts 11, 50, 54, 56, 58, and 312, except as would not reasonably be expected to have a Material Adverse Change. No Credit Party nor any Subsidiary has received any written notices from the FDA or other Governmental Authority or from any institutional review board or comparable authority requiring the termination, suspension, material modification, or clinical hold of, or alleging material noncompliance with, any Health Care Laws related to, any clinical studies with respect to any Products.</w:t>
      </w:r>
    </w:p>
    <w:p>
      <w:pPr>
        <w:spacing w:after="0" w:line="18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Regulatory Action Obligations</w:t>
      </w:r>
      <w:r>
        <w:rPr>
          <w:rFonts w:ascii="Times New Roman" w:cs="Times New Roman" w:eastAsia="Times New Roman" w:hAnsi="Times New Roman"/>
          <w:sz w:val="22"/>
          <w:szCs w:val="22"/>
          <w:color w:val="auto"/>
        </w:rPr>
        <w:t>. No Credit Party or any Subsidiary is subject to any material obligation arising under a Regulatory Action, and no such obligation has been threatened in writing. There is no material Regulatory Action or other proceeding or request for information pending against any Credit Party or any Subsidiary or, to the Knowledge of each Credit Party, an officer, director, or employee of any Credit Party or any Subsidiary, and no Credit Party or any Subsidiary has any material liability (whether actual or contingent) for failure to comply with any Health Care Laws.</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Safety Notices</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Schedule 4.19</w:t>
      </w:r>
      <w:r>
        <w:rPr>
          <w:rFonts w:ascii="Times New Roman" w:cs="Times New Roman" w:eastAsia="Times New Roman" w:hAnsi="Times New Roman"/>
          <w:sz w:val="22"/>
          <w:szCs w:val="22"/>
          <w:color w:val="auto"/>
        </w:rPr>
        <w:t xml:space="preserve"> of the Disclosure Letter, within the three (3) years prior to the Closing Date, there have been no recalls, withdrawals, removals, field alerts, “dear doctor” letters, investigator notices, or safety alerts relating to an alleged lack of safety, efficacy, or regulatory compliance of any Products (collectively, “</w:t>
      </w:r>
      <w:r>
        <w:rPr>
          <w:rFonts w:ascii="Times New Roman" w:cs="Times New Roman" w:eastAsia="Times New Roman" w:hAnsi="Times New Roman"/>
          <w:sz w:val="22"/>
          <w:szCs w:val="22"/>
          <w:b w:val="1"/>
          <w:bCs w:val="1"/>
          <w:color w:val="auto"/>
        </w:rPr>
        <w:t>Safety Notices</w:t>
      </w:r>
      <w:r>
        <w:rPr>
          <w:rFonts w:ascii="Times New Roman" w:cs="Times New Roman" w:eastAsia="Times New Roman" w:hAnsi="Times New Roman"/>
          <w:sz w:val="22"/>
          <w:szCs w:val="22"/>
          <w:color w:val="auto"/>
        </w:rPr>
        <w:t>”) except for any such Safety Notice that has not and would not, whether individually or in the aggregate, reasonably be expected to have a Material Adverse Change. To the Knowledge of each Credit Party, there are no facts that would be reasonably likely to result in (A) a Safety Notice with respect to any Product, (B) a change in the labeling of any Product; or (C) a termination or suspension of marketing of any Product due to safety or efficacy reasons, which, in each case of (A), (B), or (C), would reasonably be expected to have a Material Adverse Change.</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6"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Material Statements</w:t>
      </w:r>
      <w:r>
        <w:rPr>
          <w:rFonts w:ascii="Times New Roman" w:cs="Times New Roman" w:eastAsia="Times New Roman" w:hAnsi="Times New Roman"/>
          <w:sz w:val="22"/>
          <w:szCs w:val="22"/>
          <w:color w:val="auto"/>
        </w:rPr>
        <w:t>. Within the three (3) prior to the Closing Date, neither any Credit Party, nor, to the Knowledge of the Credit Parties, any Subsidiary or any officer, Affiliate or employee of any Credit Party or Subsidiary in its capacity as a Subsidiary or as an officer, Affiliate or employee of a Credit Party or Subsidiary (as applicable), nor, to the Knowledge of the Credit Parties, any agent of any Credit Party or Subsidiary, (i) has made an untrue statement of a material fact or a fraudulent statement to any Governmental Authority, (ii) has failed to disclose a material fact to any Governmental Authority, or (iii) has otherwise committed an act, made a statement or failed to make a statement that, at the time such statement or disclosure was made (or,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3" w:name="page134"/>
    <w:bookmarkEnd w:id="133"/>
    <w:p>
      <w:pPr>
        <w:spacing w:after="0" w:line="258" w:lineRule="auto"/>
        <w:rPr>
          <w:sz w:val="20"/>
          <w:szCs w:val="20"/>
          <w:color w:val="auto"/>
        </w:rPr>
      </w:pPr>
      <w:r>
        <w:rPr>
          <w:rFonts w:ascii="Times New Roman" w:cs="Times New Roman" w:eastAsia="Times New Roman" w:hAnsi="Times New Roman"/>
          <w:sz w:val="22"/>
          <w:szCs w:val="22"/>
          <w:color w:val="auto"/>
        </w:rPr>
        <w:t>in the case of such failure, should have been made) or such act was committed, would reasonably be expected to constitute a material violation of any Health Care Law.</w:t>
      </w:r>
    </w:p>
    <w:p>
      <w:pPr>
        <w:spacing w:after="0" w:line="158" w:lineRule="exact"/>
        <w:rPr>
          <w:sz w:val="20"/>
          <w:szCs w:val="20"/>
          <w:color w:val="auto"/>
        </w:rPr>
      </w:pPr>
    </w:p>
    <w:p>
      <w:pPr>
        <w:jc w:val="both"/>
        <w:ind w:firstLine="757"/>
        <w:spacing w:after="0" w:line="236" w:lineRule="auto"/>
        <w:tabs>
          <w:tab w:leader="none" w:pos="1194"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Audits</w:t>
      </w:r>
      <w:r>
        <w:rPr>
          <w:rFonts w:ascii="Times New Roman" w:cs="Times New Roman" w:eastAsia="Times New Roman" w:hAnsi="Times New Roman"/>
          <w:sz w:val="22"/>
          <w:szCs w:val="22"/>
          <w:color w:val="auto"/>
        </w:rPr>
        <w:t>. There is no, and for the three (3) years prior to the Closing Date, has not been any, material investigation, suit, claim, audit, action (legal or regulatory) or proceeding (legal or regulatory) by a Governmental Authority pending or, to the Knowledge of the Credit Parties, threatened in writing against any Credit Party or any of its Subsidiaries relating to any of the Health Care Laws. To the Knowledge of the Credit Parties, there are no facts, circumstances or conditions which would reasonably be expected to form the basis for any such material investigation, suit, claim, audit, action or proceeding, except as has been disclosed in the Exchange Act Documents.</w:t>
      </w:r>
    </w:p>
    <w:p>
      <w:pPr>
        <w:spacing w:after="0" w:line="181" w:lineRule="exact"/>
        <w:rPr>
          <w:rFonts w:ascii="Times New Roman" w:cs="Times New Roman" w:eastAsia="Times New Roman" w:hAnsi="Times New Roman"/>
          <w:sz w:val="22"/>
          <w:szCs w:val="22"/>
          <w:color w:val="auto"/>
        </w:rPr>
      </w:pPr>
    </w:p>
    <w:p>
      <w:pPr>
        <w:jc w:val="both"/>
        <w:ind w:firstLine="757"/>
        <w:spacing w:after="0" w:line="232" w:lineRule="auto"/>
        <w:tabs>
          <w:tab w:leader="none" w:pos="122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Prohibited Transactions</w:t>
      </w:r>
      <w:r>
        <w:rPr>
          <w:rFonts w:ascii="Times New Roman" w:cs="Times New Roman" w:eastAsia="Times New Roman" w:hAnsi="Times New Roman"/>
          <w:sz w:val="22"/>
          <w:szCs w:val="22"/>
          <w:color w:val="auto"/>
        </w:rPr>
        <w:t>. Within the three (3) years prior to the Closing Date, neither any Credit Party, any Subsidiary or, to the Knowledge of the Credit Parties, any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any Health Care Law; (iv) has established or maintained any unrecorded fund or asset for any purpose or made any materially misleading, false or artificial entries on any of its books or records for any reason in material violation of any Health Care Law; or (v) has made, or is party to any agreement to make, any payment to any Person with the intention or understanding that any part of such payment would be in material violation of any Health Care Law. To the Knowledge of the Credit Parties, there are no actions, and for the previous three (3) years have not been any, pending or threatened (in writing) against any Credit Party or any of its Subsidiaries or any of their respective Affiliates under any foreign, federal or state whistleblower statute, including under the False Claims Act of 1863 (31 U.S.C. § 3729 et seq.) or under any state or foreign equivalent.</w:t>
      </w:r>
    </w:p>
    <w:p>
      <w:pPr>
        <w:spacing w:after="0" w:line="18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Exclusion</w:t>
      </w:r>
      <w:r>
        <w:rPr>
          <w:rFonts w:ascii="Times New Roman" w:cs="Times New Roman" w:eastAsia="Times New Roman" w:hAnsi="Times New Roman"/>
          <w:sz w:val="22"/>
          <w:szCs w:val="22"/>
          <w:color w:val="auto"/>
        </w:rPr>
        <w:t>. Neither any Credit Party nor any Subsidiary, nor any of their respective officers, directors, employees or, to the Knowledge of the Credit Parties, any agents or Affiliates having authority to act on behalf of any Credit Party or any Subsidiary, is or has been or, to the Knowledge of the Credit Parties, has been threatened in writing to be: (i) “suspended” or “debarred” from selling any products to the U.S. government or its agencies pursuant to the Federal Acquisition Regulation relating to debarment and suspension applicable to federal government agencies generally (42 C.F.R. Subpart 9.4), or other U.S. Requirements of Law; (ii) debarred, disqualified, suspended or excluded from or otherwise ineligible for participation in Medicare, Medicaid or any other Government Payor Program or health care program or under 21 U.S.C. § 335a; (iii) listed on the General Services Administration list of excluded parties; or (iv) a party to any other action or proceeding by any Governmental Authority that would prohibit the applicable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4" w:name="page135"/>
    <w:bookmarkEnd w:id="134"/>
    <w:p>
      <w:pPr>
        <w:spacing w:after="0" w:line="258" w:lineRule="auto"/>
        <w:rPr>
          <w:sz w:val="20"/>
          <w:szCs w:val="20"/>
          <w:color w:val="auto"/>
        </w:rPr>
      </w:pPr>
      <w:r>
        <w:rPr>
          <w:rFonts w:ascii="Times New Roman" w:cs="Times New Roman" w:eastAsia="Times New Roman" w:hAnsi="Times New Roman"/>
          <w:sz w:val="22"/>
          <w:szCs w:val="22"/>
          <w:color w:val="auto"/>
        </w:rPr>
        <w:t>Credit Party or Subsidiary from distributing or selling any Product in the Territory or providing any services to any governmental or other purchaser pursuant to any Health Care Laws.</w:t>
      </w:r>
    </w:p>
    <w:p>
      <w:pPr>
        <w:spacing w:after="0" w:line="158" w:lineRule="exact"/>
        <w:rPr>
          <w:sz w:val="20"/>
          <w:szCs w:val="20"/>
          <w:color w:val="auto"/>
        </w:rPr>
      </w:pPr>
    </w:p>
    <w:p>
      <w:pPr>
        <w:jc w:val="both"/>
        <w:ind w:firstLine="757"/>
        <w:spacing w:after="0" w:line="264" w:lineRule="exact"/>
        <w:tabs>
          <w:tab w:leader="none" w:pos="120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HIPAA</w:t>
      </w:r>
      <w:r>
        <w:rPr>
          <w:rFonts w:ascii="Times New Roman" w:cs="Times New Roman" w:eastAsia="Times New Roman" w:hAnsi="Times New Roman"/>
          <w:sz w:val="22"/>
          <w:szCs w:val="22"/>
          <w:color w:val="auto"/>
        </w:rPr>
        <w:t>. Each Credit Party and each of its Subsidiaries, to the extent applicable, is in material compliance with HIPAA, and each Credit Party and, to the Knowledge of the Credit Parties, each of its Subsidiaries, to the extent applicable, has implemented policies, procedures and training customary in the pharmaceutical industry or otherwise adequate to assure continued compliance and to detect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compliance.</w:t>
      </w:r>
    </w:p>
    <w:p>
      <w:pPr>
        <w:spacing w:after="0" w:line="147" w:lineRule="exact"/>
        <w:rPr>
          <w:rFonts w:ascii="Times New Roman" w:cs="Times New Roman" w:eastAsia="Times New Roman" w:hAnsi="Times New Roman"/>
          <w:sz w:val="22"/>
          <w:szCs w:val="22"/>
          <w:color w:val="auto"/>
        </w:rPr>
      </w:pPr>
    </w:p>
    <w:p>
      <w:pPr>
        <w:jc w:val="both"/>
        <w:ind w:firstLine="757"/>
        <w:spacing w:after="0" w:line="236" w:lineRule="auto"/>
        <w:tabs>
          <w:tab w:leader="none" w:pos="119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Integrity Agreement</w:t>
      </w:r>
      <w:r>
        <w:rPr>
          <w:rFonts w:ascii="Times New Roman" w:cs="Times New Roman" w:eastAsia="Times New Roman" w:hAnsi="Times New Roman"/>
          <w:sz w:val="22"/>
          <w:szCs w:val="22"/>
          <w:color w:val="auto"/>
        </w:rPr>
        <w:t>. Neither any Credit Party or Subsidiary, nor any of their respective Affiliates, nor any officer, director, managing employee or, to the Knowledge of the Credit Parties, agent (as those terms are defined in 42 C.F.R. § 1001.1001) of any Credit Party or Subsidiary, is a party to or has any ongoing reporting, disclosure or compliance obligations pursuant to or under or is otherwise subject to any order, individual integrity agreement, deferred prosecution agreement, monitoring agreement, consent decree, settlement agreement, corporate integrity agreement or any other order or similar agreement with or imposed by any U.S. Governmental Authority.</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4.20 IT Assets and Data Privacy.</w:t>
      </w:r>
    </w:p>
    <w:p>
      <w:pPr>
        <w:spacing w:after="0" w:line="210" w:lineRule="exact"/>
        <w:rPr>
          <w:sz w:val="20"/>
          <w:szCs w:val="20"/>
          <w:color w:val="auto"/>
        </w:rPr>
      </w:pPr>
    </w:p>
    <w:p>
      <w:pPr>
        <w:jc w:val="both"/>
        <w:ind w:firstLine="757"/>
        <w:spacing w:after="0" w:line="244" w:lineRule="auto"/>
        <w:tabs>
          <w:tab w:leader="none" w:pos="118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IT Assets owned or controlled and used by Credit Parties or any Subsidiary in the operation of the business as currently conducted (the “</w:t>
      </w:r>
      <w:r>
        <w:rPr>
          <w:rFonts w:ascii="Times New Roman" w:cs="Times New Roman" w:eastAsia="Times New Roman" w:hAnsi="Times New Roman"/>
          <w:sz w:val="22"/>
          <w:szCs w:val="22"/>
          <w:b w:val="1"/>
          <w:bCs w:val="1"/>
          <w:color w:val="auto"/>
        </w:rPr>
        <w:t>Business IT Assets</w:t>
      </w:r>
      <w:r>
        <w:rPr>
          <w:rFonts w:ascii="Times New Roman" w:cs="Times New Roman" w:eastAsia="Times New Roman" w:hAnsi="Times New Roman"/>
          <w:sz w:val="22"/>
          <w:szCs w:val="22"/>
          <w:color w:val="auto"/>
        </w:rPr>
        <w:t>”) are reasonably sufficient for the current needs of the business of the Credit Parties and any Subsidiary in all material respects.</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past three (3) years, there has been no unauthorized access to or unauthorized use of any (i) Business IT Assets, or (ii) any Personal Data or confidential information that is in the Credit Parties’ or any Subsidiary’s possession or control or to the Knowledge of the Credit Parties processed on behalf of such Credit Party, in each case of (i) and (ii), in a manner that, individually or in the aggregate, has resulted in or is reasonably likely to result in a Material Adverse Change.</w:t>
      </w:r>
    </w:p>
    <w:p>
      <w:pPr>
        <w:spacing w:after="0" w:line="180"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Except as could not reasonably be likely to result in a Material Adverse Change, the Credit Parties and any Subsidiary have, and have required third parties processing Personal Data for and on behalf of any Credit Party (“</w:t>
      </w:r>
      <w:r>
        <w:rPr>
          <w:rFonts w:ascii="Times New Roman" w:cs="Times New Roman" w:eastAsia="Times New Roman" w:hAnsi="Times New Roman"/>
          <w:sz w:val="21"/>
          <w:szCs w:val="21"/>
          <w:b w:val="1"/>
          <w:bCs w:val="1"/>
          <w:i w:val="1"/>
          <w:iCs w:val="1"/>
          <w:color w:val="auto"/>
        </w:rPr>
        <w:t>Data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Partners</w:t>
      </w:r>
      <w:r>
        <w:rPr>
          <w:rFonts w:ascii="Times New Roman" w:cs="Times New Roman" w:eastAsia="Times New Roman" w:hAnsi="Times New Roman"/>
          <w:sz w:val="21"/>
          <w:szCs w:val="21"/>
          <w:color w:val="auto"/>
        </w:rPr>
        <w:t>”) to have, taken commercially reasonable measures, as applicable, to (A) protect the confidentiality, integrity, and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security of the Business IT Assets (and all material information stored or contained therein, including Personal Data) from any accidental or unauthorized intrusion, loss, breach, use, access, disclosure, interruption, destruction or modification by any Person,</w:t>
      </w:r>
    </w:p>
    <w:p>
      <w:pPr>
        <w:spacing w:after="0" w:line="1" w:lineRule="exact"/>
        <w:rPr>
          <w:rFonts w:ascii="Times New Roman" w:cs="Times New Roman" w:eastAsia="Times New Roman" w:hAnsi="Times New Roman"/>
          <w:sz w:val="21"/>
          <w:szCs w:val="21"/>
          <w:color w:val="auto"/>
        </w:rPr>
      </w:pPr>
    </w:p>
    <w:p>
      <w:pPr>
        <w:jc w:val="both"/>
        <w:ind w:firstLine="8"/>
        <w:spacing w:after="0" w:line="235" w:lineRule="auto"/>
        <w:tabs>
          <w:tab w:leader="none" w:pos="35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functionality and operation of all Business IT Assets, and (C) prevent the introduction of any Malicious Code into such Business IT Assets, and (ii) to the Knowledge of the Credit Parties, the Business IT Assets do not contain any Malicious Code.</w:t>
      </w:r>
    </w:p>
    <w:p>
      <w:pPr>
        <w:spacing w:after="0" w:line="177"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be material to the Credit Parties, the Credit Parties and any Subsidiary (i) have commercially reasonable policies and measures in place that are in compliance in all material respects with all (A) applicable Information Privacy or Security Laws and (B) applicable Credit Parties’ published policies, published notices, written statements and contractual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5" w:name="page136"/>
    <w:bookmarkEnd w:id="135"/>
    <w:p>
      <w:pPr>
        <w:jc w:val="both"/>
        <w:spacing w:after="0" w:line="235" w:lineRule="auto"/>
        <w:rPr>
          <w:sz w:val="20"/>
          <w:szCs w:val="20"/>
          <w:color w:val="auto"/>
        </w:rPr>
      </w:pPr>
      <w:r>
        <w:rPr>
          <w:rFonts w:ascii="Times New Roman" w:cs="Times New Roman" w:eastAsia="Times New Roman" w:hAnsi="Times New Roman"/>
          <w:sz w:val="22"/>
          <w:szCs w:val="22"/>
          <w:color w:val="auto"/>
        </w:rPr>
        <w:t>commitments, in each case ((A) and (B)) governing the Credit Parties and any Subsidiary’s protection, collection, use, access, storage, maintenance, processing, transmission, distribution, transfer (including cross-border transfer) or disclosure of Personal Data, (ii) and to the Knowledge of the Credit Parties their Data Partners, are and have been for the past three (3) years in compliance with applicable Information Privacy or Security Laws, and (iii) have not received any written notice, inquiry, investigation or proceeding, and are not and have not for the past three (3) years been subject to any written claim, and, to the Knowledge of the Credit Parties, no such notice inquiry, investigation or proceeding or claim is or has been threatened, regarding the Credit Parties and any Subsidiary’s protection, collection, use, access, storage, maintenance, processing, transmission, distribution, transfer (including cross-border transfer) or disclosure of Personal Data.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4.21 Additional Representations and Warranties.</w:t>
      </w:r>
    </w:p>
    <w:p>
      <w:pPr>
        <w:spacing w:after="0" w:line="210" w:lineRule="exact"/>
        <w:rPr>
          <w:sz w:val="20"/>
          <w:szCs w:val="20"/>
          <w:color w:val="auto"/>
        </w:rPr>
      </w:pPr>
    </w:p>
    <w:p>
      <w:pPr>
        <w:ind w:firstLine="757"/>
        <w:spacing w:after="0" w:line="258" w:lineRule="auto"/>
        <w:tabs>
          <w:tab w:leader="none" w:pos="118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Closing Date, there is no Indebtedness other than Permitted Indebtedness described in clauses (a), (b), (e), (h), (m), (o), (p) and (q) of the definition of “Permitted Indebtedness”.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Hedging Agreements as of the Closing Date.</w:t>
      </w:r>
    </w:p>
    <w:p>
      <w:pPr>
        <w:spacing w:after="0" w:line="202" w:lineRule="exact"/>
        <w:rPr>
          <w:rFonts w:ascii="Times New Roman" w:cs="Times New Roman" w:eastAsia="Times New Roman" w:hAnsi="Times New Roman"/>
          <w:sz w:val="22"/>
          <w:szCs w:val="22"/>
          <w:color w:val="auto"/>
        </w:rPr>
      </w:pPr>
    </w:p>
    <w:p>
      <w:pPr>
        <w:ind w:left="440" w:hanging="432"/>
        <w:spacing w:after="0"/>
        <w:tabs>
          <w:tab w:leader="none" w:pos="44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AFFIRMATIVE COVENANTS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Credit Party covenants and agrees that, until payment in full of all Obligations in cash in immediately available funds (other than inchoate indemnity obligations in respect of which no claim has been asserted), each Credit Party shall, and shall cause each of its Subsidiaries to:</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5.1 Maintenance of Existence . (a) Preserve, renew and maintain in full force and effect its and all its Subsidiaries’ legal existence under the Requirements of Law in their respective jurisdictions of organization, incorporation or formation; (b) maintain all rights, privileges (including its good standing), permits, licenses and franchises necessary or desirable for it and all of its Subsidiaries in the ordinary course of its business, except in the case of </w:t>
      </w:r>
      <w:r>
        <w:rPr>
          <w:rFonts w:ascii="Times New Roman" w:cs="Times New Roman" w:eastAsia="Times New Roman" w:hAnsi="Times New Roman"/>
          <w:sz w:val="22"/>
          <w:szCs w:val="22"/>
          <w:b w:val="1"/>
          <w:bCs w:val="1"/>
          <w:u w:val="single" w:color="auto"/>
          <w:color w:val="auto"/>
        </w:rPr>
        <w:t>clause (a)</w:t>
      </w:r>
      <w:r>
        <w:rPr>
          <w:rFonts w:ascii="Times New Roman" w:cs="Times New Roman" w:eastAsia="Times New Roman" w:hAnsi="Times New Roman"/>
          <w:sz w:val="22"/>
          <w:szCs w:val="22"/>
          <w:b w:val="1"/>
          <w:bCs w:val="1"/>
          <w:color w:val="auto"/>
        </w:rPr>
        <w:t xml:space="preserve"> (other than with respect to Borrower) and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b w:val="1"/>
          <w:bCs w:val="1"/>
          <w:color w:val="auto"/>
        </w:rPr>
        <w:t xml:space="preserve"> above, (i) to the extent that failure to do so could not reasonably be expected to result in a Material Adverse Change or (ii) pursuant to a transaction permitted by this Agreement; (c) comply with all Requirements of Law of any Governmental Authority to which it is subject, including, obtaining any and all licenses, permits, franchise and other governmental and regulatory authorizations necessary to the ownership of its properties or the conduct of its business; and (d) perform and observe all the material terms and provisions of each Material Contract to be performed or observed by it, except in the case of </w:t>
      </w:r>
      <w:r>
        <w:rPr>
          <w:rFonts w:ascii="Times New Roman" w:cs="Times New Roman" w:eastAsia="Times New Roman" w:hAnsi="Times New Roman"/>
          <w:sz w:val="22"/>
          <w:szCs w:val="22"/>
          <w:b w:val="1"/>
          <w:bCs w:val="1"/>
          <w:u w:val="single" w:color="auto"/>
          <w:color w:val="auto"/>
        </w:rPr>
        <w:t>clause (c)</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clause (d)</w:t>
      </w:r>
      <w:r>
        <w:rPr>
          <w:rFonts w:ascii="Times New Roman" w:cs="Times New Roman" w:eastAsia="Times New Roman" w:hAnsi="Times New Roman"/>
          <w:sz w:val="22"/>
          <w:szCs w:val="22"/>
          <w:b w:val="1"/>
          <w:bCs w:val="1"/>
          <w:color w:val="auto"/>
        </w:rPr>
        <w:t>, where the failure to do so could not reasonably be expected to result, individually or in the aggregate, in a Material Adverse Change.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5.2  Financial Statements, Notices. Deliver to the Blackstone Representative and Agent, for distribution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182" w:lineRule="exact"/>
        <w:rPr>
          <w:sz w:val="20"/>
          <w:szCs w:val="20"/>
          <w:color w:val="auto"/>
        </w:rPr>
      </w:pPr>
    </w:p>
    <w:p>
      <w:pPr>
        <w:ind w:left="1180" w:hanging="423"/>
        <w:spacing w:after="0"/>
        <w:tabs>
          <w:tab w:leader="none" w:pos="118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Financial Statements</w:t>
      </w:r>
      <w:r>
        <w:rPr>
          <w:rFonts w:ascii="Times New Roman" w:cs="Times New Roman" w:eastAsia="Times New Roman" w:hAnsi="Times New Roman"/>
          <w:sz w:val="22"/>
          <w:szCs w:val="22"/>
          <w:color w:val="auto"/>
        </w:rPr>
        <w:t>. As soon as available, but in any event within ninety (90) days after the end of each fiscal year of Borrower, beginning with the fiscal year ending December 31, 2025, a consolidated balance sheet of Borrower and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6" w:name="page137"/>
    <w:bookmarkEnd w:id="136"/>
    <w:p>
      <w:pPr>
        <w:jc w:val="both"/>
        <w:ind w:left="760"/>
        <w:spacing w:after="0" w:line="247" w:lineRule="exact"/>
        <w:rPr>
          <w:sz w:val="20"/>
          <w:szCs w:val="20"/>
          <w:color w:val="auto"/>
        </w:rPr>
      </w:pPr>
      <w:r>
        <w:rPr>
          <w:rFonts w:ascii="Times New Roman" w:cs="Times New Roman" w:eastAsia="Times New Roman" w:hAnsi="Times New Roman"/>
          <w:sz w:val="21"/>
          <w:szCs w:val="21"/>
          <w:color w:val="auto"/>
        </w:rPr>
        <w:t>Subsidiaries as of the end of such fiscal year, and the related consolidated statements of income, cash flows and stockholders’ equity for such fiscal year, setting forth in each case in comparative form the figures for the previous fiscal year, all prepared in all material respects in accordance with GAAP with such consolidated financial statements to be audited and accompanied by (x) a report and opinion of Borrower’s independent certified public accounting firm of recognized national standing reasonably acceptable to the Blackstone Representative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Deloitte &amp; Touche LLP and any of the other “big four” accounting firms are acceptable and acknowledged as being acceptable by the Blackstone Representative) (which report and opinion shall be prepared in accordance with GAAP and shall not be subject to any qualification as to “going concern” or scope of audit, except for any “going concern” qualification resulting from the upcoming maturity of the Term Loans occurring with eighteen months from the date of such opinion or anticipated breach of a financial covenant under this Agreement), stating that such financial statements fairly present, in all material respects, the consolidated financial condition, results of operations and cash flows of Borrower and its Subsidiaries as of the dates and for the periods specified in accordance with GAAP, and (y) if and only if Borrower is required to comply with the internal control provisions pursuant to Section 404 of the Sarbanes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Oxley Act of 2002 requiring an attestation report of such independent certified public accounting firm, an attestation report of such independent certified public accounting firm as to Borrower’s internal controls pursuant to Section 404 of the Sarbanes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Oxley Act of 2002 attesting to management’s assessment that such internal controls meet the requirements of the Sarbanes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Oxley Act of 2002;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Borrower shall be deemed to have made such delivery of such consolidated financial statements if such consolidated financial statements shall have been made available within the time period specified above on the SEC’s EDGAR system (or any successor system adopted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-332740</wp:posOffset>
            </wp:positionV>
            <wp:extent cx="3429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0" w:lineRule="exact"/>
        <w:rPr>
          <w:sz w:val="20"/>
          <w:szCs w:val="20"/>
          <w:color w:val="auto"/>
        </w:rPr>
      </w:pPr>
    </w:p>
    <w:p>
      <w:pPr>
        <w:jc w:val="both"/>
        <w:ind w:left="760" w:firstLine="745"/>
        <w:spacing w:after="0" w:line="250" w:lineRule="exact"/>
        <w:tabs>
          <w:tab w:leader="none" w:pos="1941"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Quarterly Financial Statements</w:t>
      </w:r>
      <w:r>
        <w:rPr>
          <w:rFonts w:ascii="Times New Roman" w:cs="Times New Roman" w:eastAsia="Times New Roman" w:hAnsi="Times New Roman"/>
          <w:sz w:val="21"/>
          <w:szCs w:val="21"/>
          <w:color w:val="auto"/>
        </w:rPr>
        <w:t>. As soon as available, but in any event within forty-five (45) days after the end of each of the first three (3) fiscal quarters of each fiscal year of Borrower, beginning with the first fiscal quarter ending after the Closing Date,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elapsed portion of Borrower’s fiscal year, setting forth in each case in comparative form the figures for the comparable period or periods in the previous fiscal year, all prepared in all material respects in accordance with GAAP, subject to normal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end audit adjustments and the absence of disclosures normally made in footnotes;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w:t>
      </w:r>
      <w:r>
        <w:rPr>
          <w:rFonts w:ascii="Times New Roman" w:cs="Times New Roman" w:eastAsia="Times New Roman" w:hAnsi="Times New Roman"/>
          <w:sz w:val="21"/>
          <w:szCs w:val="21"/>
          <w:u w:val="single" w:color="auto"/>
          <w:color w:val="auto"/>
        </w:rPr>
        <w:t>Section 5.2(a)(i)</w:t>
      </w:r>
      <w:r>
        <w:rPr>
          <w:rFonts w:ascii="Times New Roman" w:cs="Times New Roman" w:eastAsia="Times New Roman" w:hAnsi="Times New Roman"/>
          <w:sz w:val="21"/>
          <w:szCs w:val="21"/>
          <w:color w:val="auto"/>
        </w:rPr>
        <w:t>, subject to normal year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end audit adjustments and the absence of footnotes;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4516755</wp:posOffset>
            </wp:positionH>
            <wp:positionV relativeFrom="paragraph">
              <wp:posOffset>-1132840</wp:posOffset>
            </wp:positionV>
            <wp:extent cx="514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7" w:name="page138"/>
    <w:bookmarkEnd w:id="137"/>
    <w:p>
      <w:pPr>
        <w:jc w:val="both"/>
        <w:ind w:left="760" w:firstLine="745"/>
        <w:spacing w:after="0" w:line="249" w:lineRule="exact"/>
        <w:tabs>
          <w:tab w:leader="none" w:pos="1954" w:val="left"/>
        </w:tabs>
        <w:numPr>
          <w:ilvl w:val="2"/>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 Other Information</w:t>
      </w:r>
      <w:r>
        <w:rPr>
          <w:rFonts w:ascii="Times New Roman" w:cs="Times New Roman" w:eastAsia="Times New Roman" w:hAnsi="Times New Roman"/>
          <w:sz w:val="21"/>
          <w:szCs w:val="21"/>
          <w:color w:val="auto"/>
        </w:rPr>
        <w:t xml:space="preserve">. As promptly as practicable (and in any event within fifteen (15) days of the request therefor), such additional information regarding the business or financial affairs of Borrower or any of its Subsidiaries, or compliance with the terms of this Agreement or any other Loan Documents, as Agent (at the direction of the Blackstone Representative), Blackstone Representative or any Lender may from time to time reasonably request (subject to redactions or omissions to account for conflicts of interest, confidentiality, and privilege, including requirements imposed by Requirements of Law or contract, not entered into in contemplation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Borrower shall not be obligated to disclose any information that is reasonably subject to the assertion of attorney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client privilege or attorney work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product;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in the event Borrower or any of its Subsidiaries does not provide information in reliance on the foregoing proviso or on the basis of confidentiality requirements, such Persons shall, to the extent practicable to do so, promptly provide notice to Agent and the Blackstone Representative and use commercially reasonable efforts to communicate the applicable information in a way that would not result in the loss of such privilege or comply with the applicable confidentiality requirements, as applicable.</w:t>
      </w:r>
    </w:p>
    <w:p>
      <w:pPr>
        <w:spacing w:after="0" w:line="176" w:lineRule="exact"/>
        <w:rPr>
          <w:rFonts w:ascii="Times New Roman" w:cs="Times New Roman" w:eastAsia="Times New Roman" w:hAnsi="Times New Roman"/>
          <w:sz w:val="21"/>
          <w:szCs w:val="21"/>
          <w:color w:val="auto"/>
        </w:rPr>
      </w:pPr>
    </w:p>
    <w:p>
      <w:pPr>
        <w:jc w:val="both"/>
        <w:ind w:firstLine="757"/>
        <w:spacing w:after="0" w:line="251" w:lineRule="exact"/>
        <w:tabs>
          <w:tab w:leader="none" w:pos="1181"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Budget</w:t>
      </w:r>
      <w:r>
        <w:rPr>
          <w:rFonts w:ascii="Times New Roman" w:cs="Times New Roman" w:eastAsia="Times New Roman" w:hAnsi="Times New Roman"/>
          <w:sz w:val="22"/>
          <w:szCs w:val="22"/>
          <w:color w:val="auto"/>
        </w:rPr>
        <w:t>. As soon as available, and in any event within ninety (90) days after the end of each fiscal year of Borrower, commencing with the fiscal year ending December 31, 2025, a consolidated budget for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fiscal year in form reasonably satisfactory to Agent and the Lenders (collectively, the “</w:t>
      </w:r>
      <w:r>
        <w:rPr>
          <w:rFonts w:ascii="Times New Roman" w:cs="Times New Roman" w:eastAsia="Times New Roman" w:hAnsi="Times New Roman"/>
          <w:sz w:val="22"/>
          <w:szCs w:val="22"/>
          <w:b w:val="1"/>
          <w:bCs w:val="1"/>
          <w:color w:val="auto"/>
        </w:rPr>
        <w:t>Budget</w:t>
      </w:r>
      <w:r>
        <w:rPr>
          <w:rFonts w:ascii="Times New Roman" w:cs="Times New Roman" w:eastAsia="Times New Roman" w:hAnsi="Times New Roman"/>
          <w:sz w:val="22"/>
          <w:szCs w:val="22"/>
          <w:color w:val="auto"/>
        </w:rPr>
        <w:t>”), which Budget shall be accompanied by a certificate of a Responsible Officer stating that such Budget has been prepared in good faith on the basis of the assumptions stated therein, which assumptions were believed to be reasonable at the time of preparation of such Budget, it being understood that actual results may vary from such Budget and that such variations may be material.</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Certificates</w:t>
      </w:r>
      <w:r>
        <w:rPr>
          <w:rFonts w:ascii="Times New Roman" w:cs="Times New Roman" w:eastAsia="Times New Roman" w:hAnsi="Times New Roman"/>
          <w:sz w:val="21"/>
          <w:szCs w:val="21"/>
          <w:color w:val="auto"/>
        </w:rPr>
        <w:t xml:space="preserve">. Commencing with the first fiscal quarter ending after the Closing Date, concurrently with the delivery of any financial statements pursuant to </w:t>
      </w:r>
      <w:r>
        <w:rPr>
          <w:rFonts w:ascii="Times New Roman" w:cs="Times New Roman" w:eastAsia="Times New Roman" w:hAnsi="Times New Roman"/>
          <w:sz w:val="21"/>
          <w:szCs w:val="21"/>
          <w:u w:val="single" w:color="auto"/>
          <w:color w:val="auto"/>
        </w:rPr>
        <w:t>Sections 5.2(a)(i)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 certification (the “</w:t>
      </w:r>
      <w:r>
        <w:rPr>
          <w:rFonts w:ascii="Times New Roman" w:cs="Times New Roman" w:eastAsia="Times New Roman" w:hAnsi="Times New Roman"/>
          <w:sz w:val="21"/>
          <w:szCs w:val="21"/>
          <w:b w:val="1"/>
          <w:bCs w:val="1"/>
          <w:color w:val="auto"/>
        </w:rPr>
        <w:t>Compliance Certificate</w:t>
      </w:r>
      <w:r>
        <w:rPr>
          <w:rFonts w:ascii="Times New Roman" w:cs="Times New Roman" w:eastAsia="Times New Roman" w:hAnsi="Times New Roman"/>
          <w:sz w:val="21"/>
          <w:szCs w:val="21"/>
          <w:color w:val="auto"/>
        </w:rPr>
        <w:t xml:space="preserve">”) substantially in the form of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 as to (w) the absence of a Default or an Event of Default (or to the extent a Default or Event of Default has occurred and is continuing, a description and actions taken or proposed taken with respect thereto), (x) to the extent not previously disclosed to Agent, (1) a description of any change in the jurisdiction of organization of any Credit Party, (2) a list of any registered Intellectual Property acquired or developed by any Credit Party during the applicable period, (3) a description of any Person that has become a Subsidiary, in each case since the date of the most recent Compliance Certificate delivered pursuant to this clause (i) (or, in the case of the first such report so delivered, since the Closing Date), (4) a description of any material updates to material Permits from the FDA or other Governmental Authority for the Products, (5) the entry into</w:t>
      </w:r>
    </w:p>
    <w:p>
      <w:pPr>
        <w:spacing w:after="0" w:line="1" w:lineRule="exact"/>
        <w:rPr>
          <w:rFonts w:ascii="Times New Roman" w:cs="Times New Roman" w:eastAsia="Times New Roman" w:hAnsi="Times New Roman"/>
          <w:sz w:val="21"/>
          <w:szCs w:val="21"/>
          <w:color w:val="auto"/>
        </w:rPr>
      </w:pPr>
    </w:p>
    <w:p>
      <w:pPr>
        <w:jc w:val="both"/>
        <w:ind w:firstLine="8"/>
        <w:spacing w:after="0" w:line="232" w:lineRule="auto"/>
        <w:tabs>
          <w:tab w:leader="none" w:pos="366"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new Material Contract by any Credit Party (together with a copy thereof) or (B) any new Material Contract or material amendment to an existing Material Contract that would be adverse in any material respect to the Lenders (together a copy thereof) (in both cases ((A) and (B)), the provision of copies thereof being subject to any applicable requirements of confidentiality imposed by Requirements of Law), and (6) any change to the Credit Parties’ list of Collateral Accounts since the Closing Date or the previously delivered Compliance Certificate, as applicable, (y) compliance or noncompliance with the Credit Party Minimum Coverage Requirement and (z) the calculation of Liquidity and confirmation as to whether the Credit Parties are in compliance with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8" w:name="page139"/>
    <w:bookmarkEnd w:id="138"/>
    <w:p>
      <w:pPr>
        <w:ind w:firstLine="757"/>
        <w:spacing w:after="0" w:line="258" w:lineRule="auto"/>
        <w:tabs>
          <w:tab w:leader="none" w:pos="11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Registered Organization.</w:t>
      </w:r>
      <w:r>
        <w:rPr>
          <w:rFonts w:ascii="Times New Roman" w:cs="Times New Roman" w:eastAsia="Times New Roman" w:hAnsi="Times New Roman"/>
          <w:sz w:val="22"/>
          <w:szCs w:val="22"/>
          <w:color w:val="auto"/>
        </w:rPr>
        <w:t xml:space="preserve"> If any Credit Party is not now a Registered Organization but later becomes one, it shall promptly notify Agent of such occurrence and provide Agent with such Credit Party’s organizational identification number.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94"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Defaults or Events of Default, ERISA Events, Material Adverse Changes; Breach of Material Contract; Junior Indebtedness</w:t>
      </w:r>
      <w:r>
        <w:rPr>
          <w:rFonts w:ascii="Times New Roman" w:cs="Times New Roman" w:eastAsia="Times New Roman" w:hAnsi="Times New Roman"/>
          <w:sz w:val="22"/>
          <w:szCs w:val="22"/>
          <w:color w:val="auto"/>
        </w:rPr>
        <w:t>. Written notice as promptly as practicable (and in any event within five (5) Business Days) after a Responsible Officer of Borrower or any Credit Party shall have obtained knowledge thereof, of the occurrence of any:</w:t>
      </w:r>
    </w:p>
    <w:p>
      <w:pPr>
        <w:spacing w:after="0" w:line="173"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Default or Event of Default;</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57" w:lineRule="exact"/>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ERISA Event, material commitment by a Credit Party or ERISA Affiliate to maintain or contribute to a Plan or a Multiemployer Plan, or establishment by a Credit Party or a Subsidiary thereof of an Employee Benefit Plan that provides material subsidized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termination medical or welfare benefits (other than in connection with bona fide severance or to comply with COBRA or similar state law);</w:t>
      </w:r>
    </w:p>
    <w:p>
      <w:pPr>
        <w:spacing w:after="0" w:line="176"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72" w:lineRule="exact"/>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breach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performance of, or any default under, or any termination outside of the ordinary course of, any Material Contract or the receipt by Borrower or any of its Subsidiaries of any written notice asserting any of the foregoing;</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default or event of default under or in respect of any Junior Indebtedness, specifying the nature and extent thereof and the action (if any) which is proposed to be taken with respect thereto, and (y) material amendments, waivers, consents, supplements and forbearance agreements under or in respect of any Junior Indebtedness, and upon execution thereof, copies of such amendments, waivers, consents, supplements and forbearance agreements;</w:t>
      </w:r>
    </w:p>
    <w:p>
      <w:pPr>
        <w:spacing w:after="0" w:line="180" w:lineRule="exact"/>
        <w:rPr>
          <w:rFonts w:ascii="Times New Roman" w:cs="Times New Roman" w:eastAsia="Times New Roman" w:hAnsi="Times New Roman"/>
          <w:sz w:val="22"/>
          <w:szCs w:val="22"/>
          <w:color w:val="auto"/>
        </w:rPr>
      </w:pPr>
    </w:p>
    <w:p>
      <w:pPr>
        <w:jc w:val="both"/>
        <w:ind w:left="760" w:right="20" w:firstLine="745"/>
        <w:spacing w:after="0" w:line="239" w:lineRule="auto"/>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recalls, withdrawals, marketing suspensions, removals or the like conducted, to be undertaken or issued by a Credit Party, any Subsidiary thereof or their respective suppliers whether or not at the request, demand or order of any Governmental Authority or otherwise with respect to any Product, or any basis for undertaking or issuing any such action or item;</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claim by any Person directed to a Credit Party that the conduct of such Credit Party’s or a Subsidiary’s business (including the development, manufacture, use, sale or other commercialization of any Product) infringes, misappropriates or otherwise violates the Intellectual Property of such Person; and</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infringement, misappropriation or other violation by any Person on the Intellectual Property of a Credit Party or Subsidiary thereof, which could reasonably be expected to result in material and adverse consequences to Borrower and its Subsidiaries, taken as a whole;</w:t>
      </w:r>
    </w:p>
    <w:p>
      <w:pPr>
        <w:spacing w:after="0" w:line="173"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agreement or similar agreement, including any agreement setting forth any license, covenant not to sue or coexistence agreement, entered into by a</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9" w:name="page140"/>
    <w:bookmarkEnd w:id="139"/>
    <w:p>
      <w:pPr>
        <w:jc w:val="both"/>
        <w:ind w:left="760"/>
        <w:spacing w:after="0" w:line="261" w:lineRule="auto"/>
        <w:rPr>
          <w:sz w:val="20"/>
          <w:szCs w:val="20"/>
          <w:color w:val="auto"/>
        </w:rPr>
      </w:pPr>
      <w:r>
        <w:rPr>
          <w:rFonts w:ascii="Times New Roman" w:cs="Times New Roman" w:eastAsia="Times New Roman" w:hAnsi="Times New Roman"/>
          <w:sz w:val="21"/>
          <w:szCs w:val="21"/>
          <w:color w:val="auto"/>
        </w:rPr>
        <w:t>Credit Party or any of its Subsidiaries in connection with any claim of actual or alleged infringement, misappropriation or other violation of any Intellectual Property by or against such Credit Party or its Subsidiaries, which could reasonably be expected to result in material and adverse consequences to Borrower and its Subsidiaries, taken as a whole;</w:t>
      </w:r>
    </w:p>
    <w:p>
      <w:pPr>
        <w:spacing w:after="0" w:line="157" w:lineRule="exact"/>
        <w:rPr>
          <w:sz w:val="20"/>
          <w:szCs w:val="20"/>
          <w:color w:val="auto"/>
        </w:rPr>
      </w:pPr>
    </w:p>
    <w:p>
      <w:pPr>
        <w:jc w:val="both"/>
        <w:ind w:left="760" w:firstLine="745"/>
        <w:spacing w:after="0" w:line="233" w:lineRule="auto"/>
        <w:tabs>
          <w:tab w:leader="none" w:pos="194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written notice received by Borrower from any Governmental Authority alleging any potential or actual violations of any Health Care Law by Borrower, (ii) any written notice that the FDA or other Governmental Authority is limiting, suspending or revoking any approvals or market authorizations for any Product, (iii) any written notice that Borrower has become subject to any administrative or regulatory enforcement action, proceeding or investigation issued by the FDA or other Governmental Authority, (iv) notice of the exclusion or debarment from any governmental healthcare program or debarment or disqualification by FDA of Borrower, (v) any written notice that FDA or other Governmental Authority is changing the market classification or labeling under any such approvals or market authorizations for any Product, or (vi) the receipt of notice, or occurrence of any decision, to conduct a voluntary or mandatory recall, withdrawal, removal, suspension of manufacturing or marketing, or discontinuation of any Product, in each case of clauses (i) through (vi), to the extent such notice could reasonably be expected to result in material and adverse consequences to Borrower and its Subsidiaries, taken as a whole;</w:t>
      </w:r>
    </w:p>
    <w:p>
      <w:pPr>
        <w:spacing w:after="0" w:line="187"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event or series of related events with respect to the property or assets of Borrower or any of its Subsidiaries resulting in losses, damages or expenses aggregating $10,000,000 or more;</w:t>
      </w:r>
    </w:p>
    <w:p>
      <w:pPr>
        <w:spacing w:after="0" w:line="158"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change in accounting policies or financial reporting practices by Borrower or any of its Subsidiaries (other than as required or permitted under GAAP); and</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37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labor controversy resulting in or threatening to result in any strike, work stoppage, boycott, shutdown or other material labor disruption against or involving a Credit Party that, either individually or in the aggregate, would reasonably be expected to result in a Material Adverse Change.</w:t>
      </w:r>
    </w:p>
    <w:p>
      <w:pPr>
        <w:spacing w:after="0" w:line="173" w:lineRule="exact"/>
        <w:rPr>
          <w:rFonts w:ascii="Times New Roman" w:cs="Times New Roman" w:eastAsia="Times New Roman" w:hAnsi="Times New Roman"/>
          <w:sz w:val="22"/>
          <w:szCs w:val="22"/>
          <w:color w:val="auto"/>
        </w:rPr>
      </w:pPr>
    </w:p>
    <w:p>
      <w:pPr>
        <w:jc w:val="both"/>
        <w:ind w:firstLine="757"/>
        <w:spacing w:after="0" w:line="246" w:lineRule="auto"/>
        <w:tabs>
          <w:tab w:leader="none" w:pos="1181"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Legal Action Notice</w:t>
      </w:r>
      <w:r>
        <w:rPr>
          <w:rFonts w:ascii="Times New Roman" w:cs="Times New Roman" w:eastAsia="Times New Roman" w:hAnsi="Times New Roman"/>
          <w:sz w:val="21"/>
          <w:szCs w:val="21"/>
          <w:color w:val="auto"/>
        </w:rPr>
        <w:t xml:space="preserve">. Prompt written notice (which shall be deemed given to the extent reported in Borrower’s periodic reporting under the Exchange Act and available on the SEC’s EDGAR system (or any successor system adopted by the SEC)) of any legal action, litigation, suit, claim, audit, investigation or proceeding pending or threatened in writing against any Credit Party or any Subsidiary (i) that could reasonably be expected to result in uninsured damages or costs to such Credit Party or such Subsidiary in an amount in excess of $5,000,000 or (ii) which alleges potential violations of the Health Care Laws or any applicable statutes, rules, regulations, standards, guidelines, policies and order administered or issued by any foreign Governmental Authority, which, in the case of this clause (ii), individually or in the aggregate, could reasonably be expected to result in a Material Adverse Change; and in each case, provide such additional information as the Blackstone Representative may reasonably request in relation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Credit Parties shall not be obligated to disclose any information that is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0" w:name="page141"/>
    <w:bookmarkEnd w:id="140"/>
    <w:p>
      <w:pPr>
        <w:spacing w:after="0" w:line="253" w:lineRule="exact"/>
        <w:rPr>
          <w:sz w:val="20"/>
          <w:szCs w:val="20"/>
          <w:color w:val="auto"/>
        </w:rPr>
      </w:pPr>
      <w:r>
        <w:rPr>
          <w:rFonts w:ascii="Times New Roman" w:cs="Times New Roman" w:eastAsia="Times New Roman" w:hAnsi="Times New Roman"/>
          <w:sz w:val="22"/>
          <w:szCs w:val="22"/>
          <w:color w:val="auto"/>
        </w:rPr>
        <w:t>reasonably subject to the assertion of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client privilege, conflict of interest or attorney work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product.</w:t>
      </w:r>
    </w:p>
    <w:p>
      <w:pPr>
        <w:spacing w:after="0" w:line="2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Agent and the Lenders hereby agree that the Perfection Certificate and schedules to the Disclosure Letter shall be updated or deemed to be updated after the Closing Date to reflect information provided in any written notice delivered by any Credit Party to Lender pursuant to this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(including in any Compliance Certificate;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Borrower may at its option deliver additional Compliance Certificates from time to time for purposes of updating the Perfection Certificate and schedules to the Disclosure Letter) or any inquiry under Section 5.1(b) of the Security Agreement;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any update to the Perfection Certificate or schedules to the Disclosure Letter by any Credit Party pursuant to this paragraph shall not relieve any Credit Party of any other Obligation under this Agreement. For the avoidance of doubt, Borrower may not update </w:t>
      </w:r>
      <w:r>
        <w:rPr>
          <w:rFonts w:ascii="Times New Roman" w:cs="Times New Roman" w:eastAsia="Times New Roman" w:hAnsi="Times New Roman"/>
          <w:sz w:val="22"/>
          <w:szCs w:val="22"/>
          <w:u w:val="single" w:color="auto"/>
          <w:color w:val="auto"/>
        </w:rPr>
        <w:t>Schedules 6.1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12.2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12.3</w:t>
      </w:r>
      <w:r>
        <w:rPr>
          <w:rFonts w:ascii="Times New Roman" w:cs="Times New Roman" w:eastAsia="Times New Roman" w:hAnsi="Times New Roman"/>
          <w:sz w:val="22"/>
          <w:szCs w:val="22"/>
          <w:color w:val="auto"/>
        </w:rPr>
        <w:t xml:space="preserve"> pursuant to this paragraph.</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5.3  Taxes.</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 xml:space="preserve">Timely file all foreign, federal and state income and other material required Tax returns and reports or extensions therefor and timely pay all material foreign, federal, state and local Taxes, assessments, deposits and contributions imposed upon it or any of its properties or assets, or in respect of any of its income, businesses or franchises before any penalty or fine accrue thereon;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Tax or any claim for Taxes that have become due and payable and have or may become a Lien on any Collateral shall be required to be paid if (a) it is being contested in good faith by appropriate proceedings instituted within applicable time limits and diligently conducted, so long as adequate reserves with respect thereto have been maintained in accordance with GAAP and (b) solely in the case of a Tax or claim that has or may become a Lien against any Collateral, such contest proceedings conclusively operate to stay the sale of any portion of any Collateral to satisfy such Tax or claim. No Credit Party shall, nor shall it permit any of its Subsidiaries to, file or consent to the filing of any consolidated income Tax return with any Person (other than Borrower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-956945</wp:posOffset>
            </wp:positionV>
            <wp:extent cx="342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5" w:lineRule="exact"/>
        <w:rPr>
          <w:sz w:val="20"/>
          <w:szCs w:val="20"/>
          <w:color w:val="auto"/>
        </w:rPr>
      </w:pPr>
    </w:p>
    <w:p>
      <w:pPr>
        <w:jc w:val="both"/>
        <w:ind w:firstLine="749"/>
        <w:spacing w:after="0" w:line="248" w:lineRule="exact"/>
        <w:rPr>
          <w:sz w:val="20"/>
          <w:szCs w:val="20"/>
          <w:color w:val="auto"/>
        </w:rPr>
      </w:pPr>
      <w:r>
        <w:rPr>
          <w:rFonts w:ascii="Times New Roman" w:cs="Times New Roman" w:eastAsia="Times New Roman" w:hAnsi="Times New Roman"/>
          <w:sz w:val="21"/>
          <w:szCs w:val="21"/>
          <w:b w:val="1"/>
          <w:bCs w:val="1"/>
          <w:color w:val="auto"/>
        </w:rPr>
        <w:t>5.4 Insurance. Maintain, with financially sound and reputable insurance companies, insurance with respect to its properties and business against loss or damage of the kinds customarily insured against by Persons of comparable size engaged in the same or similar business, of such types and in such amounts (after giving effect to any self</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insurance reasonable and customary for similarly situated Persons of comparable size engaged in the same or similar businesses as Borrower and its Subsidiaries) as are customarily carried under similar circumstances by such other Persons. Any products liability or general liability insurance regarding Collateral shall (i) name Agent as additional insured or lenders’ loss payable, as applicable, and (ii) provide that no cancellation of the policies shall be made without at least thirty (30) days prior written notice to Agent (ten (10) days in the case of cancellation for nonpayment). Borrower shall deliver to Agent insurance certificates certified by the Borrower’s insurance brokers, and appropriate endorsements showing Agent as the lenders’ loss payable and additional insured as required above, as to the existence and effectiveness of each such policy of insurance, in each case to be in form and substance reasonable satisfactory to the Blackstone Representative.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5.5  Operating Accounts.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41" w:name="page142"/>
    <w:bookmarkEnd w:id="141"/>
    <w:p>
      <w:pPr>
        <w:jc w:val="both"/>
        <w:ind w:firstLine="757"/>
        <w:spacing w:after="0" w:line="238" w:lineRule="auto"/>
        <w:tabs>
          <w:tab w:leader="none" w:pos="11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Credit Party, for each Collateral Account that such Credit Party at any time maintains, and contemporaneously with the establishment of any new Collateral Account by such Credit Party, subject such account to a Control Agreement (or take equivalent actions to establish and perfect (if applicable) Agent’s Lien) that is reasonably acceptable to the Agent and the Blackstone Representative, in order to perfect Agent’s Lien in favor and for the benefit of Agent and the other Secured Parties.</w:t>
      </w:r>
    </w:p>
    <w:p>
      <w:pPr>
        <w:spacing w:after="0" w:line="142" w:lineRule="exact"/>
        <w:rPr>
          <w:rFonts w:ascii="Times New Roman" w:cs="Times New Roman" w:eastAsia="Times New Roman" w:hAnsi="Times New Roman"/>
          <w:sz w:val="22"/>
          <w:szCs w:val="22"/>
          <w:color w:val="auto"/>
        </w:rPr>
      </w:pPr>
    </w:p>
    <w:p>
      <w:pPr>
        <w:jc w:val="both"/>
        <w:ind w:firstLine="757"/>
        <w:spacing w:after="0" w:line="265" w:lineRule="exact"/>
        <w:tabs>
          <w:tab w:leader="none" w:pos="118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the Credit Parties shall have until the date that is forty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five (45) days (or such longer period as the Blackstone Representative may agree in its sole discretion) after the closing date of any Acquisition or other Investment to comply with the provisions of this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xml:space="preserve"> with regard to Collateral Accounts of the Credit Parties acquired in connection with such Acquisition or other Investment.</w:t>
      </w:r>
    </w:p>
    <w:p>
      <w:pPr>
        <w:spacing w:after="0" w:line="174"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1"/>
          <w:szCs w:val="21"/>
          <w:b w:val="1"/>
          <w:bCs w:val="1"/>
          <w:color w:val="auto"/>
        </w:rPr>
        <w:t xml:space="preserve">5.6 Compliance with Laws. Comply with the Requirements of Law and all orders, writs, injunctions, decrees and judgments applicable to it or to its business or its assets or properties (including Environmental Laws, ERISA, the IRC (including requirements for intended tax treatment), Health Care Laws and the Federal Fair Labor Standards Act), except if the failure to comply therewith could not, individually or together with any other such failures, reasonably be expected to result in a Material Adverse Change;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that with respect to Requirements of Laws and all orders, writs, injunctions, decrees and judgments with respect to Anti</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Terrorism Laws, Anti</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Money Laundering Laws, OFAC,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-184150</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FCPA, and similar Laws, the Credit Parties and each of their Subsidiaries shall comply in all material respects.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5.7  Protection of Intellectual Property Rights.</w:t>
      </w:r>
    </w:p>
    <w:p>
      <w:pPr>
        <w:spacing w:after="0" w:line="210" w:lineRule="exact"/>
        <w:rPr>
          <w:sz w:val="20"/>
          <w:szCs w:val="20"/>
          <w:color w:val="auto"/>
        </w:rPr>
      </w:pPr>
    </w:p>
    <w:p>
      <w:pPr>
        <w:jc w:val="both"/>
        <w:ind w:firstLine="757"/>
        <w:spacing w:after="0" w:line="233"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where the failure to do so could not reasonably be expected to materially interfere with the Credit Parties’ ability to conduct their business as conducted on the Closing Date or result in any material loss of rights relating to any Product (including Patent exclusivity therefor), (i) file, prosecute, protect, defend and maintain the validity and enforceability of all Registered Product IP; (ii) maintain the confidential nature of any material trade secrets and trade secret rights used in any research, development, manufacture, production, use, commercialization, marketing, importing, storage, transport, offer for sale, distribution or sale of any Product in the Territory; and (iii) not allow any Product IP to be abandoned, forfeited or dedicated to the public (other than through the abandonment of Product IP in the exercise of the Credit Parties’ ordinary course prosecution practices and reasonable business judgment, e.g., the abandonment of a continuation application that is no longer needed to maintain the pendency of another patent application) or any Material Contract to be terminated by Borrower or any of its Subsidiaries, as applicable, without the Blackstone Representative’s prior written consent (such consent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any such Product IP that is not owned by Borrower or any of its Subsidiaries, the obligations in clauses (i) and (iii) above shall apply only to the extent Borrower or any of its Subsidiaries have the right to take such actions or to cause any licensee or other third party to take such actions pursuant to applicable agreements or contractual rights.</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Except as Borrower may otherwise determine in its reasonable business judgment, and where the failure to do so could not reasonably be expected to materially interfere with the Credit Parties’ ability to conduct their business as conducted on the Closing Date or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2309495</wp:posOffset>
            </wp:positionH>
            <wp:positionV relativeFrom="paragraph">
              <wp:posOffset>-1097915</wp:posOffset>
            </wp:positionV>
            <wp:extent cx="431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2" w:name="page143"/>
    <w:bookmarkEnd w:id="142"/>
    <w:p>
      <w:pPr>
        <w:jc w:val="both"/>
        <w:spacing w:after="0" w:line="246" w:lineRule="exact"/>
        <w:rPr>
          <w:sz w:val="20"/>
          <w:szCs w:val="20"/>
          <w:color w:val="auto"/>
        </w:rPr>
      </w:pPr>
      <w:r>
        <w:rPr>
          <w:rFonts w:ascii="Times New Roman" w:cs="Times New Roman" w:eastAsia="Times New Roman" w:hAnsi="Times New Roman"/>
          <w:sz w:val="22"/>
          <w:szCs w:val="22"/>
          <w:color w:val="auto"/>
        </w:rPr>
        <w:t>in any material loss of rights relating to any Product (including Patent exclusivity therefor), at its (or its Subsidiaries’, as applicable) sole expense, either directly or indirectly, with respect to any licensee or licensor under the terms of any Credit Party’s (or any of its Subsidiary’s) agreement with the respective licensee or licensor, as applicable, to take any actions (including taking legal action to specifically enforce the applicable terms of any license agreement) and prepare, execute, deliver and file agreements, documents or instruments which are necessary or desirable to (A) prosecute and maintain any Registered Product IP and (B) diligently defend or assert any Product IP against material infringement, misappropriation, violation or interference by any other Persons and, in the case of Registered Product IP, against any claims of invalidity or unenforceability (including by bringing any legal action for infringement, dilution, violation or defending any counterclaim of invalidity or action of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Affiliate third party for declaratory judgment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interference); provided, however, that with respect to any such Registered Product IP that is not owned by Borrower or any of its Subsidiaries, the obligations in clauses (A) and (B) above shall apply only to the extent Borrower or any of its Subsidiaries have the right to take such actions or to cause any licensee or other third party to take such actions pursuant to applicable agreements or contractual rights and (ii) use commercially reasonable efforts to cause any licensee or licensor of any Registered Product IP not to, and such Credit Party shall not, disclaim or abandon, or fail to take any action necessary or desirable to prevent the disclaimer or abandonment of Registered Product IP (other than through the abandonment of Registered Product IP in the exercise of the Credit Parties’ or its licensee’s or its licensor’s ordinary course prosecution practices and reasonable business judgment, e.g., the abandonment of a continuation application that is no longer needed to maintain the pendency of another patent application).</w:t>
      </w:r>
    </w:p>
    <w:p>
      <w:pPr>
        <w:spacing w:after="0" w:line="185" w:lineRule="exact"/>
        <w:rPr>
          <w:sz w:val="20"/>
          <w:szCs w:val="20"/>
          <w:color w:val="auto"/>
        </w:rPr>
      </w:pPr>
    </w:p>
    <w:p>
      <w:pPr>
        <w:jc w:val="both"/>
        <w:ind w:firstLine="757"/>
        <w:spacing w:after="0" w:line="236" w:lineRule="auto"/>
        <w:tabs>
          <w:tab w:leader="none" w:pos="118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Borrower shall provide quarterly updates (together with the Compliance Certificate) to </w:t>
      </w:r>
      <w:r>
        <w:rPr>
          <w:rFonts w:ascii="Times New Roman" w:cs="Times New Roman" w:eastAsia="Times New Roman" w:hAnsi="Times New Roman"/>
          <w:sz w:val="22"/>
          <w:szCs w:val="22"/>
          <w:u w:val="single" w:color="auto"/>
          <w:color w:val="auto"/>
        </w:rPr>
        <w:t>Schedule 4.6(c)</w:t>
      </w:r>
      <w:r>
        <w:rPr>
          <w:rFonts w:ascii="Times New Roman" w:cs="Times New Roman" w:eastAsia="Times New Roman" w:hAnsi="Times New Roman"/>
          <w:sz w:val="22"/>
          <w:szCs w:val="22"/>
          <w:color w:val="auto"/>
        </w:rPr>
        <w:t xml:space="preserve"> of the Disclosure Letter, as applicable, including updates on material developments with respect to any items listed on such Schedule or updated Schedule, and upon reasonable request of the Blackstone Representative, conduct quarterly meetings (which may be via videoconference) with the Blackstone Representative and Lenders to discuss such updates. Blackstone Representative and the Lenders shall use commercially reasonable efforts to conduct any meeting requested under this Section 5.7(c) with those meetings requested under Section 5.9(b).</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5.8 Books and Records. Maintain proper Books, in which entries that are full, true and correct in all material respects and are in all material respects in conformity with GAAP consistently applied shall be made of all material financial transactions and matters involving the assets, properties and business of such Credit Party (or such Subsidiary), as the case may be.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5.9  Access to Collateral; Audits; Lender Calls.</w:t>
      </w:r>
    </w:p>
    <w:p>
      <w:pPr>
        <w:spacing w:after="0" w:line="210" w:lineRule="exact"/>
        <w:rPr>
          <w:sz w:val="20"/>
          <w:szCs w:val="20"/>
          <w:color w:val="auto"/>
        </w:rPr>
      </w:pPr>
    </w:p>
    <w:p>
      <w:pPr>
        <w:jc w:val="both"/>
        <w:ind w:firstLine="757"/>
        <w:spacing w:after="0" w:line="238" w:lineRule="auto"/>
        <w:tabs>
          <w:tab w:leader="none" w:pos="118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Allow the Blackstone Representative, or its respective agents or representatives, (i) not more than one (1) time in any fiscal year absent the occurrence and continuance of an Event of Default and (ii) at any time during the occurrence and continuance of an Event of Default, in each case, during normal business hours and upon reasonable advance notice, to visit and inspect the Collateral and inspect, copy and audit any Credit Party’s Books. The foregoing inspections and audits shall be at the relevant Credit Party’s expense.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3" w:name="page144"/>
    <w:bookmarkEnd w:id="143"/>
    <w:p>
      <w:pPr>
        <w:jc w:val="both"/>
        <w:ind w:firstLine="757"/>
        <w:spacing w:after="0" w:line="248" w:lineRule="auto"/>
        <w:tabs>
          <w:tab w:leader="none" w:pos="118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the reasonable request of the Blackstone Representative at a time to be mutually agreed that is after delivery of the financial statements delivered pursuant to </w:t>
      </w:r>
      <w:r>
        <w:rPr>
          <w:rFonts w:ascii="Times New Roman" w:cs="Times New Roman" w:eastAsia="Times New Roman" w:hAnsi="Times New Roman"/>
          <w:sz w:val="21"/>
          <w:szCs w:val="21"/>
          <w:u w:val="single" w:color="auto"/>
          <w:color w:val="auto"/>
        </w:rPr>
        <w:t>Sections 5.2(a)(i)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5.2(a)(ii)</w:t>
      </w:r>
      <w:r>
        <w:rPr>
          <w:rFonts w:ascii="Times New Roman" w:cs="Times New Roman" w:eastAsia="Times New Roman" w:hAnsi="Times New Roman"/>
          <w:sz w:val="21"/>
          <w:szCs w:val="21"/>
          <w:color w:val="auto"/>
        </w:rPr>
        <w:t>, conduct a meeting (which may be telephonic) of the Blackstone Representative and the Lenders to discuss the most recently reported financial results and the financial condition of Credit Parties, at which there shall be present a Responsible Officer and such other officers of the Credit Parties as may be reasonably requested to attend by the Blackstone Representative or Required Lenders, such request, or requests to be made at a reasonable time prior to the scheduled date of such meeting. Blackstone Representative and the Lenders shall use commercially reasonable efforts to conduct any meeting requested under this Section 5.9(b) with those meetings requested under Section 5.7(c).</w:t>
      </w:r>
    </w:p>
    <w:p>
      <w:pPr>
        <w:spacing w:after="0" w:line="166" w:lineRule="exact"/>
        <w:rPr>
          <w:sz w:val="20"/>
          <w:szCs w:val="20"/>
          <w:color w:val="auto"/>
        </w:rPr>
      </w:pPr>
    </w:p>
    <w:p>
      <w:pPr>
        <w:jc w:val="both"/>
        <w:ind w:firstLine="749"/>
        <w:spacing w:after="0" w:line="256" w:lineRule="exact"/>
        <w:rPr>
          <w:sz w:val="20"/>
          <w:szCs w:val="20"/>
          <w:color w:val="auto"/>
        </w:rPr>
      </w:pPr>
      <w:r>
        <w:rPr>
          <w:rFonts w:ascii="Times New Roman" w:cs="Times New Roman" w:eastAsia="Times New Roman" w:hAnsi="Times New Roman"/>
          <w:sz w:val="22"/>
          <w:szCs w:val="22"/>
          <w:b w:val="1"/>
          <w:bCs w:val="1"/>
          <w:color w:val="auto"/>
        </w:rPr>
        <w:t>5.10 Use of Proceeds. Use the proceeds of the Term Loans solely (i) to pay fees, premiums, costs, and expenses in connection with the funding of the Initial Term Loans, and (ii) for general corporate purposes of Borrower and its Subsidiaries (including business development activities and sale leaseback transactions permitted hereunder). No proceeds of any Term Loan shall be used to purchase or carry, or to reduce or retire or refinance any credit incurred to purchase or carry, any Margin Stock or to extend credit to others for the purpose of purchasing or carrying any Margin Stock. If requested by the Blackstone Representative, Borrower shall complete and sign Part I of a copy of Federal Reserve Form G</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3 referred to in Regulation U and deliver such copy to Agent.</w:t>
      </w:r>
    </w:p>
    <w:p>
      <w:pPr>
        <w:spacing w:after="0" w:line="14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5.11 Further Assurances . Promptly upon the reasonable written request of the Blackstone Representative, execute, acknowledge and deliver such further documents and do such other acts and things in order to effectuate or carry out more effectively the purposes of this Agreement and the other Loan Documents at its expense, including after the Closing Date taking such steps as are reasonably deemed necessary or desirable by the Blackstone Representative to maintain, protect and enforce Agent’s Lien in favor and for the benefit of Agent and the other Secured Parties on Collateral securing the Obligations created under the Security Agreement and the other Loan Documents in accordance with the terms of the Security Agreement and the other Loan Documents, subject to Permitted Liens.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5.12 Additional Collateral; Guarantors.</w:t>
      </w:r>
    </w:p>
    <w:p>
      <w:pPr>
        <w:spacing w:after="0" w:line="210" w:lineRule="exact"/>
        <w:rPr>
          <w:sz w:val="20"/>
          <w:szCs w:val="20"/>
          <w:color w:val="auto"/>
        </w:rPr>
      </w:pPr>
    </w:p>
    <w:p>
      <w:pPr>
        <w:jc w:val="both"/>
        <w:ind w:firstLine="757"/>
        <w:spacing w:after="0" w:line="233" w:lineRule="auto"/>
        <w:tabs>
          <w:tab w:leader="none" w:pos="118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and after the Closing Date, except as otherwise approved in writing by the Blackstone Representative, each Credit Party shall cause each of its Subsidiaries (other than Excluded Subsidiaries) to guarantee the Obligations by executing and delivering a joinder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and to cause each such Subsidiary to grant to Agent in favor and for the benefit of Agent and the other Secured Parties a first priority (subject to Permitted Priority Liens) security interest in and Lien upon, and pledge to Agent in favor and for the benefit of Agent and the other Secured Parties, subject to Permitted Liens, all of such Subsidiary’s properties and assets constituting Collateral, whether now existing or hereafter acquired or existing, to secure such guaranty;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Credit Party’s obligations to cause any Subsidiary formed or acquired after the Closing Date to take the foregoing actions shall be subject to the timing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Furthermore, except as otherwise approved in writing by the Blackstone Representative, each Credit Party, from and after the Closing Date, shall grant Agent in favor and for the benefit of Agent and the other Secured Parties a first priority security interest in and Lien upon, and pledge to Agent in favor and for the benefit of Agent and the other 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-643255</wp:posOffset>
            </wp:positionV>
            <wp:extent cx="342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4" w:name="page145"/>
    <w:bookmarkEnd w:id="144"/>
    <w:p>
      <w:pPr>
        <w:jc w:val="both"/>
        <w:spacing w:after="0" w:line="248" w:lineRule="exact"/>
        <w:rPr>
          <w:sz w:val="20"/>
          <w:szCs w:val="20"/>
          <w:color w:val="auto"/>
        </w:rPr>
      </w:pPr>
      <w:r>
        <w:rPr>
          <w:rFonts w:ascii="Times New Roman" w:cs="Times New Roman" w:eastAsia="Times New Roman" w:hAnsi="Times New Roman"/>
          <w:sz w:val="22"/>
          <w:szCs w:val="22"/>
          <w:color w:val="auto"/>
        </w:rPr>
        <w:t>Parties, subject to Permitted Liens, the limitations set forth herein and the limitations set forth in the other Loan Documents, all of the Equity Interests of each first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tier Subsidiary owned by a Credit Party. In connection with each pledge of certificated Equity Interests required under the Loan Documents, the Credit Parties shall deliver, or cause to be delivered, to Agent, such certificate(s) together with stock powers or assignments, as applicable, properly endorsed for transfer to Agent or duly executed in blank, in each case in form reasonably satisfactory to the Blackstone Representative. In connection with each pledge of uncertificated Equity Interests required under the Loan Documents, the Credit Parties shall deliver, or cause to be delivered, to Agent an executed uncertificated stock control agreement among the issuer, the registered owner and Agent substantially in the form attached as an Annex to the Security Agreement. Notwithstanding the foregoing, each Credit Party’s obligations to take the foregoing actions shall be subject to the timing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with respect to Subsidiaries formed or acquired after the Closing Date.</w:t>
      </w:r>
    </w:p>
    <w:p>
      <w:pPr>
        <w:spacing w:after="0" w:line="182" w:lineRule="exact"/>
        <w:rPr>
          <w:sz w:val="20"/>
          <w:szCs w:val="20"/>
          <w:color w:val="auto"/>
        </w:rPr>
      </w:pPr>
    </w:p>
    <w:p>
      <w:pPr>
        <w:jc w:val="both"/>
        <w:ind w:firstLine="757"/>
        <w:spacing w:after="0" w:line="248" w:lineRule="exact"/>
        <w:tabs>
          <w:tab w:leader="none" w:pos="1181" w:val="left"/>
        </w:tabs>
        <w:numPr>
          <w:ilvl w:val="1"/>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Credit Party acquires any fee title to real estate in the U.S., other than Excluded Property and unless otherwise agreed by the Blackstone Representative, such Person shall execute or deliver, or cause to be executed or delivered, to Agent, (i) within sixty (60) days after such acquisition, an appraisal complying with the Financial Institutions Reform, Recovery and Enforcement Act of 1989, (ii) within forty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five (45) days after receipt of notice from Agent (at the direction of the Blackstone Representative) that such real estate is located in a Special Flood Hazard Area, Federal Flood Insurance, (iii) within sixty (60) days after such acquisition, a fully executed Mortgage, in form and substance reasonably satisfactory to the Blackstone Representative, together with an A.L.T.A. lender’s title insurance policy issued by a title insurer reasonably satisfactory to the Blackstone Representative, in form and substance (including any endorsements), and in an amount reasonably satisfactory to the Blackstone Representative, insuring that the Mortgage is a valid and enforceable first priority (subject to Permitted Priority Liens) Lien on the respective property, free and clear of all defects, encumbrances and Liens (other than Permitted Liens), (iv) simultaneously with such acquisition, then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current A.L.T.A. surveys, certified to Agent by a licensed surveyor sufficient to allow the issuer of the lender’s title insurance policy to issue such policy without a survey exception, and</w:t>
      </w:r>
    </w:p>
    <w:p>
      <w:pPr>
        <w:spacing w:after="0" w:line="10" w:lineRule="exact"/>
        <w:rPr>
          <w:rFonts w:ascii="Times New Roman" w:cs="Times New Roman" w:eastAsia="Times New Roman" w:hAnsi="Times New Roman"/>
          <w:sz w:val="21"/>
          <w:szCs w:val="21"/>
          <w:color w:val="auto"/>
        </w:rPr>
      </w:pPr>
    </w:p>
    <w:p>
      <w:pPr>
        <w:jc w:val="both"/>
        <w:ind w:firstLine="8"/>
        <w:spacing w:after="0" w:line="248" w:lineRule="exact"/>
        <w:tabs>
          <w:tab w:leader="none" w:pos="326"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such acquisition, a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environmental site assessment prepared pursuant to ASTM E1527</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i w:val="1"/>
          <w:iCs w:val="1"/>
          <w:u w:val="single" w:color="auto"/>
          <w:color w:val="auto"/>
        </w:rPr>
        <w:t>Standard Practice for Environmental Site Assessments: Phase I Environmental Site Assessment Process</w:t>
      </w:r>
      <w:r>
        <w:rPr>
          <w:rFonts w:ascii="Times New Roman" w:cs="Times New Roman" w:eastAsia="Times New Roman" w:hAnsi="Times New Roman"/>
          <w:sz w:val="22"/>
          <w:szCs w:val="22"/>
          <w:color w:val="auto"/>
        </w:rPr>
        <w:t>, by a qualified firm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reasonably acceptable to the Blackstone Representative, in form and substance satisfactory to the Blackstone Representative.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5.13 Formation or Acquisition of Subsidiaries.</w:t>
      </w:r>
    </w:p>
    <w:p>
      <w:pPr>
        <w:spacing w:after="0" w:line="210" w:lineRule="exact"/>
        <w:rPr>
          <w:sz w:val="20"/>
          <w:szCs w:val="20"/>
          <w:color w:val="auto"/>
        </w:rPr>
      </w:pPr>
    </w:p>
    <w:p>
      <w:pPr>
        <w:ind w:right="20" w:firstLine="757"/>
        <w:spacing w:after="0" w:line="258" w:lineRule="auto"/>
        <w:tabs>
          <w:tab w:leader="none" w:pos="118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or any of its Subsidiaries at any time after the Closing Date forms or acquires a Subsidiary, Borrower shall cause such Subsidiary to execute and deliver to Agent a joinder to the Intercompany Subordination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or any of its Subsidiaries at any time after the Closing Date forms or acquires a Subsidiary (including by division) or any Person otherwise becomes a Subsidiary (other than an Excluded Subsidiary) (including by division), or in the event of an Excluded Subsidiary Conversion, as promptly as practicable but in no event later than thirty (30) days (or such longer period as the Blackstone Representative may agree in its sole discretion) after such formation or acquisition or such Person becomes a Subsidiary, or in the case of an Excluded Subsidiary, after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5" w:name="page146"/>
    <w:bookmarkEnd w:id="14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the date on which the most recent Compliance Certificate has been delivered which sets forth the failure to comply with the Credit Party Minimum Coverage Requirement pursuant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xml:space="preserve">: (i) without limiting the generality of clause (iii) of this </w:t>
      </w:r>
      <w:r>
        <w:rPr>
          <w:rFonts w:ascii="Times New Roman" w:cs="Times New Roman" w:eastAsia="Times New Roman" w:hAnsi="Times New Roman"/>
          <w:sz w:val="22"/>
          <w:szCs w:val="22"/>
          <w:u w:val="single" w:color="auto"/>
          <w:color w:val="auto"/>
        </w:rPr>
        <w:t>Section 5.13(b)</w:t>
      </w:r>
      <w:r>
        <w:rPr>
          <w:rFonts w:ascii="Times New Roman" w:cs="Times New Roman" w:eastAsia="Times New Roman" w:hAnsi="Times New Roman"/>
          <w:sz w:val="22"/>
          <w:szCs w:val="22"/>
          <w:color w:val="auto"/>
        </w:rPr>
        <w:t xml:space="preserve">, Borrower shall cause such Subsidiary to execute and deliver to Agent a joinder to this Agreement as Guarantor in the form of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hereto and a joinder to the Intercompany Subordination Agreement, and the applicable Collateral Documents, Operating Documents and related company information, and legal opinions and any Collateral required to be delivered pursuant to the terms of the Loan Documents; (ii) Borrower shall deliver to Agent a Perfection Certificate, updated to reflect the formation or acquisition of such Subsidiary; and (iii) Borrower shall cause such Subsidiary to satisfy all requirements contained in this Agreement (including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each other Loan Document if and to the extent applicable to such Subsidiary. Borrower and Agent hereby agree that any such Subsidiary shall constitute a Credit Party for all purposes hereunder as of the date of the execution and delivery of the joinder contemplated by clause (i) of this </w:t>
      </w:r>
      <w:r>
        <w:rPr>
          <w:rFonts w:ascii="Times New Roman" w:cs="Times New Roman" w:eastAsia="Times New Roman" w:hAnsi="Times New Roman"/>
          <w:sz w:val="22"/>
          <w:szCs w:val="22"/>
          <w:u w:val="single" w:color="auto"/>
          <w:color w:val="auto"/>
        </w:rPr>
        <w:t>Section 5.13(b)</w:t>
      </w:r>
      <w:r>
        <w:rPr>
          <w:rFonts w:ascii="Times New Roman" w:cs="Times New Roman" w:eastAsia="Times New Roman" w:hAnsi="Times New Roman"/>
          <w:sz w:val="22"/>
          <w:szCs w:val="22"/>
          <w:color w:val="auto"/>
        </w:rPr>
        <w:t xml:space="preserve">. Any document, agreement or instrument executed or issued pursuant to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shall be a Loan Document.</w:t>
      </w:r>
    </w:p>
    <w:p>
      <w:pPr>
        <w:spacing w:after="0" w:line="187" w:lineRule="exact"/>
        <w:rPr>
          <w:sz w:val="20"/>
          <w:szCs w:val="20"/>
          <w:color w:val="auto"/>
        </w:rPr>
      </w:pPr>
    </w:p>
    <w:p>
      <w:pPr>
        <w:jc w:val="both"/>
        <w:ind w:firstLine="757"/>
        <w:spacing w:after="0" w:line="234" w:lineRule="auto"/>
        <w:tabs>
          <w:tab w:leader="none" w:pos="118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else to the contrary in this Agreement or any other Loan Document (including pursuant to </w:t>
      </w:r>
      <w:r>
        <w:rPr>
          <w:rFonts w:ascii="Times New Roman" w:cs="Times New Roman" w:eastAsia="Times New Roman" w:hAnsi="Times New Roman"/>
          <w:sz w:val="22"/>
          <w:szCs w:val="22"/>
          <w:u w:val="single" w:color="auto"/>
          <w:color w:val="auto"/>
        </w:rPr>
        <w:t>Sections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or any of the constituent defined terms in this Agreement), in the event that any Subsidiary is required to become a Credit Party that is organized in a jurisdiction for which guarantees and security interests have not yet been provided to Agent and the Secured Parties for an existing Credit Party, the Blackstone Representative and Borrower shall determine and mutually agree on the reasonable and customary actions to be satisfied or delivered in such jurisdiction of organization with respect to the guarantee and creation, perfection and priority of Liens to secure the Obligations to satisfy the obligations in </w:t>
      </w:r>
      <w:r>
        <w:rPr>
          <w:rFonts w:ascii="Times New Roman" w:cs="Times New Roman" w:eastAsia="Times New Roman" w:hAnsi="Times New Roman"/>
          <w:sz w:val="22"/>
          <w:szCs w:val="22"/>
          <w:u w:val="single" w:color="auto"/>
          <w:color w:val="auto"/>
        </w:rPr>
        <w:t>Section 5.11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and this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and the failure to take a specific action or provide a specific deliverable enumerated in such provisions shall not constitute a breach of such provisions if such action or deliverable is not reasonable or customary to provide in such foreign jurisdiction.</w:t>
      </w:r>
    </w:p>
    <w:p>
      <w:pPr>
        <w:spacing w:after="0" w:line="149"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b w:val="1"/>
          <w:bCs w:val="1"/>
          <w:color w:val="auto"/>
        </w:rPr>
        <w:t>5.14 Post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Closing Requirements . Borrower shall, and shall cause each of its Subsidiaries to, take each of the actions set forth on </w:t>
      </w:r>
      <w:r>
        <w:rPr>
          <w:rFonts w:ascii="Times New Roman" w:cs="Times New Roman" w:eastAsia="Times New Roman" w:hAnsi="Times New Roman"/>
          <w:sz w:val="22"/>
          <w:szCs w:val="22"/>
          <w:b w:val="1"/>
          <w:bCs w:val="1"/>
          <w:u w:val="single" w:color="auto"/>
          <w:color w:val="auto"/>
        </w:rPr>
        <w:t>Schedule 5.14</w:t>
      </w:r>
      <w:r>
        <w:rPr>
          <w:rFonts w:ascii="Times New Roman" w:cs="Times New Roman" w:eastAsia="Times New Roman" w:hAnsi="Times New Roman"/>
          <w:sz w:val="22"/>
          <w:szCs w:val="22"/>
          <w:b w:val="1"/>
          <w:bCs w:val="1"/>
          <w:color w:val="auto"/>
        </w:rPr>
        <w:t xml:space="preserve"> of the Disclosure Letter within the time period prescribed therefor on such schedule (or such longer period as the Blackstone Representative may agree in its sole discretion). All representations and warranties and covenants contained in this Agreement and the other Loan Documents shall be deemed modified to the extent necessary to take the actions set forth on </w:t>
      </w:r>
      <w:r>
        <w:rPr>
          <w:rFonts w:ascii="Times New Roman" w:cs="Times New Roman" w:eastAsia="Times New Roman" w:hAnsi="Times New Roman"/>
          <w:sz w:val="22"/>
          <w:szCs w:val="22"/>
          <w:b w:val="1"/>
          <w:bCs w:val="1"/>
          <w:u w:val="single" w:color="auto"/>
          <w:color w:val="auto"/>
        </w:rPr>
        <w:t>Schedule 5.14</w:t>
      </w:r>
      <w:r>
        <w:rPr>
          <w:rFonts w:ascii="Times New Roman" w:cs="Times New Roman" w:eastAsia="Times New Roman" w:hAnsi="Times New Roman"/>
          <w:sz w:val="22"/>
          <w:szCs w:val="22"/>
          <w:b w:val="1"/>
          <w:bCs w:val="1"/>
          <w:color w:val="auto"/>
        </w:rPr>
        <w:t xml:space="preserve"> of the Disclosure Letter within the time periods set forth therein, rather than elsewhere provided in the Loan Documents, such that to the extent any such action set forth in </w:t>
      </w:r>
      <w:r>
        <w:rPr>
          <w:rFonts w:ascii="Times New Roman" w:cs="Times New Roman" w:eastAsia="Times New Roman" w:hAnsi="Times New Roman"/>
          <w:sz w:val="22"/>
          <w:szCs w:val="22"/>
          <w:b w:val="1"/>
          <w:bCs w:val="1"/>
          <w:u w:val="single" w:color="auto"/>
          <w:color w:val="auto"/>
        </w:rPr>
        <w:t>Schedule 5.14</w:t>
      </w:r>
      <w:r>
        <w:rPr>
          <w:rFonts w:ascii="Times New Roman" w:cs="Times New Roman" w:eastAsia="Times New Roman" w:hAnsi="Times New Roman"/>
          <w:sz w:val="22"/>
          <w:szCs w:val="22"/>
          <w:b w:val="1"/>
          <w:bCs w:val="1"/>
          <w:color w:val="auto"/>
        </w:rPr>
        <w:t xml:space="preserve"> of the Disclosure Letter is not overdue, the applicable Credit Party shall not be in breach of any representation or warranty or covenant contained in this Agreement or any other Loan Document applicable to such action for the period from the Closing Date, as applicable, until the date on which such action is required to be fulfilled as set forth on </w:t>
      </w:r>
      <w:r>
        <w:rPr>
          <w:rFonts w:ascii="Times New Roman" w:cs="Times New Roman" w:eastAsia="Times New Roman" w:hAnsi="Times New Roman"/>
          <w:sz w:val="22"/>
          <w:szCs w:val="22"/>
          <w:b w:val="1"/>
          <w:bCs w:val="1"/>
          <w:u w:val="single" w:color="auto"/>
          <w:color w:val="auto"/>
        </w:rPr>
        <w:t>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5.14</w:t>
      </w:r>
      <w:r>
        <w:rPr>
          <w:rFonts w:ascii="Times New Roman" w:cs="Times New Roman" w:eastAsia="Times New Roman" w:hAnsi="Times New Roman"/>
          <w:sz w:val="22"/>
          <w:szCs w:val="22"/>
          <w:b w:val="1"/>
          <w:bCs w:val="1"/>
          <w:color w:val="auto"/>
        </w:rPr>
        <w:t xml:space="preserve"> of the Disclosure Letter.</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5.15 Environmental.</w:t>
      </w:r>
    </w:p>
    <w:p>
      <w:pPr>
        <w:spacing w:after="0" w:line="210"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Deliver to Agent (for distribution to the Lenders) and the Blackstone Representative:</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6" w:name="page147"/>
    <w:bookmarkEnd w:id="146"/>
    <w:p>
      <w:pPr>
        <w:jc w:val="both"/>
        <w:ind w:left="760" w:firstLine="745"/>
        <w:spacing w:after="0" w:line="238" w:lineRule="auto"/>
        <w:tabs>
          <w:tab w:leader="none" w:pos="194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receipt thereof, copies of all environmental audits, site assessments, investigations, analyses and reports of any kind or character, whether prepared by personnel of Borrower or any of its Subsidiaries or by independent consultants, Governmental Authorities or any other Persons, with respect to any Environmental Claims, any violation of Environmental Laws, or any discovery of a Release or threatened Release that, in each case, individually or in the aggregate, could reasonably be expected to result in a Material Adverse Change;</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a Responsible Officer of any Credit Party or any of its Subsidiaries obtaining knowledge of the occurrence thereof, written notice describing in reasonable detail (A) any Release required to be reported to any federal, state or local governmental or Regulatory Agency under any applicable Environmental Laws, and (B) any removal or remedial action taken by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or local governmental or Regulatory Agency, or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94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written notice describing in reasonable detail (A) any proposed acquisition of stock, assets, or property by Borrower or any of its Subsidiaries that, individually or in the aggregate, could reasonably be expected to (x) expose Borrower or any of its Subsidiaries to, or result in, Environmental Claims that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a manner that, individually or together with any other such proposed actions, could reasonably be expected to subject Borrower or any of its Subsidiaries to any additional material obligations or requirements under any Environmental Laws; and</w:t>
      </w:r>
    </w:p>
    <w:p>
      <w:pPr>
        <w:spacing w:after="0" w:line="183" w:lineRule="exact"/>
        <w:rPr>
          <w:rFonts w:ascii="Times New Roman" w:cs="Times New Roman" w:eastAsia="Times New Roman" w:hAnsi="Times New Roman"/>
          <w:sz w:val="22"/>
          <w:szCs w:val="22"/>
          <w:color w:val="auto"/>
        </w:rPr>
      </w:pPr>
    </w:p>
    <w:p>
      <w:pPr>
        <w:ind w:left="760" w:firstLine="745"/>
        <w:spacing w:after="0" w:line="244" w:lineRule="auto"/>
        <w:tabs>
          <w:tab w:leader="none" w:pos="1941"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reasonable promptness, such other documents and information as from time to time may be reasonably requested by the Blackstone Representative in relation to any matters disclosed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5.15(a)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shall, and shall cause each of its Subsidiaries to, promptly take any and all actions reasonably necessary to (i) cure any violation of applicable Environmental Laws by Borrower or any of its Subsidiaries that, individually or in the aggregate, could reasonably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7" w:name="page148"/>
    <w:bookmarkEnd w:id="147"/>
    <w:p>
      <w:pPr>
        <w:jc w:val="both"/>
        <w:spacing w:after="0" w:line="244" w:lineRule="auto"/>
        <w:rPr>
          <w:sz w:val="20"/>
          <w:szCs w:val="20"/>
          <w:color w:val="auto"/>
        </w:rPr>
      </w:pPr>
      <w:r>
        <w:rPr>
          <w:rFonts w:ascii="Times New Roman" w:cs="Times New Roman" w:eastAsia="Times New Roman" w:hAnsi="Times New Roman"/>
          <w:sz w:val="22"/>
          <w:szCs w:val="22"/>
          <w:color w:val="auto"/>
        </w:rPr>
        <w:t>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5.16 [Reserved].</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5.17 [Reserved].</w:t>
      </w:r>
    </w:p>
    <w:p>
      <w:pPr>
        <w:spacing w:after="0" w:line="206"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5.18 Credit Party Minimum Coverage. In the event that Excluded Subsidiaries in the aggregate, (a) possess total assets as of the end of any fiscal quarter or fiscal year, as applicable (commencing with the fiscal quarter ending on September 30, 2025), for which a Compliance Certificate has been delivered to Agent greater than 10.0% of the total assets of Borrower and its Subsidiaries or (b) contribute to the Consolidated Revenue for such fiscal quarter in an amount greater than 10.0% of the Consolidated Revenue of Borrower and its Subsidiaries for such period, in each case, determined in accordance with GAAP; then Borrower shall, within five (5) Business Days of the delivery of such Compliance Certificate (i) in consultation with the Blackstone Representative, designate in writing to Agent one or more of such Excluded Subsidiary(ies) which shall no longer be deemed to be Excluded Subsidiary(ies) such that the foregoing condition under each of clause (a) and clause (b) ceases to be true (an “Excluded Subsidiary Conversion”) and (ii) comply with the provisions of </w:t>
      </w:r>
      <w:r>
        <w:rPr>
          <w:rFonts w:ascii="Times New Roman" w:cs="Times New Roman" w:eastAsia="Times New Roman" w:hAnsi="Times New Roman"/>
          <w:sz w:val="22"/>
          <w:szCs w:val="22"/>
          <w:b w:val="1"/>
          <w:bCs w:val="1"/>
          <w:u w:val="single" w:color="auto"/>
          <w:color w:val="auto"/>
        </w:rPr>
        <w:t>Section 5.12</w:t>
      </w:r>
      <w:r>
        <w:rPr>
          <w:rFonts w:ascii="Times New Roman" w:cs="Times New Roman" w:eastAsia="Times New Roman" w:hAnsi="Times New Roman"/>
          <w:sz w:val="22"/>
          <w:szCs w:val="22"/>
          <w:b w:val="1"/>
          <w:bCs w:val="1"/>
          <w:color w:val="auto"/>
        </w:rPr>
        <w:t xml:space="preserve"> and </w:t>
      </w:r>
      <w:r>
        <w:rPr>
          <w:rFonts w:ascii="Times New Roman" w:cs="Times New Roman" w:eastAsia="Times New Roman" w:hAnsi="Times New Roman"/>
          <w:sz w:val="22"/>
          <w:szCs w:val="22"/>
          <w:b w:val="1"/>
          <w:bCs w:val="1"/>
          <w:u w:val="single" w:color="auto"/>
          <w:color w:val="auto"/>
        </w:rPr>
        <w:t>Section 5.13</w:t>
      </w:r>
      <w:r>
        <w:rPr>
          <w:rFonts w:ascii="Times New Roman" w:cs="Times New Roman" w:eastAsia="Times New Roman" w:hAnsi="Times New Roman"/>
          <w:sz w:val="22"/>
          <w:szCs w:val="22"/>
          <w:b w:val="1"/>
          <w:bCs w:val="1"/>
          <w:color w:val="auto"/>
        </w:rPr>
        <w:t xml:space="preserve">, applicable to any such designated Subsidiary (in each case, in the time periods applicable as if such Subsidiary(ies) had been formed or acquired at the time of such Excluded Subsidiary Conversion);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however</w:t>
      </w:r>
      <w:r>
        <w:rPr>
          <w:rFonts w:ascii="Times New Roman" w:cs="Times New Roman" w:eastAsia="Times New Roman" w:hAnsi="Times New Roman"/>
          <w:sz w:val="22"/>
          <w:szCs w:val="22"/>
          <w:b w:val="1"/>
          <w:bCs w:val="1"/>
          <w:color w:val="auto"/>
        </w:rPr>
        <w:t>, that no Subsidiary shall be required to be added as a Guarantor or grant collateral security if doing so would be expected to result in a material adverse tax consequence to Borrower or its Subsidiaries, as reasonably and mutually determined by Borrower and the Blackstone Representative and/or would result in, or would reasonably be expected to result in, a risk of personal or criminal liability for any officer, director, employee, manager, member of management or consultant of the relevant Guarantor to be added (in each case, whether as a result of financial assistance, corporate benefit, thin capitalization, capital maintenance or liquidity maintenance rules or other legal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-948690</wp:posOffset>
            </wp:positionV>
            <wp:extent cx="5143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left="440" w:hanging="432"/>
        <w:spacing w:after="0"/>
        <w:tabs>
          <w:tab w:leader="none" w:pos="44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NEGATIVE COVENANTS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Each Credit Party covenants and agrees that, until payment in full of all Obligations in cash in immediately available funds (other than inchoate indemnity obligations in respect of which no claims has been asserted), such Credit Party shall not, and shall cause each of its Subsidiaries not to:</w:t>
      </w:r>
    </w:p>
    <w:p>
      <w:pPr>
        <w:spacing w:after="0" w:line="169" w:lineRule="exact"/>
        <w:rPr>
          <w:sz w:val="20"/>
          <w:szCs w:val="20"/>
          <w:color w:val="auto"/>
        </w:rPr>
      </w:pPr>
    </w:p>
    <w:p>
      <w:pPr>
        <w:jc w:val="both"/>
        <w:ind w:firstLine="749"/>
        <w:spacing w:after="0" w:line="251" w:lineRule="exact"/>
        <w:rPr>
          <w:sz w:val="20"/>
          <w:szCs w:val="20"/>
          <w:color w:val="auto"/>
        </w:rPr>
      </w:pPr>
      <w:r>
        <w:rPr>
          <w:rFonts w:ascii="Times New Roman" w:cs="Times New Roman" w:eastAsia="Times New Roman" w:hAnsi="Times New Roman"/>
          <w:sz w:val="22"/>
          <w:szCs w:val="22"/>
          <w:b w:val="1"/>
          <w:bCs w:val="1"/>
          <w:color w:val="auto"/>
        </w:rPr>
        <w:t>6.1 Dispositions. Convey, sell, lease, transfer, assign, contribute, covenant not to sue in relation to, enter into a coexistence agreement in relation to, grant any option, warrant or other right in relation to, exclusively or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exclusively license out, or otherwise dispose of (including without limitation (a) any sale</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leaseback, (b) by way of merger or (c) pursuant to a plan of division), directly or indirectly and whether in one or a series of transactions (collectively, “Transfer”), all or any part of the property or assets of any kind, whether real, personal, or mixed and whether tangible or intangible, whether now owned or hereafter acquired (including accounts receivables and Equity Interests of Subsidiaries) of Borrower or any of its Subsidiaries; except, in each case of this </w:t>
      </w:r>
      <w:r>
        <w:rPr>
          <w:rFonts w:ascii="Times New Roman" w:cs="Times New Roman" w:eastAsia="Times New Roman" w:hAnsi="Times New Roman"/>
          <w:sz w:val="22"/>
          <w:szCs w:val="22"/>
          <w:b w:val="1"/>
          <w:bCs w:val="1"/>
          <w:u w:val="single" w:color="auto"/>
          <w:color w:val="auto"/>
        </w:rPr>
        <w:t>Section 6.1</w:t>
      </w:r>
      <w:r>
        <w:rPr>
          <w:rFonts w:ascii="Times New Roman" w:cs="Times New Roman" w:eastAsia="Times New Roman" w:hAnsi="Times New Roman"/>
          <w:sz w:val="22"/>
          <w:szCs w:val="22"/>
          <w:b w:val="1"/>
          <w:bCs w:val="1"/>
          <w:color w:val="auto"/>
        </w:rPr>
        <w:t xml:space="preserve">, for Permitted Transfers;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in no event shall any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-27940</wp:posOffset>
            </wp:positionV>
            <wp:extent cx="342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8" w:name="page149"/>
    <w:bookmarkEnd w:id="148"/>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Party or any Subsidiary, directly or indirectly, Transfer any Intellectual Property to any Person, other than as expressly permitted pursuant to </w:t>
      </w:r>
      <w:r>
        <w:rPr>
          <w:rFonts w:ascii="Times New Roman" w:cs="Times New Roman" w:eastAsia="Times New Roman" w:hAnsi="Times New Roman"/>
          <w:sz w:val="22"/>
          <w:szCs w:val="22"/>
          <w:b w:val="1"/>
          <w:bCs w:val="1"/>
          <w:u w:val="single" w:color="auto"/>
          <w:color w:val="auto"/>
        </w:rPr>
        <w:t>clauses (i), (j)</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(k)</w:t>
      </w:r>
      <w:r>
        <w:rPr>
          <w:rFonts w:ascii="Times New Roman" w:cs="Times New Roman" w:eastAsia="Times New Roman" w:hAnsi="Times New Roman"/>
          <w:sz w:val="22"/>
          <w:szCs w:val="22"/>
          <w:b w:val="1"/>
          <w:bCs w:val="1"/>
          <w:color w:val="auto"/>
        </w:rPr>
        <w:t xml:space="preserve"> and/or </w:t>
      </w:r>
      <w:r>
        <w:rPr>
          <w:rFonts w:ascii="Times New Roman" w:cs="Times New Roman" w:eastAsia="Times New Roman" w:hAnsi="Times New Roman"/>
          <w:sz w:val="22"/>
          <w:szCs w:val="22"/>
          <w:b w:val="1"/>
          <w:bCs w:val="1"/>
          <w:u w:val="single" w:color="auto"/>
          <w:color w:val="auto"/>
        </w:rPr>
        <w:t>(l)</w:t>
      </w:r>
      <w:r>
        <w:rPr>
          <w:rFonts w:ascii="Times New Roman" w:cs="Times New Roman" w:eastAsia="Times New Roman" w:hAnsi="Times New Roman"/>
          <w:sz w:val="22"/>
          <w:szCs w:val="22"/>
          <w:b w:val="1"/>
          <w:bCs w:val="1"/>
          <w:color w:val="auto"/>
        </w:rPr>
        <w:t xml:space="preserve"> of the definition of “Permitted Transfer”. Notwithstanding anything else to the contrary in this Agreement, no Credit Party shall Transfer to any Subsidiary that is not a Credit Party, nor permit any Subsidiary that is not a Credit Party at any time to own, hold or have any rights to any Material IP (and, for the avoidance of doubt, if after the Closing Date such non-Credit Party Subsidiary develops any Material IP, then such Subsidiary shall either transfer such Material IP to a Credit Party or become a Credit Party pursuant to, and within the time periods specified in, </w:t>
      </w:r>
      <w:r>
        <w:rPr>
          <w:rFonts w:ascii="Times New Roman" w:cs="Times New Roman" w:eastAsia="Times New Roman" w:hAnsi="Times New Roman"/>
          <w:sz w:val="22"/>
          <w:szCs w:val="22"/>
          <w:b w:val="1"/>
          <w:bCs w:val="1"/>
          <w:u w:val="single" w:color="auto"/>
          <w:color w:val="auto"/>
        </w:rPr>
        <w:t>Section 5.13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this shall not prohibit any Transfers that are otherwise permitted pursuant to clause (k) of the definition of “Permitted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-183515</wp:posOffset>
            </wp:positionV>
            <wp:extent cx="431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  Fundamental Changes.</w:t>
      </w:r>
    </w:p>
    <w:p>
      <w:pPr>
        <w:spacing w:after="0" w:line="210" w:lineRule="exact"/>
        <w:rPr>
          <w:sz w:val="20"/>
          <w:szCs w:val="20"/>
          <w:color w:val="auto"/>
        </w:rPr>
      </w:pPr>
    </w:p>
    <w:p>
      <w:pPr>
        <w:jc w:val="both"/>
        <w:ind w:firstLine="757"/>
        <w:spacing w:after="0" w:line="236" w:lineRule="auto"/>
        <w:tabs>
          <w:tab w:leader="none" w:pos="118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at least five (5) Business Days (or such later date as may be agreed to by Blackstone Representative in its sole discretion) prior written notice to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no event shall Borrower change its jurisdiction of organization, incorporation or formation, or change its organizational structure or type, without the prior written consent of the Blackstone Representative.</w:t>
      </w:r>
    </w:p>
    <w:p>
      <w:pPr>
        <w:spacing w:after="0" w:line="146" w:lineRule="exact"/>
        <w:rPr>
          <w:rFonts w:ascii="Times New Roman" w:cs="Times New Roman" w:eastAsia="Times New Roman" w:hAnsi="Times New Roman"/>
          <w:sz w:val="22"/>
          <w:szCs w:val="22"/>
          <w:color w:val="auto"/>
        </w:rPr>
      </w:pPr>
    </w:p>
    <w:p>
      <w:pPr>
        <w:ind w:right="20" w:firstLine="757"/>
        <w:spacing w:after="0" w:line="287" w:lineRule="exact"/>
        <w:tabs>
          <w:tab w:leader="none" w:pos="118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 Credit Party to be a direct or indirect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Subsidiary of Borrower that is not also a Credit Party.</w:t>
      </w:r>
    </w:p>
    <w:p>
      <w:pPr>
        <w:spacing w:after="0" w:line="176"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Subsidiary of Borrower to issue any Equity Interests (whether for value or otherwise) to any Person other than (i) with respect to any Subsidiary of Borrower that is a Credit Party, the issuance of Equity Interests of such Credit Party to a Credit Party and (ii), with respect to any Subsidiary of Borrower that is not a Credit Party, to any other Subsidiary of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issuance shall cause a Subsidiary that is (A)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Credit Party to cease to be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such Credit Party, or (B) majority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a Credit Party to cease to be majority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owned by a Credit Party, other than pursuant to any Permitted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that</w:t>
      </w:r>
      <w:r>
        <w:rPr>
          <w:rFonts w:ascii="Times New Roman" w:cs="Times New Roman" w:eastAsia="Times New Roman" w:hAnsi="Times New Roman"/>
          <w:sz w:val="22"/>
          <w:szCs w:val="22"/>
          <w:color w:val="auto"/>
        </w:rPr>
        <w:t xml:space="preserve"> notwithstanding the foregoing and anything else to the contrary herein, any Subsidiary may issue qualifying directors’ shares and similar interests pursuant to the Requirement of Law.</w:t>
      </w:r>
    </w:p>
    <w:p>
      <w:pPr>
        <w:spacing w:after="0" w:line="145" w:lineRule="exact"/>
        <w:rPr>
          <w:rFonts w:ascii="Times New Roman" w:cs="Times New Roman" w:eastAsia="Times New Roman" w:hAnsi="Times New Roman"/>
          <w:sz w:val="22"/>
          <w:szCs w:val="22"/>
          <w:color w:val="auto"/>
        </w:rPr>
      </w:pPr>
    </w:p>
    <w:p>
      <w:pPr>
        <w:jc w:val="both"/>
        <w:ind w:firstLine="757"/>
        <w:spacing w:after="0" w:line="277" w:lineRule="exact"/>
        <w:tabs>
          <w:tab w:leader="none" w:pos="118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Credit Party to cease to be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such Credit Party, other than in connection with any Permitted Transfer of all of the Equity Interests of such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to a Person that is not a Credit Party or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6230620</wp:posOffset>
            </wp:positionH>
            <wp:positionV relativeFrom="paragraph">
              <wp:posOffset>-2800985</wp:posOffset>
            </wp:positionV>
            <wp:extent cx="342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6.3  Mergers, Acquisitions, Liquidations or Dissolutions.</w:t>
      </w:r>
    </w:p>
    <w:p>
      <w:pPr>
        <w:spacing w:after="0" w:line="210" w:lineRule="exact"/>
        <w:rPr>
          <w:sz w:val="20"/>
          <w:szCs w:val="20"/>
          <w:color w:val="auto"/>
        </w:rPr>
      </w:pPr>
    </w:p>
    <w:p>
      <w:pPr>
        <w:ind w:firstLine="757"/>
        <w:spacing w:after="0" w:line="282" w:lineRule="auto"/>
        <w:tabs>
          <w:tab w:leader="none" w:pos="1181"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 divide itself into two (2) or more entities, consolidate, liquidate or dissolve, or permit any of its Subsidiaries to merge, divide itself into two (2) or more entities, consolidate, liquidate or dissolve with or into any other Person, except that: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9" w:name="page150"/>
    <w:bookmarkEnd w:id="149"/>
    <w:p>
      <w:pPr>
        <w:ind w:left="760" w:right="20" w:firstLine="745"/>
        <w:spacing w:after="0" w:line="258" w:lineRule="auto"/>
        <w:tabs>
          <w:tab w:leader="none" w:pos="194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merge or consolidate with or into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Borrower is the surviving entity,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merge or consolidate with any other Subsidiary of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party to such merger or consolidation is a Credit Party, then either (x) such Credit Party is the surviving entity, or (y) the surviving or resulting entity executes and delivers to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substantially contemporaneously with completion of such merger or consolidation to;</w:t>
      </w:r>
    </w:p>
    <w:p>
      <w:pPr>
        <w:spacing w:after="0" w:line="176"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liquidate or dissolve,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properties and assets of any such Subsidiary that is a Credit Party are distributed or otherwise transferred to Borrower or any other Credit Party;</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53" w:lineRule="exact"/>
        <w:tabs>
          <w:tab w:leader="none" w:pos="194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Borrower may divide itself into two (2) or more entities or be dissolved or liquidated,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Subsidiary is a Credit Party, the properties and assets of such Subsidiary are allocated or distributed to an existing or newly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formed Credit Party or such resulting entity executes and delivers to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substantially contemporaneously therewith; and</w:t>
      </w:r>
    </w:p>
    <w:p>
      <w:pPr>
        <w:spacing w:after="0" w:line="179" w:lineRule="exact"/>
        <w:rPr>
          <w:rFonts w:ascii="Times New Roman" w:cs="Times New Roman" w:eastAsia="Times New Roman" w:hAnsi="Times New Roman"/>
          <w:sz w:val="22"/>
          <w:szCs w:val="22"/>
          <w:color w:val="auto"/>
        </w:rPr>
      </w:pPr>
    </w:p>
    <w:p>
      <w:pPr>
        <w:jc w:val="both"/>
        <w:ind w:left="760" w:firstLine="745"/>
        <w:spacing w:after="0" w:line="235" w:lineRule="auto"/>
        <w:tabs>
          <w:tab w:leader="none" w:pos="1941"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Permitted Investment, Borrower or any of its Subsidiaries may merge or consolidate with any other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Person surviving such merger with any Subsidiary shall be a direct or indirect Wholly-Owned Subsidiary of Borrower, (ii) in the case of any such merger or consolidation to which Borrower is a party, Borrower is the surviving entity, and (iii) in the case of any such merger or consolidation to which a Guarantor is a party, (x) such Guarantor is the surviving entity, or (y) the surviving or resulting entity executes and delivers to Agent a joinder to the Security Agreement in the form attached thereto and any other Collateral Documents, as applicable, and otherwise satisfies the requirements of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substantially contemporaneously with completion of such merger or consolidation; or</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or permit any of its Subsidiaries to make, Acquisitions, other than Permitted Acquisitions or Permitted</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6.4 Indebtedness. Directly or indirectly, create, incur, assume, permit to exist or guaranty, or otherwise become or remain directly or indirectly liable with respect to, any Indebtedness (including any Indebtedness consisting of obligations evidenced by a bond, debenture, note or other similar instrument) that is not Permitted Indebtedness;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however</w:t>
      </w:r>
      <w:r>
        <w:rPr>
          <w:rFonts w:ascii="Times New Roman" w:cs="Times New Roman" w:eastAsia="Times New Roman" w:hAnsi="Times New Roman"/>
          <w:sz w:val="22"/>
          <w:szCs w:val="22"/>
          <w:b w:val="1"/>
          <w:bCs w:val="1"/>
          <w:color w:val="auto"/>
        </w:rPr>
        <w:t xml:space="preserve">, that the accrual of interest, the accretion of accreted value and the payment of interest in the form of additional Indebtedness shall not be deemed to be an incurrence of Indebtedness for purposes of this </w:t>
      </w:r>
      <w:r>
        <w:rPr>
          <w:rFonts w:ascii="Times New Roman" w:cs="Times New Roman" w:eastAsia="Times New Roman" w:hAnsi="Times New Roman"/>
          <w:sz w:val="22"/>
          <w:szCs w:val="22"/>
          <w:b w:val="1"/>
          <w:bCs w:val="1"/>
          <w:u w:val="single" w:color="auto"/>
          <w:color w:val="auto"/>
        </w:rPr>
        <w:t>Section 6.4</w:t>
      </w:r>
      <w:r>
        <w:rPr>
          <w:rFonts w:ascii="Times New Roman" w:cs="Times New Roman" w:eastAsia="Times New Roman" w:hAnsi="Times New Roman"/>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-184150</wp:posOffset>
            </wp:positionV>
            <wp:extent cx="342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6.5 Encumbrances . Except for Permitted Liens, (i) create, incur, allow, or suffer to exist any Lien on any property or asset of Borrower or any of its Subsidiaries;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in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3879215</wp:posOffset>
            </wp:positionH>
            <wp:positionV relativeFrom="paragraph">
              <wp:posOffset>-46990</wp:posOffset>
            </wp:positionV>
            <wp:extent cx="3429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0" w:name="page151"/>
    <w:bookmarkEnd w:id="150"/>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event shall any Credit Party or Subsidiary permit any Product, or Product IP to be subject to a Lien incurred in connection with Indebtedness for borrowed money (other than the Obligations) or (ii) permit (other than pursuant to the terms of the Loan Documents) any property and assets of the Credit Parties (other than Excluded Property) to not be subject to the first priority (subject to Permitted Priority Liens) security interest granted in the Loan Documents or otherwise pursuant to the Collateral Documents.</w:t>
      </w:r>
    </w:p>
    <w:p>
      <w:pPr>
        <w:spacing w:after="0" w:line="177"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6.6 No Further Negative Pledges . Enter into any agreement, document or instrument directly or indirectly prohibiting (or having the effect of prohibiting), restricting, imposing any condition upon or otherwise limiting the ability of such Credit Party or Subsidiary to create, incur, assume or suffer to exist any Lien upon any Collateral, whether now owned or hereafter acquired, in favor and for the benefit of Agent and the other Secured Parties with respect to the Obligations or under the Loan Documents, in each case of this </w:t>
      </w:r>
      <w:r>
        <w:rPr>
          <w:rFonts w:ascii="Times New Roman" w:cs="Times New Roman" w:eastAsia="Times New Roman" w:hAnsi="Times New Roman"/>
          <w:sz w:val="21"/>
          <w:szCs w:val="21"/>
          <w:b w:val="1"/>
          <w:bCs w:val="1"/>
          <w:u w:val="single" w:color="auto"/>
          <w:color w:val="auto"/>
        </w:rPr>
        <w:t>Section 6.6(a)</w:t>
      </w:r>
      <w:r>
        <w:rPr>
          <w:rFonts w:ascii="Times New Roman" w:cs="Times New Roman" w:eastAsia="Times New Roman" w:hAnsi="Times New Roman"/>
          <w:sz w:val="21"/>
          <w:szCs w:val="21"/>
          <w:b w:val="1"/>
          <w:bCs w:val="1"/>
          <w:color w:val="auto"/>
        </w:rPr>
        <w:t>, other than Permitted Negative Pledges.</w:t>
      </w:r>
    </w:p>
    <w:p>
      <w:pPr>
        <w:spacing w:after="0" w:line="16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6.7 Maintenance of Collateral Accounts . Maintain any Collateral Account except pursuant to the terms of </w:t>
      </w:r>
      <w:r>
        <w:rPr>
          <w:rFonts w:ascii="Times New Roman" w:cs="Times New Roman" w:eastAsia="Times New Roman" w:hAnsi="Times New Roman"/>
          <w:sz w:val="22"/>
          <w:szCs w:val="22"/>
          <w:b w:val="1"/>
          <w:bCs w:val="1"/>
          <w:u w:val="single" w:color="auto"/>
          <w:color w:val="auto"/>
        </w:rPr>
        <w:t>Section 5.5</w:t>
      </w:r>
      <w:r>
        <w:rPr>
          <w:rFonts w:ascii="Times New Roman" w:cs="Times New Roman" w:eastAsia="Times New Roman" w:hAnsi="Times New Roman"/>
          <w:sz w:val="22"/>
          <w:szCs w:val="22"/>
          <w:b w:val="1"/>
          <w:bCs w:val="1"/>
          <w:color w:val="auto"/>
        </w:rPr>
        <w:t xml:space="preserve"> hereof.</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6.8  Distributions; Investments.</w:t>
      </w:r>
    </w:p>
    <w:p>
      <w:pPr>
        <w:spacing w:after="0" w:line="210" w:lineRule="exact"/>
        <w:rPr>
          <w:sz w:val="20"/>
          <w:szCs w:val="20"/>
          <w:color w:val="auto"/>
        </w:rPr>
      </w:pPr>
    </w:p>
    <w:p>
      <w:pPr>
        <w:jc w:val="both"/>
        <w:ind w:firstLine="757"/>
        <w:spacing w:after="0" w:line="238"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declare or pay any dividends or make any distribution or payment on or redeem, retire, defease, acquire, cancel, terminate or purchase (or set apart assets for a sinking or other analogous fund for the redemption, retirement, defeasance, acquisition, cancellation, termination or purchase of) any Equity Interests (or warrants, options or other right or obligation to purchase of acquire any such Equity Interests), whether in cash, property or obligations (each, a “</w:t>
      </w:r>
      <w:r>
        <w:rPr>
          <w:rFonts w:ascii="Times New Roman" w:cs="Times New Roman" w:eastAsia="Times New Roman" w:hAnsi="Times New Roman"/>
          <w:sz w:val="22"/>
          <w:szCs w:val="22"/>
          <w:b w:val="1"/>
          <w:bCs w:val="1"/>
          <w:color w:val="auto"/>
        </w:rPr>
        <w:t>Restricted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except, in each case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for Permitted Distributions.</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make any Investment other than Permitted Investments.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generality of the foregoing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in no event shall (x) a Credit Party, directly or indirectly, make a Restricted Distribution or Investment with any Material IP to any Person other than pursuant to any Permitted Transfers permitted pursuant to clause (j), (k) or (l) of the definition of “Permitted Transfers” and (y) a Credit Party, directly or indirectly, make any Restricted Distribution to a Subsidiary that is not a Credit Party.</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6.9 No Restrictions on Subsidiary Distributions. Enter into any agreement, document or instrument directly or indirectly prohibiting (or having the effect of prohibiting), restricting, imposing any condition upon or otherwise limiting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Collateral to Borrower or any other Subsidiary of Borrower, except, in each case of this </w:t>
      </w:r>
      <w:r>
        <w:rPr>
          <w:rFonts w:ascii="Times New Roman" w:cs="Times New Roman" w:eastAsia="Times New Roman" w:hAnsi="Times New Roman"/>
          <w:sz w:val="22"/>
          <w:szCs w:val="22"/>
          <w:b w:val="1"/>
          <w:bCs w:val="1"/>
          <w:u w:val="single" w:color="auto"/>
          <w:color w:val="auto"/>
        </w:rPr>
        <w:t>Section 6.9</w:t>
      </w:r>
      <w:r>
        <w:rPr>
          <w:rFonts w:ascii="Times New Roman" w:cs="Times New Roman" w:eastAsia="Times New Roman" w:hAnsi="Times New Roman"/>
          <w:sz w:val="22"/>
          <w:szCs w:val="22"/>
          <w:b w:val="1"/>
          <w:bCs w:val="1"/>
          <w:color w:val="auto"/>
        </w:rPr>
        <w:t>, for Permitted Subsidiary Distribution Restrictions.</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6.10 Junior Indebtedness. Make or permit any voluntary or optional prepayment, or otherwise repay, redeem, purchase, defease, acquire or satisfy prior to its regularly scheduled due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1" w:name="page152"/>
    <w:bookmarkEnd w:id="151"/>
    <w:p>
      <w:pPr>
        <w:jc w:val="both"/>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date, any (a) Indebtedness which is secured by a Lien on any Collateral, (b) Subordinated Debt, (c) Permitted Convertible Bond Indebtedness or (d) unsecured Indebtedness for borrowed money (clauses (a) through (d), collectively, “Junior Indebtedness”), except: (i) to the extent permitted under the terms of any subordination, intercreditor, or other similar agreement to which any Junior Indebtedness constituting Permitted Indebtedness is subject; (ii) Permitted Refinancing of any Junior Indebtedness with any Indebtedness permitted to be incurred under </w:t>
      </w:r>
      <w:r>
        <w:rPr>
          <w:rFonts w:ascii="Times New Roman" w:cs="Times New Roman" w:eastAsia="Times New Roman" w:hAnsi="Times New Roman"/>
          <w:sz w:val="21"/>
          <w:szCs w:val="21"/>
          <w:b w:val="1"/>
          <w:bCs w:val="1"/>
          <w:u w:val="single" w:color="auto"/>
          <w:color w:val="auto"/>
        </w:rPr>
        <w:t>Section 6.4</w:t>
      </w:r>
      <w:r>
        <w:rPr>
          <w:rFonts w:ascii="Times New Roman" w:cs="Times New Roman" w:eastAsia="Times New Roman" w:hAnsi="Times New Roman"/>
          <w:sz w:val="21"/>
          <w:szCs w:val="21"/>
          <w:b w:val="1"/>
          <w:bCs w:val="1"/>
          <w:color w:val="auto"/>
        </w:rPr>
        <w:t xml:space="preserve">; (iii) any prepayment, exchange or conversion of any Permitted Convertible Bond Indebtedness that is made or settled solely in Qualified Equity Interests of Borrower (and cash (x) in lieu of fractional shares and (y) in respect of accrued and unpaid interest); (iv) Permitted Distributions (solely pursuant to clause (p) of such definition); and (v) subject to satisfaction of the Redemption Conditions, the repurchase, exchange or repayment of Permitted Convertible Bond Indebtedness. For the avoidance of doubt, this </w:t>
      </w:r>
      <w:r>
        <w:rPr>
          <w:rFonts w:ascii="Times New Roman" w:cs="Times New Roman" w:eastAsia="Times New Roman" w:hAnsi="Times New Roman"/>
          <w:sz w:val="21"/>
          <w:szCs w:val="21"/>
          <w:b w:val="1"/>
          <w:bCs w:val="1"/>
          <w:u w:val="single" w:color="auto"/>
          <w:color w:val="auto"/>
        </w:rPr>
        <w:t>Section 6.10</w:t>
      </w:r>
      <w:r>
        <w:rPr>
          <w:rFonts w:ascii="Times New Roman" w:cs="Times New Roman" w:eastAsia="Times New Roman" w:hAnsi="Times New Roman"/>
          <w:sz w:val="21"/>
          <w:szCs w:val="21"/>
          <w:b w:val="1"/>
          <w:bCs w:val="1"/>
          <w:color w:val="auto"/>
        </w:rPr>
        <w:t xml:space="preserve"> shall prohibit (i) any cash repurchase of Permitted Convertible Bond Indebtedness (whether upon a “fundamental change,” redemption upon satisfaction of a stock price condition, or otherwise) and (ii) the settlement of any conversion of Permitted Convertible Bond Indebtedness in cash in any amount (other than cash in lieu of fractional shares), in each case ((i) and (ii)), unless the Redemption Conditions are satisfied.</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6.11 Amendments or Waivers of Organizational Documents or Junior Indebtedness.</w:t>
      </w:r>
    </w:p>
    <w:p>
      <w:pPr>
        <w:spacing w:after="0" w:line="210" w:lineRule="exact"/>
        <w:rPr>
          <w:sz w:val="20"/>
          <w:szCs w:val="20"/>
          <w:color w:val="auto"/>
        </w:rPr>
      </w:pPr>
    </w:p>
    <w:p>
      <w:pPr>
        <w:jc w:val="both"/>
        <w:ind w:firstLine="757"/>
        <w:spacing w:after="0" w:line="244" w:lineRule="auto"/>
        <w:tabs>
          <w:tab w:leader="none" w:pos="11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or waive, any provision of its Operating Documents or equivalent, which amendment, restatement, supplement, modification or waiver would be materially adverse to the interests of the Secured Parties.</w:t>
      </w:r>
    </w:p>
    <w:p>
      <w:pPr>
        <w:spacing w:after="0" w:line="173"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restate, supplement or otherwise modify, or waive, the terms of any (i) Subordinated Debt, except to the extent permitted by the subordination agreement executed by Agent (at the direction of the Blackstone Representative) or (ii) Junior Indebtedness not constituting Subordinated Debt if the effect of such amendment, restatement, supplement, modification or waiver would: (A) increase the interest rate on such Indebtedness by more than two percent (2.0%); (B) shorten the dates upon which payments of principal or interest are due on such Indebtedness (unless such shortened date is more than one hundred eighty (180) days after the Term Loan Maturity Date); (C) add or change in a manner adverse to the Credit Parties any event of default or add or make more restrictive any covenant with respect to such Indebtedness; (D) change in a manner adverse to the Credit Parties the prepayment provisions of such Indebtedness; (E) change the subordination provisions thereof (or the subordination terms of any guaranty thereof); (F) change or amend any other term if such change or amendment would confer additional material rights on the holders of such Indebtedness in a manner adverse to the Credit Parties, Agent or the Lenders (in their respective capacities as such); (G) materially increase the amount of such Indebtedness; or (H) otherwise be materially adverse to the interests of the Secured Parties.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6.12 Compliance.</w:t>
      </w:r>
    </w:p>
    <w:p>
      <w:pPr>
        <w:spacing w:after="0" w:line="210" w:lineRule="exact"/>
        <w:rPr>
          <w:sz w:val="20"/>
          <w:szCs w:val="20"/>
          <w:color w:val="auto"/>
        </w:rPr>
      </w:pPr>
    </w:p>
    <w:p>
      <w:pPr>
        <w:jc w:val="both"/>
        <w:ind w:firstLine="757"/>
        <w:spacing w:after="0" w:line="244" w:lineRule="auto"/>
        <w:tabs>
          <w:tab w:leader="none" w:pos="118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 an “investment company” under the Investment Company Act of 1940, as amended, or undertake as one of its important activities extending credit to purchase or carry Margin Stock, or use the proceeds of any Credit Extension for that purpose;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2" w:name="page153"/>
    <w:bookmarkEnd w:id="152"/>
    <w:p>
      <w:pPr>
        <w:jc w:val="both"/>
        <w:ind w:firstLine="757"/>
        <w:spacing w:after="0" w:line="239" w:lineRule="auto"/>
        <w:tabs>
          <w:tab w:leader="none" w:pos="118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Cause or suffer to exist, and no ERISA Affiliate shall cause or suffer to exist, (i) any event that would result in the imposition of a Lien on any assets or properties of any Credit Party or a Subsidiary of a Credit Party with respect to any Plan or Multiemployer Plan or (ii) any other ERISA Event that, in the case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could reasonably be expected to, individually or in the aggregate, result in a Material Adverse Change; or</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the occurrence of any violation of applicable law with respect to any Employee Benefit Plan, or any other plan or arrangement to provide pension, profit sharing, severance or deferred compensation which could reasonably be expected to, individually or in the aggregate, result in a Material Adverse Change.</w:t>
      </w:r>
    </w:p>
    <w:p>
      <w:pPr>
        <w:spacing w:after="0" w:line="139" w:lineRule="exact"/>
        <w:rPr>
          <w:sz w:val="20"/>
          <w:szCs w:val="20"/>
          <w:color w:val="auto"/>
        </w:rPr>
      </w:pPr>
    </w:p>
    <w:p>
      <w:pPr>
        <w:jc w:val="both"/>
        <w:ind w:firstLine="749"/>
        <w:spacing w:after="0" w:line="263" w:lineRule="exact"/>
        <w:rPr>
          <w:sz w:val="20"/>
          <w:szCs w:val="20"/>
          <w:color w:val="auto"/>
        </w:rPr>
      </w:pPr>
      <w:r>
        <w:rPr>
          <w:rFonts w:ascii="Times New Roman" w:cs="Times New Roman" w:eastAsia="Times New Roman" w:hAnsi="Times New Roman"/>
          <w:sz w:val="22"/>
          <w:szCs w:val="22"/>
          <w:b w:val="1"/>
          <w:bCs w:val="1"/>
          <w:color w:val="auto"/>
        </w:rPr>
        <w:t>6.13 Compliance with 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Laws . Agent and each Lender hereby notifies each Credit Party that pursuant to the requirements of 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Laws, and such Person’s policies and practices,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Agent and each Lender to identify such party in accordance with 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Laws. No</w:t>
      </w:r>
    </w:p>
    <w:p>
      <w:pPr>
        <w:spacing w:after="0" w:line="2" w:lineRule="exact"/>
        <w:rPr>
          <w:sz w:val="20"/>
          <w:szCs w:val="20"/>
          <w:color w:val="auto"/>
        </w:rPr>
      </w:pPr>
    </w:p>
    <w:p>
      <w:pPr>
        <w:jc w:val="both"/>
        <w:spacing w:after="0" w:line="249" w:lineRule="exact"/>
        <w:rPr>
          <w:sz w:val="20"/>
          <w:szCs w:val="20"/>
          <w:color w:val="auto"/>
        </w:rPr>
      </w:pPr>
      <w:r>
        <w:rPr>
          <w:rFonts w:ascii="Times New Roman" w:cs="Times New Roman" w:eastAsia="Times New Roman" w:hAnsi="Times New Roman"/>
          <w:sz w:val="21"/>
          <w:szCs w:val="21"/>
          <w:b w:val="1"/>
          <w:bCs w:val="1"/>
          <w:color w:val="auto"/>
        </w:rPr>
        <w:t xml:space="preserve">Credit Party shall, nor shall any Credit Party permit any of its Subsidiaries or Affiliates to, directly or indirectly, knowingly enter into any documents or contracts with any Person listed on the OFAC Lists. Each Credit Party shall promptly (but in any event within three (3) Business Days) notify Agent and the Blackstone Representative in writing upon any Responsible Officer of Borrower or any other Credit Party or Subsidiary having knowledge that any Credit Party or any Subsidiary or Affiliate of any Credit Party is listed on the OFAC Lists or (a) is convicted on, (b) pleads </w:t>
      </w:r>
      <w:r>
        <w:rPr>
          <w:rFonts w:ascii="Times New Roman" w:cs="Times New Roman" w:eastAsia="Times New Roman" w:hAnsi="Times New Roman"/>
          <w:sz w:val="21"/>
          <w:szCs w:val="21"/>
          <w:b w:val="1"/>
          <w:bCs w:val="1"/>
          <w:i w:val="1"/>
          <w:iCs w:val="1"/>
          <w:color w:val="auto"/>
        </w:rPr>
        <w:t>nolo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 xml:space="preserve">contendere </w:t>
      </w:r>
      <w:r>
        <w:rPr>
          <w:rFonts w:ascii="Times New Roman" w:cs="Times New Roman" w:eastAsia="Times New Roman" w:hAnsi="Times New Roman"/>
          <w:sz w:val="21"/>
          <w:szCs w:val="21"/>
          <w:b w:val="1"/>
          <w:bCs w:val="1"/>
          <w:color w:val="auto"/>
        </w:rPr>
        <w:t>to, (c) is indicted on, or (d) is arraigned and held over on charges involving money laundering or predicate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b w:val="1"/>
          <w:bCs w:val="1"/>
          <w:color w:val="auto"/>
        </w:rPr>
        <w:t>crimes to money laundering. No Credit Party shall, nor shall any Credit Party permit any of its Subsidiaries or Affiliates to, directly or indirectly, (i) conduct any business or engage in any transaction or dealing with any Blocked Person, including the making or receiving of any contribution of funds, goods or services to or for the benefit of any Blocked Person, (ii) deal in, or otherwise engage in any transaction relating to, any property or interests in property blocked pursuant to Executive Order No. 13224, any similar executive order or other Anti</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Terrorism Law, or (iii) engage in or conspire to engage in any transaction that evades or avoids or violates, or has the purpose of evading or avoiding, or attempts to violate, any of the prohibitions set forth in Executive Order No. 13224 or other Anti</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Terrorism Law.</w:t>
      </w:r>
    </w:p>
    <w:p>
      <w:pPr>
        <w:spacing w:after="0" w:line="14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6.14 Amendments or Waivers of Material Contracts. (a) Waive, amend, cancel or terminate, or fail to exercise, any material rights constituting or relating to any Material Contract, (b) breach, default under, or take any action or fail to take any action that, with the passage of time or the giving of notice or both, would constitute a default or event of default under any Material Contract, in each case of this </w:t>
      </w:r>
      <w:r>
        <w:rPr>
          <w:rFonts w:ascii="Times New Roman" w:cs="Times New Roman" w:eastAsia="Times New Roman" w:hAnsi="Times New Roman"/>
          <w:sz w:val="22"/>
          <w:szCs w:val="22"/>
          <w:b w:val="1"/>
          <w:bCs w:val="1"/>
          <w:u w:val="single" w:color="auto"/>
          <w:color w:val="auto"/>
        </w:rPr>
        <w:t>Section 6.14</w:t>
      </w:r>
      <w:r>
        <w:rPr>
          <w:rFonts w:ascii="Times New Roman" w:cs="Times New Roman" w:eastAsia="Times New Roman" w:hAnsi="Times New Roman"/>
          <w:sz w:val="22"/>
          <w:szCs w:val="22"/>
          <w:b w:val="1"/>
          <w:bCs w:val="1"/>
          <w:color w:val="auto"/>
        </w:rPr>
        <w:t>, (i) which could reasonably be expected to, individually or together with any other such waivers, amendments, agreements, cancellations, terminations, exercises or failures, result in a Material Adverse Change, or (ii) would be materially adverse to the interests of Agent and the Lenders.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6.15 Transactions with Affiliates . Enter into or permit to exist any arrangement, contract or transaction, including any purchase, sale, lease or exchange of property, the rendering of any service or the payment of any management, advisory or similar fees, with any Affiliate that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3" w:name="page154"/>
    <w:bookmarkEnd w:id="153"/>
    <w:p>
      <w:pPr>
        <w:jc w:val="both"/>
        <w:spacing w:after="0" w:line="251" w:lineRule="exact"/>
        <w:rPr>
          <w:sz w:val="20"/>
          <w:szCs w:val="20"/>
          <w:color w:val="auto"/>
        </w:rPr>
      </w:pPr>
      <w:r>
        <w:rPr>
          <w:rFonts w:ascii="Times New Roman" w:cs="Times New Roman" w:eastAsia="Times New Roman" w:hAnsi="Times New Roman"/>
          <w:sz w:val="22"/>
          <w:szCs w:val="22"/>
          <w:b w:val="1"/>
          <w:bCs w:val="1"/>
          <w:color w:val="auto"/>
        </w:rPr>
        <w:t>is not a Credit Party or a Wholly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Owned Subsidiary of a Credit Party, in each case with an aggregate value in excess of $2,500,000, except for (a) transactions in the ordinary course of business and pursuant to reasonable terms no less favorable, taken as a whole, to such Credit Party or such Subsidiary than would be obtained in a comparable arm’s length transaction with a Person not an Affiliate of Borrower or such Subsidiary, (b) transactions among the Credit Parties that are not otherwise prohibited by this Agreement, (c) transactions constituting Permitted Indebtedness, Permitted Investments or Permitted Transfers, (d) the issuance of Qualified Equity Interests in exchange for cash so long as such issuance does not result in a Change in Control, and (e) reasonable and customary director, officer and employee compensation (including bonuses) and other benefits (including retirement, health, stock option and other benefit plans and indemnification arrangements approved by the relevant board of directors, board managers or equivalent corporate body in the ordinary course of business).</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6.16 [Reserved].</w:t>
      </w:r>
    </w:p>
    <w:p>
      <w:pPr>
        <w:spacing w:after="0" w:line="206"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6.17 Minimum Liquidity. Permit Liquidity of Borrower and its Subsidiaries to be less than $40,000,000 on the last Business Day of any fiscal quarter ending after the Closing Date (commencing with the first fiscal quarter ending after the Closing Date).</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6.18 No Liability Management Transactions.</w:t>
      </w:r>
    </w:p>
    <w:p>
      <w:pPr>
        <w:spacing w:after="0" w:line="210" w:lineRule="exact"/>
        <w:rPr>
          <w:sz w:val="20"/>
          <w:szCs w:val="20"/>
          <w:color w:val="auto"/>
        </w:rPr>
      </w:pPr>
    </w:p>
    <w:p>
      <w:pPr>
        <w:jc w:val="both"/>
        <w:ind w:firstLine="757"/>
        <w:spacing w:after="0" w:line="244" w:lineRule="auto"/>
        <w:tabs>
          <w:tab w:leader="none" w:pos="118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Investment in or dispose of any assets to a Person that is not a Credit Party to facilitate a new financing incurred by a Subsidiary of Borrower (including a debtor in possession financing) or to guarantee an existing financing, in connection with a liability management transaction.</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 any Subsidiary of Borrower to cease to be Wholly-Owned Subsidiary at all times unless any such Subsidiary no longer exists pursuant to a transaction permitted by </w:t>
      </w:r>
      <w:r>
        <w:rPr>
          <w:rFonts w:ascii="Times New Roman" w:cs="Times New Roman" w:eastAsia="Times New Roman" w:hAnsi="Times New Roman"/>
          <w:sz w:val="22"/>
          <w:szCs w:val="22"/>
          <w:u w:val="single" w:color="auto"/>
          <w:color w:val="auto"/>
        </w:rPr>
        <w:t>Section 6.3</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6.19 Fiscal Year . Change its fiscal year or any of its fiscal quarters without the consent of the Blackstone Representative and the Lenders.</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6.20 Royalty Transaction. Enter into any Royalty Transaction.</w:t>
      </w:r>
    </w:p>
    <w:p>
      <w:pPr>
        <w:spacing w:after="0" w:line="206" w:lineRule="exact"/>
        <w:rPr>
          <w:sz w:val="20"/>
          <w:szCs w:val="20"/>
          <w:color w:val="auto"/>
        </w:rPr>
      </w:pPr>
    </w:p>
    <w:p>
      <w:pPr>
        <w:ind w:left="440" w:hanging="432"/>
        <w:spacing w:after="0"/>
        <w:tabs>
          <w:tab w:leader="none" w:pos="44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EVENTS OF DEFAULT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Any one of the following shall constitute an event of default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under this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7.1 Payment Default. Any Credit Party fails to (a) make any payment of any principal of the Term Loans when and as the same shall become due and payable, whether at the due date thereof or at a date fixed for prepayment (whether voluntary or mandatory) thereof or by acceleration thereof or otherwise, or (b) within five (5) Business Days after the same becomes due, any payment of interest or premium pursuant to </w:t>
      </w:r>
      <w:r>
        <w:rPr>
          <w:rFonts w:ascii="Times New Roman" w:cs="Times New Roman" w:eastAsia="Times New Roman" w:hAnsi="Times New Roman"/>
          <w:sz w:val="22"/>
          <w:szCs w:val="22"/>
          <w:b w:val="1"/>
          <w:bCs w:val="1"/>
          <w:u w:val="single" w:color="auto"/>
          <w:color w:val="auto"/>
        </w:rPr>
        <w:t>Section 2.2</w:t>
      </w:r>
      <w:r>
        <w:rPr>
          <w:rFonts w:ascii="Times New Roman" w:cs="Times New Roman" w:eastAsia="Times New Roman" w:hAnsi="Times New Roman"/>
          <w:sz w:val="22"/>
          <w:szCs w:val="22"/>
          <w:b w:val="1"/>
          <w:bCs w:val="1"/>
          <w:color w:val="auto"/>
        </w:rPr>
        <w:t xml:space="preserve">, including any applicable fees, the Prepayment Premium, or any other Obligations (which five (5) Business Day cure period shall not apply to any payments due on the Term Loan Maturity Date or the date of acceleration pursuant to </w:t>
      </w:r>
      <w:r>
        <w:rPr>
          <w:rFonts w:ascii="Times New Roman" w:cs="Times New Roman" w:eastAsia="Times New Roman" w:hAnsi="Times New Roman"/>
          <w:sz w:val="22"/>
          <w:szCs w:val="22"/>
          <w:b w:val="1"/>
          <w:bCs w:val="1"/>
          <w:u w:val="single" w:color="auto"/>
          <w:color w:val="auto"/>
        </w:rPr>
        <w:t>Section 8.1(a)</w:t>
      </w:r>
      <w:r>
        <w:rPr>
          <w:rFonts w:ascii="Times New Roman" w:cs="Times New Roman" w:eastAsia="Times New Roman" w:hAnsi="Times New Roman"/>
          <w:sz w:val="22"/>
          <w:szCs w:val="22"/>
          <w:b w:val="1"/>
          <w:bCs w:val="1"/>
          <w:color w:val="auto"/>
        </w:rPr>
        <w:t xml:space="preserve"> or </w:t>
      </w:r>
      <w:r>
        <w:rPr>
          <w:rFonts w:ascii="Times New Roman" w:cs="Times New Roman" w:eastAsia="Times New Roman" w:hAnsi="Times New Roman"/>
          <w:sz w:val="22"/>
          <w:szCs w:val="22"/>
          <w:b w:val="1"/>
          <w:bCs w:val="1"/>
          <w:u w:val="single" w:color="auto"/>
          <w:color w:val="auto"/>
        </w:rPr>
        <w:t>Section 2.2(c)(ii)</w:t>
      </w:r>
      <w:r>
        <w:rPr>
          <w:rFonts w:ascii="Times New Roman" w:cs="Times New Roman" w:eastAsia="Times New Roman" w:hAnsi="Times New Roman"/>
          <w:sz w:val="22"/>
          <w:szCs w:val="22"/>
          <w:b w:val="1"/>
          <w:bCs w:val="1"/>
          <w:color w:val="auto"/>
        </w:rPr>
        <w:t xml:space="preserve"> hereof). A failure to pay any such interest, premium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4" w:name="page155"/>
    <w:bookmarkEnd w:id="154"/>
    <w:p>
      <w:pPr>
        <w:jc w:val="both"/>
        <w:spacing w:after="0" w:line="272" w:lineRule="exact"/>
        <w:rPr>
          <w:sz w:val="20"/>
          <w:szCs w:val="20"/>
          <w:color w:val="auto"/>
        </w:rPr>
      </w:pPr>
      <w:r>
        <w:rPr>
          <w:rFonts w:ascii="Times New Roman" w:cs="Times New Roman" w:eastAsia="Times New Roman" w:hAnsi="Times New Roman"/>
          <w:sz w:val="22"/>
          <w:szCs w:val="22"/>
          <w:b w:val="1"/>
          <w:bCs w:val="1"/>
          <w:color w:val="auto"/>
        </w:rPr>
        <w:t xml:space="preserve">Obligations pursuant to the foregoing </w:t>
      </w:r>
      <w:r>
        <w:rPr>
          <w:rFonts w:ascii="Times New Roman" w:cs="Times New Roman" w:eastAsia="Times New Roman" w:hAnsi="Times New Roman"/>
          <w:sz w:val="22"/>
          <w:szCs w:val="22"/>
          <w:b w:val="1"/>
          <w:bCs w:val="1"/>
          <w:u w:val="single" w:color="auto"/>
          <w:color w:val="auto"/>
        </w:rPr>
        <w:t>clause (b)</w:t>
      </w:r>
      <w:r>
        <w:rPr>
          <w:rFonts w:ascii="Times New Roman" w:cs="Times New Roman" w:eastAsia="Times New Roman" w:hAnsi="Times New Roman"/>
          <w:sz w:val="22"/>
          <w:szCs w:val="22"/>
          <w:b w:val="1"/>
          <w:bCs w:val="1"/>
          <w:color w:val="auto"/>
        </w:rPr>
        <w:t xml:space="preserve"> prior to the end of such five (5) Business Day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period shall not constitute an Event of Default (unless such payment is due on the Term Loan Maturity Date or the date of acceleration pursuant to </w:t>
      </w:r>
      <w:r>
        <w:rPr>
          <w:rFonts w:ascii="Times New Roman" w:cs="Times New Roman" w:eastAsia="Times New Roman" w:hAnsi="Times New Roman"/>
          <w:sz w:val="22"/>
          <w:szCs w:val="22"/>
          <w:b w:val="1"/>
          <w:bCs w:val="1"/>
          <w:u w:val="single" w:color="auto"/>
          <w:color w:val="auto"/>
        </w:rPr>
        <w:t>Section 8.1(a)</w:t>
      </w:r>
      <w:r>
        <w:rPr>
          <w:rFonts w:ascii="Times New Roman" w:cs="Times New Roman" w:eastAsia="Times New Roman" w:hAnsi="Times New Roman"/>
          <w:sz w:val="22"/>
          <w:szCs w:val="22"/>
          <w:b w:val="1"/>
          <w:bCs w:val="1"/>
          <w:color w:val="auto"/>
        </w:rPr>
        <w:t xml:space="preserve"> or </w:t>
      </w:r>
      <w:r>
        <w:rPr>
          <w:rFonts w:ascii="Times New Roman" w:cs="Times New Roman" w:eastAsia="Times New Roman" w:hAnsi="Times New Roman"/>
          <w:sz w:val="22"/>
          <w:szCs w:val="22"/>
          <w:b w:val="1"/>
          <w:bCs w:val="1"/>
          <w:u w:val="single" w:color="auto"/>
          <w:color w:val="auto"/>
        </w:rPr>
        <w:t>Section 2.2(c)(ii)</w:t>
      </w:r>
      <w:r>
        <w:rPr>
          <w:rFonts w:ascii="Times New Roman" w:cs="Times New Roman" w:eastAsia="Times New Roman" w:hAnsi="Times New Roman"/>
          <w:sz w:val="22"/>
          <w:szCs w:val="22"/>
          <w:b w:val="1"/>
          <w:bCs w:val="1"/>
          <w:color w:val="auto"/>
        </w:rPr>
        <w:t xml:space="preserve"> hereof).</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7.2  Covenant Default.</w:t>
      </w:r>
    </w:p>
    <w:p>
      <w:pPr>
        <w:spacing w:after="0" w:line="210" w:lineRule="exact"/>
        <w:rPr>
          <w:sz w:val="20"/>
          <w:szCs w:val="20"/>
          <w:color w:val="auto"/>
        </w:rPr>
      </w:pPr>
    </w:p>
    <w:p>
      <w:pPr>
        <w:ind w:right="60" w:firstLine="757"/>
        <w:spacing w:after="0" w:line="258" w:lineRule="auto"/>
        <w:tabs>
          <w:tab w:leader="none" w:pos="118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or their Subsidiaries: (i) fail or neglect to perform, keep or observe any term, provision, condition, covenant or agreement in </w:t>
      </w:r>
      <w:r>
        <w:rPr>
          <w:rFonts w:ascii="Times New Roman" w:cs="Times New Roman" w:eastAsia="Times New Roman" w:hAnsi="Times New Roman"/>
          <w:sz w:val="22"/>
          <w:szCs w:val="22"/>
          <w:u w:val="single" w:color="auto"/>
          <w:color w:val="auto"/>
        </w:rPr>
        <w:t>Sections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5.13</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5.14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or</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Credit Parties or their Subsidiaries fail or neglect to perform, keep, or observe any other term, provision, condition, covenant or agreement contained in this Agreement or any Loan Documents on its part to be performed, kept or observed, and such failure continues for ten (10) days after the earlier of the date on which (i) a Responsible Officer of any Credit Party becomes aware of such failure and (ii) written notice thereof shall have been given to Borrower by Agent (at the direction of the Blackstone Representative);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the Default cannot by its nature be cured within the 10 day period or cannot after diligent attempts by the Credit Parties be cured within such 10 day period, and such Default is likely to be cured within a reasonable time, then the Credit Parties shall have an additional period (which shall not in any case exceed 30 days) to attempt to cure such Default, and within such reasonable time period the failure to cure the default shall not be deemed an Event of Default. The cure period provided under this </w:t>
      </w:r>
      <w:r>
        <w:rPr>
          <w:rFonts w:ascii="Times New Roman" w:cs="Times New Roman" w:eastAsia="Times New Roman" w:hAnsi="Times New Roman"/>
          <w:sz w:val="22"/>
          <w:szCs w:val="22"/>
          <w:u w:val="single" w:color="auto"/>
          <w:color w:val="auto"/>
        </w:rPr>
        <w:t>Section 7.2(b)</w:t>
      </w:r>
      <w:r>
        <w:rPr>
          <w:rFonts w:ascii="Times New Roman" w:cs="Times New Roman" w:eastAsia="Times New Roman" w:hAnsi="Times New Roman"/>
          <w:sz w:val="22"/>
          <w:szCs w:val="22"/>
          <w:color w:val="auto"/>
        </w:rPr>
        <w:t xml:space="preserve"> shall not apply, among other things, to any of the covenants referenced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7.3  Material Adverse Change. A Material Adverse Change occurs.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7.4  Attachment; Levy; Restraint on Business.</w:t>
      </w:r>
    </w:p>
    <w:p>
      <w:pPr>
        <w:spacing w:after="0" w:line="210" w:lineRule="exact"/>
        <w:rPr>
          <w:sz w:val="20"/>
          <w:szCs w:val="20"/>
          <w:color w:val="auto"/>
        </w:rPr>
      </w:pPr>
    </w:p>
    <w:p>
      <w:pPr>
        <w:jc w:val="both"/>
        <w:ind w:firstLine="757"/>
        <w:spacing w:after="0" w:line="253" w:lineRule="exact"/>
        <w:tabs>
          <w:tab w:leader="none" w:pos="11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service of process seeking to attach, by trustee or similar process, any funds of any Credit Party in excess of $10,000,000 on deposit or otherwise maintained with Agent, or (ii) a notice of lien or levy is filed against any of material portion of the Collateral by any Governmental Authority, and the same under </w:t>
      </w:r>
      <w:r>
        <w:rPr>
          <w:rFonts w:ascii="Times New Roman" w:cs="Times New Roman" w:eastAsia="Times New Roman" w:hAnsi="Times New Roman"/>
          <w:sz w:val="22"/>
          <w:szCs w:val="22"/>
          <w:u w:val="single" w:color="auto"/>
          <w:color w:val="auto"/>
        </w:rPr>
        <w:t>sub</w:t>
      </w:r>
      <w:r>
        <w:rPr>
          <w:rFonts w:ascii="MS PGothic" w:cs="MS PGothic" w:eastAsia="MS PGothic" w:hAnsi="MS PGothic"/>
          <w:sz w:val="22"/>
          <w:szCs w:val="22"/>
          <w:u w:val="single" w:color="auto"/>
          <w:color w:val="auto"/>
        </w:rPr>
        <w:t>‑</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hereof are not, within thirty (30) days after the occurrence thereof, discharged or stayed (whether through the posting of a bond or otherwise);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Credit Extensions shall be made during any thirty (30) day cure period; or</w:t>
      </w:r>
    </w:p>
    <w:p>
      <w:pPr>
        <w:spacing w:after="0" w:line="179"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material portion of the Collateral is attached, seized, levied on, or comes into possession of a trustee or receiver, or (ii) any court order enjoins, restrains, or prevents Borrower and its Subsidiaries from conducting any material part of their business, taken as a whole.</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7.5  Insolvency.</w:t>
      </w:r>
    </w:p>
    <w:p>
      <w:pPr>
        <w:spacing w:after="0" w:line="210" w:lineRule="exact"/>
        <w:rPr>
          <w:sz w:val="20"/>
          <w:szCs w:val="20"/>
          <w:color w:val="auto"/>
        </w:rPr>
      </w:pPr>
    </w:p>
    <w:p>
      <w:pPr>
        <w:jc w:val="both"/>
        <w:ind w:firstLine="757"/>
        <w:spacing w:after="0" w:line="238" w:lineRule="auto"/>
        <w:tabs>
          <w:tab w:leader="none" w:pos="1181"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proceeding shall be commenced, or an involuntary petition shall be filed in a court of competent jurisdiction seeking: (i) relief in respect of any Credit Party, or of a substantial part of the property of any Credit Party, under Title 11 of the United States Code, as now constituted or hereafter amended, or any other federal, state or foreign bankruptcy, insolvency, court protection, receivership or similar law; (ii) the appointment of a receiver, examiner, trustee, custodian, sequestrator, conservator or similar official for any Credit Party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5" w:name="page156"/>
    <w:bookmarkEnd w:id="155"/>
    <w:p>
      <w:pPr>
        <w:jc w:val="both"/>
        <w:spacing w:after="0" w:line="272" w:lineRule="exact"/>
        <w:rPr>
          <w:sz w:val="20"/>
          <w:szCs w:val="20"/>
          <w:color w:val="auto"/>
        </w:rPr>
      </w:pPr>
      <w:r>
        <w:rPr>
          <w:rFonts w:ascii="Times New Roman" w:cs="Times New Roman" w:eastAsia="Times New Roman" w:hAnsi="Times New Roman"/>
          <w:sz w:val="22"/>
          <w:szCs w:val="22"/>
          <w:color w:val="auto"/>
        </w:rPr>
        <w:t>for a substantial part of the property or assets of any Credit Party; or (iii) the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or liquidation of any Credit Party, and such proceeding or petition shall continue undismissed or unstayed for sixty (60) days, or an order or decree approving or ordering any of the foregoing shall be entered;</w:t>
      </w:r>
    </w:p>
    <w:p>
      <w:pPr>
        <w:spacing w:after="0" w:line="177" w:lineRule="exact"/>
        <w:rPr>
          <w:sz w:val="20"/>
          <w:szCs w:val="20"/>
          <w:color w:val="auto"/>
        </w:rPr>
      </w:pPr>
    </w:p>
    <w:p>
      <w:pPr>
        <w:jc w:val="both"/>
        <w:ind w:firstLine="757"/>
        <w:spacing w:after="0" w:line="244" w:lineRule="auto"/>
        <w:tabs>
          <w:tab w:leader="none" w:pos="1181"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Credit Party shall: (i) voluntarily commence any proceeding or file any petition seeking relief under Title 11 of the United States Code, as now constituted or hereafter amended, or any other federal, state or foreign bankruptcy, insolvency, court protection, receivership or similar law; (ii) consent to the institution of, or fail to contest in a timely and appropriate manner, any proceeding or the filing of any petition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(iii) apply for or consent to the appointment of a receiver, examiner, trustee, custodian, sequestrator, conservator or similar official for any Credit Party or for a substantial part of the property or assets of any Credit Party;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w:t>
      </w:r>
    </w:p>
    <w:p>
      <w:pPr>
        <w:spacing w:after="0" w:line="3"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wind up or liquidate (except as otherwise expressly permitted hereunder); or</w:t>
      </w:r>
    </w:p>
    <w:p>
      <w:pPr>
        <w:spacing w:after="0" w:line="182"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corporate action, legal proceedings or other procedure or step is taken in relation to: (i) the suspension of payments, a moratorium of any indebtedness,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court protection, dissolution, administration or reorganization (by way of voluntary arrangement, scheme of arrangement or otherwise) of any Credit Party; (ii) a composition, compromise, assignment or arrangement with any creditor of any Credit Party; (iii) the appointment of a liquidator, receiver, administrative receiver, examiner, administrator, compulsory manager or other similar officer in respect of any Credit Party or any of its assets; or (iv) enforcement of any Collateral over any assets of any Credit Party, or any analogous procedure or step is taken in any jurisdiction. The foregoing shall not apply to any winding</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up petition which is frivolous or vexatious and is discharged, stayed or dismissed within forty five (45) days of commencement.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7.6  Other Agreements.</w:t>
      </w:r>
    </w:p>
    <w:p>
      <w:pPr>
        <w:spacing w:after="0" w:line="210" w:lineRule="exact"/>
        <w:rPr>
          <w:sz w:val="20"/>
          <w:szCs w:val="20"/>
          <w:color w:val="auto"/>
        </w:rPr>
      </w:pPr>
    </w:p>
    <w:p>
      <w:pPr>
        <w:jc w:val="both"/>
        <w:ind w:firstLine="757"/>
        <w:spacing w:after="0" w:line="245" w:lineRule="auto"/>
        <w:tabs>
          <w:tab w:leader="none" w:pos="1181"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Credit Party or any Subsidiary shall (a) fail to pay any principal or interest, regardless of amount, due in respect of any Indebtedness (other than the Obligations), when and as the same shall become due and payable beyond any applicable grace period, or (b) fail to observe or perform any other term, covenant, condition or agreement contained in any agreement or instrument evidencing or governing any such Indebtedness, if the effect of any failure referred to in this clause (b) is to cause, or to permit the holder or holders of such Indebtedness or a trustee or other representative on its or their behalf to cause (with or without the giving of notice, and taking into account any applicable grace periods or waivers), such Indebtedness to become due prior to its stated maturity or become subject to a mandatory offer to purchase by the obligor;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this clause (b)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and such Indebtedness is repaid in accordance with its terms);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it shall not constitute an Event of Default pursuant to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unless the aggregate principal amount of all such Indebtedness referred to in clauses (a) and (b) exceeds the $10,000,000 at any one time.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56" w:name="page157"/>
    <w:bookmarkEnd w:id="156"/>
    <w:p>
      <w:pPr>
        <w:jc w:val="both"/>
        <w:ind w:firstLine="757"/>
        <w:spacing w:after="0" w:line="238" w:lineRule="auto"/>
        <w:tabs>
          <w:tab w:leader="none" w:pos="118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occurs under any Permitted Bond Hedge Transaction or Permitted Warrant Transaction an “early termination date” (or similar event) resulting from any event of default or termination event thereunder as to which Borrower or any Subsidiary is the “defaulting party” (or similar term) or the “affected party” (or similar term) and the termination value owed by Borrower or such Subsidiary as a result thereof, taken together, is greater than $10,000,000, and such termination value is required to be paid in cash and may not be settled by the delivery of shares of Borrower.</w:t>
      </w:r>
    </w:p>
    <w:p>
      <w:pPr>
        <w:spacing w:after="0" w:line="142" w:lineRule="exact"/>
        <w:rPr>
          <w:sz w:val="20"/>
          <w:szCs w:val="20"/>
          <w:color w:val="auto"/>
        </w:rPr>
      </w:pPr>
    </w:p>
    <w:p>
      <w:pPr>
        <w:jc w:val="both"/>
        <w:ind w:firstLine="749"/>
        <w:spacing w:after="0" w:line="258" w:lineRule="exact"/>
        <w:rPr>
          <w:sz w:val="20"/>
          <w:szCs w:val="20"/>
          <w:color w:val="auto"/>
        </w:rPr>
      </w:pPr>
      <w:r>
        <w:rPr>
          <w:rFonts w:ascii="Times New Roman" w:cs="Times New Roman" w:eastAsia="Times New Roman" w:hAnsi="Times New Roman"/>
          <w:sz w:val="22"/>
          <w:szCs w:val="22"/>
          <w:b w:val="1"/>
          <w:bCs w:val="1"/>
          <w:color w:val="auto"/>
        </w:rPr>
        <w:t>7.7 Judgments. One or more final,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appealable judgments, orders, or decrees for the payment of money in an amount in excess of $10,000,000 (but excluding any final judgments, orders, or decrees for the payment of money that are covered by independent third</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party insurance as to which liability has not been denied by such insurance carrier or by an indemnification claim against a solvent and unaffiliated Person that is not a Credit Party as to which such Person has not denied liability for such claim), shall be rendered against one or more Credit Parties or any Subsidiary and the same are not, within thirty (30) days after the entry thereof, discharged or execution thereof stayed or bonded pending appeal, or such judgments are not discharged prior to the expiration of any such stay.</w:t>
      </w:r>
    </w:p>
    <w:p>
      <w:pPr>
        <w:spacing w:after="0" w:line="174"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7.8 Misrepresentations. Any Credit Party or any Subsidiary or any Person acting for any Credit Party or any Subsidiary makes or is deemed to make any representation, warranty, or other statement now or later in this Agreement, any other Loan Document or in any writing delivered to Agent or the Lenders or to induce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7.9 Loan Documents; Collateral. Any material provision of any Loan Document shall for any reason cease to be valid and binding on or enforceable against any Credit Party, or any Credit Party shall so state in writing or bring an action to limit its obligations or liabilities thereunder; or any Collateral Documents shall for any reason (other than pursuant to the terms thereof) cease to create a valid security interest in a material portion of the Collateral, or such security interest shall for any reason (other than pursuant to the terms of the Loan Documents) cease to be a perfected and first priority (subject to Permitted Priority Liens) security interest in a material portion of the Collateral, in each case, other than as a direct result of any action by Agent or any Lender or the failure of Agent or any Lender to perform an obligation under the Loan Documents.</w:t>
      </w:r>
    </w:p>
    <w:p>
      <w:pPr>
        <w:spacing w:after="0" w:line="17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7.10 Subordinated Debt . Any document, instrument, or agreement evidencing the subordination of any Subordinated Debt shall for any reason be revoked or invalidated or otherwise cease to be in full force and effect (other than as a direct result of any action or in action by Agent or any Lender); any Credit Party or any Subsidiary shall contest the validity or enforceability thereof or deny that it has any further liability or obligation thereunder, or the Obligations shall for any reason be subordinated or shall not have the priority contemplated by this Agreement, other than with respect to Permitted Liens.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7" w:name="page158"/>
    <w:bookmarkEnd w:id="157"/>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7.11 ERISA Event. An ERISA Event occurs that, individually or together with any other ERISA Events, results or could reasonably be expected to result in a Material Adverse Change or the imposition of a Lien on any Collateral.</w:t>
      </w:r>
    </w:p>
    <w:p>
      <w:pPr>
        <w:spacing w:after="0" w:line="150"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7.12 Regulatory Matters. If any of the following occurs: (A) any Credit Party or any Subsidiary of a Credit Party receives written notification from FDA, EMA or any other Governmental Authority equivalent to the FDA or EMA and recognized as the health authority with primary responsibility for granting marketing approval in a foreign country which written notification is reasonably likely to result in the Product being withdrawn from the market and/or the Product approval and/or marketing authorization to be withdrawn, if the revenue attributable to the affected Product in the affected market constitutes more than 25% of Consolidated Revenue of the Borrower and its Subsidiaries, calculated as of the four fiscal quarter period most recently ended prior to the receipt of the written notification for which financial statements have been delivered pursuant to </w:t>
      </w:r>
      <w:r>
        <w:rPr>
          <w:rFonts w:ascii="Times New Roman" w:cs="Times New Roman" w:eastAsia="Times New Roman" w:hAnsi="Times New Roman"/>
          <w:sz w:val="22"/>
          <w:szCs w:val="22"/>
          <w:b w:val="1"/>
          <w:bCs w:val="1"/>
          <w:u w:val="single" w:color="auto"/>
          <w:color w:val="auto"/>
        </w:rPr>
        <w:t>Section 5.2(a)</w:t>
      </w:r>
      <w:r>
        <w:rPr>
          <w:rFonts w:ascii="Times New Roman" w:cs="Times New Roman" w:eastAsia="Times New Roman" w:hAnsi="Times New Roman"/>
          <w:sz w:val="22"/>
          <w:szCs w:val="22"/>
          <w:b w:val="1"/>
          <w:bCs w:val="1"/>
          <w:color w:val="auto"/>
        </w:rPr>
        <w:t xml:space="preserve">; (B) FDA, CMS, EMA or any other Governmental Authority initiates enforcement action, including without limitations, a Warning Letter, seizure, an injunction, or administrative procedure, against any Credit Party or any Subsidiary of a Credit Party with respect to the Products or the manufacturing facilities therefor, that causes the Credit Party or Subsidiary of a Credit Party to discontinue or suspend the sale of, or withdraw, any of its Products or causes a delay in the approval or offering of any Product, which discontinuation, withdrawal or delay would reasonably be expected to last for more than 90 days (or, if a resolution to such discontinuation, suspension of sale, withdrawal or delay is being pursued in good faith through appropriate proceedings diligently conducted, and solely if the applicable event or circumstance has not actually resulted in a Material Adverse Change at the time, an additional 30 days thereafter), in each case if the impact on revenue resulting from such discontinuation, suspension, withdrawal or delay, would be more than 25% of Consolidated Revenue calculated as of the four fiscal quarter period most recently ended prior to the initiation of the enforcement action for which financial statements have been delivered pursuant to </w:t>
      </w:r>
      <w:r>
        <w:rPr>
          <w:rFonts w:ascii="Times New Roman" w:cs="Times New Roman" w:eastAsia="Times New Roman" w:hAnsi="Times New Roman"/>
          <w:sz w:val="22"/>
          <w:szCs w:val="22"/>
          <w:b w:val="1"/>
          <w:bCs w:val="1"/>
          <w:u w:val="single" w:color="auto"/>
          <w:color w:val="auto"/>
        </w:rPr>
        <w:t>Section 5.2(a)</w:t>
      </w:r>
      <w:r>
        <w:rPr>
          <w:rFonts w:ascii="Times New Roman" w:cs="Times New Roman" w:eastAsia="Times New Roman" w:hAnsi="Times New Roman"/>
          <w:sz w:val="22"/>
          <w:szCs w:val="22"/>
          <w:b w:val="1"/>
          <w:bCs w:val="1"/>
          <w:color w:val="auto"/>
        </w:rPr>
        <w:t>; (C) any Credit Party recalls any of its Products which would reasonably be expected to result in a Material Adverse Change; or (D) any Credit Party enters into a settlement agreement with the FDA, CMS, EMA or any other Governmental Authority that would reasonably be expected to result in a Material Adverse Change.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7.13 Change in Control. A Change in Control occurs.</w:t>
      </w:r>
    </w:p>
    <w:p>
      <w:pPr>
        <w:spacing w:after="0" w:line="206" w:lineRule="exact"/>
        <w:rPr>
          <w:sz w:val="20"/>
          <w:szCs w:val="20"/>
          <w:color w:val="auto"/>
        </w:rPr>
      </w:pPr>
    </w:p>
    <w:p>
      <w:pPr>
        <w:ind w:left="440" w:hanging="432"/>
        <w:spacing w:after="0"/>
        <w:tabs>
          <w:tab w:leader="none" w:pos="440" w:val="left"/>
        </w:tabs>
        <w:numPr>
          <w:ilvl w:val="0"/>
          <w:numId w:val="1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RIGHTS AND REMEDIES UPON AN EVENT OF DEFAULT</w:t>
      </w:r>
    </w:p>
    <w:p>
      <w:pPr>
        <w:spacing w:after="0" w:line="206"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8.1 Rights and Remedies. If any Event of Default occurs, Agent shall, at the direction of the Required Lenders, take any or all of the following actions:</w:t>
      </w:r>
    </w:p>
    <w:p>
      <w:pPr>
        <w:spacing w:after="0" w:line="154" w:lineRule="exact"/>
        <w:rPr>
          <w:sz w:val="20"/>
          <w:szCs w:val="20"/>
          <w:color w:val="auto"/>
        </w:rPr>
      </w:pPr>
    </w:p>
    <w:p>
      <w:pPr>
        <w:jc w:val="both"/>
        <w:ind w:firstLine="757"/>
        <w:spacing w:after="0" w:line="235" w:lineRule="auto"/>
        <w:tabs>
          <w:tab w:leader="none" w:pos="118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declare all Obligations (including, for the avoidance of doubt, the Prepayment Premium, as applicable) immediately due and payable and terminate all Commitments thereunder (but if an Event of Default described in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occurs all Obligations, including the Prepayment Premium, as applicable, are automatically and immediately due and payable, all Commitments shall automatically and immediately terminate and the Lenders shall have no obligations to make any Loans to Borrower hereunder, in each case, without any action by Agent or the Required Lenders), whereupon all Obligations for principal, interest, premium or otherwise (including, for the avoidance of doubt, the Prepayment Premium, as applicable) shall become due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58" w:name="page159"/>
    <w:bookmarkEnd w:id="158"/>
    <w:p>
      <w:pPr>
        <w:spacing w:after="0" w:line="258" w:lineRule="auto"/>
        <w:rPr>
          <w:sz w:val="20"/>
          <w:szCs w:val="20"/>
          <w:color w:val="auto"/>
        </w:rPr>
      </w:pPr>
      <w:r>
        <w:rPr>
          <w:rFonts w:ascii="Times New Roman" w:cs="Times New Roman" w:eastAsia="Times New Roman" w:hAnsi="Times New Roman"/>
          <w:sz w:val="22"/>
          <w:szCs w:val="22"/>
          <w:color w:val="auto"/>
        </w:rPr>
        <w:t>and payable by Borrower without presentment, demand, protest or other notice of any kind, which are all expressly waived by the Credit Parties hereby;</w:t>
      </w:r>
    </w:p>
    <w:p>
      <w:pPr>
        <w:spacing w:after="0" w:line="158" w:lineRule="exact"/>
        <w:rPr>
          <w:sz w:val="20"/>
          <w:szCs w:val="20"/>
          <w:color w:val="auto"/>
        </w:rPr>
      </w:pPr>
    </w:p>
    <w:p>
      <w:pPr>
        <w:ind w:left="1180" w:hanging="423"/>
        <w:spacing w:after="0"/>
        <w:tabs>
          <w:tab w:leader="none" w:pos="118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stop advancing money or extending credit for Borrower’s benefit under this Agreement;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or adjust disputes and claims directly with account debtors for amounts on terms and in any order that Agent (at the direction of the Blackstone Representative) considers advisable, notify any Person owing the Credit Parties money of Agent’s security interest in such funds, and verify the amount of all Accounts;</w:t>
      </w:r>
    </w:p>
    <w:p>
      <w:pPr>
        <w:spacing w:after="0" w:line="173"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payments and do any acts it considers necessary or reasonable to protect the Collateral or Agent’s security interest in favor and for the benefit of Agent and the other Secured Parties in the Collateral. The Credit Parties shall assemble the Collateral if Agent (at the direction of the Blackstone Representative) requests and make it available as Agent (at the direction of the Blackstone Representative) designates. Agent (at the direction of the Blackstone Representative) or its agents or representatives may enter premises where the Collateral is located, take and maintain possession of any part of the Collateral, and pay, purchase, contest, or compromise any Lien which appears to be prior or superior to its security interest in favor and for the benefit of Agent and the other Secured Parties and pay all expenses incurred. The Credit Parties grant Agent a license to enter and occupy (and for its agents or representatives to enter and occupy) any of its premises, without charge, to exercise any of Agent’s rights or remedies;</w:t>
      </w:r>
    </w:p>
    <w:p>
      <w:pPr>
        <w:spacing w:after="0" w:line="18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the Obligations (i) any balances and deposits of the Credit Parties it holds, or (ii) any amount held by Agent or the Lenders owing to or for the credit or the account of any Credit Party;</w:t>
      </w:r>
    </w:p>
    <w:p>
      <w:pPr>
        <w:spacing w:after="0" w:line="158" w:lineRule="exact"/>
        <w:rPr>
          <w:rFonts w:ascii="Times New Roman" w:cs="Times New Roman" w:eastAsia="Times New Roman" w:hAnsi="Times New Roman"/>
          <w:sz w:val="22"/>
          <w:szCs w:val="22"/>
          <w:color w:val="auto"/>
        </w:rPr>
      </w:pPr>
    </w:p>
    <w:p>
      <w:pPr>
        <w:jc w:val="both"/>
        <w:ind w:firstLine="757"/>
        <w:spacing w:after="0" w:line="252" w:lineRule="exact"/>
        <w:tabs>
          <w:tab w:leader="none" w:pos="118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ship, reclaim, recover, store, finish, maintain, repair, prepare for sale, advertise for sale, and sell the Collateral. With respect to any and all Intellectual Property owned by any Credit Party and included in Collateral, each Credit Party hereby grants to Agent, for the benefit of all Secured Parties, as of the Closing Date, a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exclusive, irrevocable, worldwide, freely sublicensable (through multiple tiers), royalty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free license or other right to use, without charge, such Intellectual Property for any purposes in connection with Agent’s exercise of its rights and remedies under this Agreement or any other Loan Document, including in advertising for sale and selling any Collateral, in connection with Agent’s exercise of its rights under this Section 8.1, and the Credit Parties’ rights under all licenses and ensuring all franchise contracts inure to the benefit of all Secured Parties;</w:t>
      </w:r>
    </w:p>
    <w:p>
      <w:pPr>
        <w:spacing w:after="0" w:line="183" w:lineRule="exact"/>
        <w:rPr>
          <w:rFonts w:ascii="Times New Roman" w:cs="Times New Roman" w:eastAsia="Times New Roman" w:hAnsi="Times New Roman"/>
          <w:sz w:val="21"/>
          <w:szCs w:val="21"/>
          <w:color w:val="auto"/>
        </w:rPr>
      </w:pPr>
    </w:p>
    <w:p>
      <w:pPr>
        <w:ind w:firstLine="757"/>
        <w:spacing w:after="0" w:line="282" w:lineRule="auto"/>
        <w:tabs>
          <w:tab w:leader="none" w:pos="1181"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place a “hold” on any account maintained with Agent or deliver a notice of exclusive control, any entitlement order, or other directions or instructions pursuant to any Control Agreement or similar agreements providing control of any Collateral;</w:t>
      </w:r>
    </w:p>
    <w:p>
      <w:pPr>
        <w:spacing w:after="0" w:line="134"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and receive possession of the Books of the Credit Parties regarding Collateral; and</w:t>
      </w:r>
    </w:p>
    <w:p>
      <w:pPr>
        <w:spacing w:after="0" w:line="206"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rights and remedies available to Agent and each Lender under the Collateral Documents or any other Loan Documents or at law or equity, including all remedies provided under the Code (including disposal of the Collateral pursuant to the terms thereof).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749"/>
        <w:spacing w:after="0" w:line="264" w:lineRule="exact"/>
        <w:rPr>
          <w:sz w:val="20"/>
          <w:szCs w:val="20"/>
          <w:color w:val="auto"/>
        </w:rPr>
      </w:pPr>
      <w:r>
        <w:rPr>
          <w:rFonts w:ascii="Times New Roman" w:cs="Times New Roman" w:eastAsia="Times New Roman" w:hAnsi="Times New Roman"/>
          <w:sz w:val="22"/>
          <w:szCs w:val="22"/>
          <w:b w:val="1"/>
          <w:bCs w:val="1"/>
          <w:color w:val="auto"/>
        </w:rPr>
        <w:t>8.2 Power of Attorney. Each Credit Party hereby irrevocably appoints Agent and any Related Party thereof as its lawful attorney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fact, exercisable solely upon the occurrence and during the continuance of an Event of Default, to:</w:t>
      </w:r>
    </w:p>
    <w:p>
      <w:pPr>
        <w:jc w:val="both"/>
        <w:ind w:firstLine="8"/>
        <w:spacing w:after="0" w:line="245" w:lineRule="exact"/>
        <w:tabs>
          <w:tab w:leader="none" w:pos="318"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endorse such Credit Party’s name on any checks or other forms of payment or security; (b) sign such Credit Party’s name on any invoice or bill of lading for any Account or drafts against account debtors; (c) settle and adjust disputes and claims about the Collateral Accounts directly with depository banks where the Collateral Accounts are maintained, for amounts and on terms Agent (at the direction of the Blackstone Representative) determines reasonable; (d) make, settle, and adjust all claims under such Credit Party’s products liability or general liability insurance policies maintained in the United States regarding Collateral; (e) pay, contest or settle any Lien, charge, encumbrance, security interest, and adverse claim in or to the Collateral, or any judgment based thereon, or otherwise take any action to terminate or discharge the same; and (f) transfer the Collateral into the name of Agent or a third party as the Code permits. Each Credit Party hereby appoints Agent, any Related Party thereof and their designees as its lawful attorney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fact to file or record any documents necessary to perfect or continue the perfection of Agent’s security interest in favor and for the benefit of Agent and the other Secured Parties in the Collateral, regardless of whether an Event of Default has occurred, until all Obligations (other than inchoate indemnity obligations in respect of which no claim has been asserted) have been satisfied in full in cash in immediately available funds, any Lender is not under any further obligation to make Credit Extensions hereunder. The foregoing appointment of Agent and any Related Party thereof as each Credit Party’s attorney in fact, and all of Agent’s (or such Related Party’s) rights and powers, coupled with an interest, are irrevocable until all Obligations (other than inchoate indemnity obligations in respect of which no claim has been asserted) have been fully repaid in cash in immediately available funds and Agent’s and each Lenders’ obligation to provide Credit Extensions terminates.</w:t>
      </w:r>
    </w:p>
    <w:p>
      <w:pPr>
        <w:spacing w:after="0" w:line="17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8.3 Application of Payments and Proceeds Upon Default. During the continuance of an Event of Default, Agent shall upon the direction of Required Lenders, apply any and all payments received by Agent in respect of any Obligation in accordance with clauses </w:t>
      </w:r>
      <w:r>
        <w:rPr>
          <w:rFonts w:ascii="Times New Roman" w:cs="Times New Roman" w:eastAsia="Times New Roman" w:hAnsi="Times New Roman"/>
          <w:sz w:val="22"/>
          <w:szCs w:val="22"/>
          <w:b w:val="1"/>
          <w:bCs w:val="1"/>
          <w:u w:val="single" w:color="auto"/>
          <w:color w:val="auto"/>
        </w:rPr>
        <w:t>first</w:t>
      </w:r>
      <w:r>
        <w:rPr>
          <w:rFonts w:ascii="Times New Roman" w:cs="Times New Roman" w:eastAsia="Times New Roman" w:hAnsi="Times New Roman"/>
          <w:sz w:val="22"/>
          <w:szCs w:val="22"/>
          <w:b w:val="1"/>
          <w:bCs w:val="1"/>
          <w:color w:val="auto"/>
        </w:rPr>
        <w:t xml:space="preserve"> through </w:t>
      </w:r>
      <w:r>
        <w:rPr>
          <w:rFonts w:ascii="Times New Roman" w:cs="Times New Roman" w:eastAsia="Times New Roman" w:hAnsi="Times New Roman"/>
          <w:sz w:val="22"/>
          <w:szCs w:val="22"/>
          <w:b w:val="1"/>
          <w:bCs w:val="1"/>
          <w:u w:val="single" w:color="auto"/>
          <w:color w:val="auto"/>
        </w:rPr>
        <w:t>sixth</w:t>
      </w:r>
      <w:r>
        <w:rPr>
          <w:rFonts w:ascii="Times New Roman" w:cs="Times New Roman" w:eastAsia="Times New Roman" w:hAnsi="Times New Roman"/>
          <w:sz w:val="22"/>
          <w:szCs w:val="22"/>
          <w:b w:val="1"/>
          <w:bCs w:val="1"/>
          <w:color w:val="auto"/>
        </w:rPr>
        <w:t xml:space="preserve"> below. All payments received by Agent in respect of the Obligations after any or all of the Obligations have been accelerated (so long as such acceleration has not been rescinded), including proceeds of Collateral, shall be applied as follows:</w:t>
      </w:r>
    </w:p>
    <w:p>
      <w:pPr>
        <w:spacing w:after="0" w:line="177" w:lineRule="exact"/>
        <w:rPr>
          <w:sz w:val="20"/>
          <w:szCs w:val="20"/>
          <w:color w:val="auto"/>
        </w:rPr>
      </w:pPr>
    </w:p>
    <w:p>
      <w:pPr>
        <w:jc w:val="both"/>
        <w:ind w:left="760" w:firstLine="745"/>
        <w:spacing w:after="0" w:line="246" w:lineRule="auto"/>
        <w:tabs>
          <w:tab w:leader="none" w:pos="195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First</w:t>
      </w:r>
      <w:r>
        <w:rPr>
          <w:rFonts w:ascii="Times New Roman" w:cs="Times New Roman" w:eastAsia="Times New Roman" w:hAnsi="Times New Roman"/>
          <w:sz w:val="22"/>
          <w:szCs w:val="22"/>
          <w:color w:val="auto"/>
        </w:rPr>
        <w:t>, to payment of that portion of the Obligations constituting fees, indemnities, expenses and all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(other than principal and interest, but including Lender and Agent Expenses) payable to Agent in its capacity as such;</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1" w:lineRule="auto"/>
        <w:tabs>
          <w:tab w:leader="none" w:pos="196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Second</w:t>
      </w:r>
      <w:r>
        <w:rPr>
          <w:rFonts w:ascii="Times New Roman" w:cs="Times New Roman" w:eastAsia="Times New Roman" w:hAnsi="Times New Roman"/>
          <w:sz w:val="22"/>
          <w:szCs w:val="22"/>
          <w:color w:val="auto"/>
        </w:rPr>
        <w:t>, to payment of that portion of the Obligations constituting fees, indemnities and other amounts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than principal and interest, Prepayment Premium and breakage and termination Obligations, but including Lender and Agent Expenses) payable to the Lenders, ratably among them in proportion to the amounts described in this clause Second payable to them;</w:t>
      </w:r>
    </w:p>
    <w:p>
      <w:pPr>
        <w:spacing w:after="0" w:line="171"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5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w:t>
      </w:r>
      <w:r>
        <w:rPr>
          <w:rFonts w:ascii="Times New Roman" w:cs="Times New Roman" w:eastAsia="Times New Roman" w:hAnsi="Times New Roman"/>
          <w:sz w:val="22"/>
          <w:szCs w:val="22"/>
          <w:color w:val="auto"/>
        </w:rPr>
        <w:t>, to payment of that portion of the Obligations constituting accrued and unpaid interest on the Term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Loans and any fees or premiums (including the Prepayment Premium), ratably among the Lenders in proportion to the respective amounts described in this clause Third payable to them;</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0" w:name="page161"/>
    <w:bookmarkEnd w:id="160"/>
    <w:p>
      <w:pPr>
        <w:jc w:val="both"/>
        <w:ind w:left="760" w:firstLine="745"/>
        <w:spacing w:after="0" w:line="246"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Fourth</w:t>
      </w:r>
      <w:r>
        <w:rPr>
          <w:rFonts w:ascii="Times New Roman" w:cs="Times New Roman" w:eastAsia="Times New Roman" w:hAnsi="Times New Roman"/>
          <w:sz w:val="22"/>
          <w:szCs w:val="22"/>
          <w:color w:val="auto"/>
        </w:rPr>
        <w:t>, to payment of that portion of the Obligations constituting unpaid principal of the Term Loans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breakage, termination or other payment Obligations, ratably among the Lender in proportion to the respective amounts described in this clause Fourth payable to them;</w:t>
      </w:r>
    </w:p>
    <w:p>
      <w:pPr>
        <w:spacing w:after="0" w:line="167" w:lineRule="exact"/>
        <w:rPr>
          <w:rFonts w:ascii="Times New Roman" w:cs="Times New Roman" w:eastAsia="Times New Roman" w:hAnsi="Times New Roman"/>
          <w:sz w:val="22"/>
          <w:szCs w:val="22"/>
          <w:color w:val="auto"/>
        </w:rPr>
      </w:pPr>
    </w:p>
    <w:p>
      <w:pPr>
        <w:jc w:val="both"/>
        <w:ind w:left="760" w:firstLine="745"/>
        <w:spacing w:after="0" w:line="246"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Fifth</w:t>
      </w:r>
      <w:r>
        <w:rPr>
          <w:rFonts w:ascii="Times New Roman" w:cs="Times New Roman" w:eastAsia="Times New Roman" w:hAnsi="Times New Roman"/>
          <w:sz w:val="22"/>
          <w:szCs w:val="22"/>
          <w:color w:val="auto"/>
        </w:rPr>
        <w:t>, to the payment of all other Obligations (other than to a Defaulting Lender) that are due and payable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Secured Parties (other than Agent) on such date, in each case, ratably based upon the respective aggregate amounts of all such Obligations owing to the Secured Parties on such date;</w:t>
      </w:r>
    </w:p>
    <w:p>
      <w:pPr>
        <w:spacing w:after="0" w:line="167"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Sixth</w:t>
      </w:r>
      <w:r>
        <w:rPr>
          <w:rFonts w:ascii="Times New Roman" w:cs="Times New Roman" w:eastAsia="Times New Roman" w:hAnsi="Times New Roman"/>
          <w:sz w:val="22"/>
          <w:szCs w:val="22"/>
          <w:color w:val="auto"/>
        </w:rPr>
        <w:t>, to payment of any Obligations owed to Defaulting Lenders; and</w:t>
      </w:r>
    </w:p>
    <w:p>
      <w:pPr>
        <w:spacing w:after="0" w:line="206" w:lineRule="exact"/>
        <w:rPr>
          <w:rFonts w:ascii="Times New Roman" w:cs="Times New Roman" w:eastAsia="Times New Roman" w:hAnsi="Times New Roman"/>
          <w:sz w:val="22"/>
          <w:szCs w:val="22"/>
          <w:color w:val="auto"/>
        </w:rPr>
      </w:pPr>
    </w:p>
    <w:p>
      <w:pPr>
        <w:ind w:left="760" w:firstLine="745"/>
        <w:spacing w:after="0" w:line="262" w:lineRule="auto"/>
        <w:tabs>
          <w:tab w:leader="none" w:pos="194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Last</w:t>
      </w:r>
      <w:r>
        <w:rPr>
          <w:rFonts w:ascii="Times New Roman" w:cs="Times New Roman" w:eastAsia="Times New Roman" w:hAnsi="Times New Roman"/>
          <w:sz w:val="22"/>
          <w:szCs w:val="22"/>
          <w:color w:val="auto"/>
        </w:rPr>
        <w:t>, the balance, if any, after all of the Obligations have been paid in full, in cash in immediately available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funds, to Borrower or as otherwise required by Law.</w:t>
      </w:r>
    </w:p>
    <w:p>
      <w:pPr>
        <w:spacing w:after="0" w:line="150" w:lineRule="exact"/>
        <w:rPr>
          <w:sz w:val="20"/>
          <w:szCs w:val="20"/>
          <w:color w:val="auto"/>
        </w:rPr>
      </w:pPr>
    </w:p>
    <w:p>
      <w:pPr>
        <w:jc w:val="both"/>
        <w:ind w:firstLine="749"/>
        <w:spacing w:after="0" w:line="253" w:lineRule="exact"/>
        <w:rPr>
          <w:sz w:val="20"/>
          <w:szCs w:val="20"/>
          <w:color w:val="auto"/>
        </w:rPr>
      </w:pPr>
      <w:r>
        <w:rPr>
          <w:rFonts w:ascii="Times New Roman" w:cs="Times New Roman" w:eastAsia="Times New Roman" w:hAnsi="Times New Roman"/>
          <w:sz w:val="21"/>
          <w:szCs w:val="21"/>
          <w:b w:val="1"/>
          <w:bCs w:val="1"/>
          <w:color w:val="auto"/>
        </w:rPr>
        <w:t>8.4 Agent’s Liability for Collateral . Agent’s sole duty with respect to the custody, safekeeping and physical preservation of the Collateral in its possession, under Section 9</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207 of the UCC or otherwise, shall be to deal with it in the same manner as Agent deals with its own property consisting of similar instruments or interests. Neither Agent nor any Lender shall be liable or responsible for: (a) the safekeeping of the Collateral; (b) any loss or damage to the Collateral; or</w:t>
      </w:r>
    </w:p>
    <w:p>
      <w:pPr>
        <w:spacing w:after="0" w:line="3" w:lineRule="exact"/>
        <w:rPr>
          <w:sz w:val="20"/>
          <w:szCs w:val="20"/>
          <w:color w:val="auto"/>
        </w:rPr>
      </w:pPr>
    </w:p>
    <w:p>
      <w:pPr>
        <w:jc w:val="both"/>
        <w:ind w:firstLine="8"/>
        <w:spacing w:after="0" w:line="258" w:lineRule="auto"/>
        <w:tabs>
          <w:tab w:leader="none" w:pos="301" w:val="left"/>
        </w:tabs>
        <w:numPr>
          <w:ilvl w:val="0"/>
          <w:numId w:val="15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any act or default of any other Person. In no event shall Agent or any Lender have any liability for any diminution in the value of the Collateral for any reason. The Credit Parties bear all risk of loss, damage or destruction of the Collateral.</w:t>
      </w:r>
    </w:p>
    <w:p>
      <w:pPr>
        <w:spacing w:after="0" w:line="15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8.5 No Waiver; Remedies Cumulative . Agent’s or the Lenders’ failure, at any time or times, to require strict performance by any Credit Party of any 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the Lenders’ rights and remedies under this Agreement and the other Loan Documents are cumulative. Agent and the Lenders have all rights and remedies provided under the Code, by law, or in equity. The exercise by Agent or any Lender of one right or remedy is not an election and shall not preclude Agent or any Lender from exercising any other remedy under this Agreement or other remedy available at law or in equity, and the waiver by Agent (at the direction of the Blackstone Representative) or the Lenders of any Event of Default is not a continuing waiver. Agent’s or the Lenders’ delay in exercising any remedy is not a waiver, election, or acquiescence.</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8.6 Demand Waiver. Each Credit Party waives demand, notice of default or dishonor, notice of payment and nonpayment, notice of any default, nonpayment at maturity, release, compromise, settlement, extension, or renewal of accounts, documents, instruments, chattel paper, and guarantees held by Agent on which any Credit Party is liable.</w:t>
      </w:r>
    </w:p>
    <w:p>
      <w:pPr>
        <w:spacing w:after="0" w:line="167" w:lineRule="exact"/>
        <w:rPr>
          <w:sz w:val="20"/>
          <w:szCs w:val="20"/>
          <w:color w:val="auto"/>
        </w:rPr>
      </w:pPr>
    </w:p>
    <w:p>
      <w:pPr>
        <w:ind w:left="440" w:hanging="432"/>
        <w:spacing w:after="0"/>
        <w:tabs>
          <w:tab w:leader="none" w:pos="440"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22"/>
          <w:szCs w:val="22"/>
          <w:color w:val="auto"/>
        </w:rPr>
        <w:t>Days after deposit in the U.S. mail, first class, registered or certified mail return receipt requested, with proper postage prepaid;</w:t>
      </w:r>
    </w:p>
    <w:p>
      <w:pPr>
        <w:spacing w:after="0" w:line="14" w:lineRule="exact"/>
        <w:rPr>
          <w:sz w:val="20"/>
          <w:szCs w:val="20"/>
          <w:color w:val="auto"/>
        </w:rPr>
      </w:pPr>
    </w:p>
    <w:p>
      <w:pPr>
        <w:jc w:val="both"/>
        <w:ind w:firstLine="8"/>
        <w:spacing w:after="0" w:line="249" w:lineRule="exact"/>
        <w:tabs>
          <w:tab w:leader="none" w:pos="33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transmission, when sent by electronic mail or facsimile transmission; (c) one (1) Business Day after deposit with a reputable overnight courier with all charges prepaid; or (d) when delivered, if hand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delivered by messenger, all of which shall be addressed to the party to be notified and sent to the address, facsimile number, or email address (if any) indicated on </w:t>
      </w:r>
      <w:r>
        <w:rPr>
          <w:rFonts w:ascii="Times New Roman" w:cs="Times New Roman" w:eastAsia="Times New Roman" w:hAnsi="Times New Roman"/>
          <w:sz w:val="22"/>
          <w:szCs w:val="22"/>
          <w:u w:val="single" w:color="auto"/>
          <w:color w:val="auto"/>
        </w:rPr>
        <w:t>Schedule 9</w:t>
      </w:r>
      <w:r>
        <w:rPr>
          <w:rFonts w:ascii="Times New Roman" w:cs="Times New Roman" w:eastAsia="Times New Roman" w:hAnsi="Times New Roman"/>
          <w:sz w:val="22"/>
          <w:szCs w:val="22"/>
          <w:color w:val="auto"/>
        </w:rPr>
        <w:t xml:space="preserve"> of the Disclosure Letter. Any party to this Agreement may change its mailing or electronic mail address or facsimile number by giving all other parties hereto written notice thereof in accordance with the terms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The Borrower agrees that Agent may, but shall not be obligated to, make the Communications (as defined below) available to the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infringement of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party rights or freedom from viruses or other code defects, is made by any Agent Party in connection with the Communications or the Platform. In no event shall Agent or any of its Related Parties (collectively, the “</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have any liability to the Borrower, any Lender, or any other Person or entity for damages of any kind, including direct or indirect, special, incidental or consequential damages, losses or expenses (whether in tort, contract or otherwise) arising out of the Borrower’s or Agent’s transmission of communications through the Platform. “</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means, collectively, any notice, demand, communication, information, document or other material provided by or on behalf of Borrower or any other Credit Party pursuant to any Loan Document or the transactions contemplated therein that is distributed to Agent or any Lender by means of electronic communications pursuant to this Section, including through the Platform.</w:t>
      </w:r>
    </w:p>
    <w:p>
      <w:pPr>
        <w:spacing w:after="0" w:line="178"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color w:val="auto"/>
        </w:rPr>
        <w:t>The Borrower hereby acknowledges that certain of the Lenders (each, a “</w:t>
      </w:r>
      <w:r>
        <w:rPr>
          <w:rFonts w:ascii="Times New Roman" w:cs="Times New Roman" w:eastAsia="Times New Roman" w:hAnsi="Times New Roman"/>
          <w:sz w:val="22"/>
          <w:szCs w:val="22"/>
          <w:b w:val="1"/>
          <w:bCs w:val="1"/>
          <w:color w:val="auto"/>
        </w:rPr>
        <w:t>Public Lender</w:t>
      </w:r>
      <w:r>
        <w:rPr>
          <w:rFonts w:ascii="Times New Roman" w:cs="Times New Roman" w:eastAsia="Times New Roman" w:hAnsi="Times New Roman"/>
          <w:sz w:val="22"/>
          <w:szCs w:val="22"/>
          <w:color w:val="auto"/>
        </w:rPr>
        <w:t>”) may have personnel who do not wish to receive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public information with respect to Borrower or its Affiliates, or the respective securities of any of the foregoing, and who may be engaged in investment and other market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activities with respect to such Persons’ securities. The Borrower hereby agrees that it shall use commercially reasonable efforts to identify that portion of the materials and information provided by or on behalf of Borrower hereunder and under the other Loan Documents (collectively,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Materials</w:t>
      </w:r>
      <w:r>
        <w:rPr>
          <w:rFonts w:ascii="Times New Roman" w:cs="Times New Roman" w:eastAsia="Times New Roman" w:hAnsi="Times New Roman"/>
          <w:sz w:val="22"/>
          <w:szCs w:val="22"/>
          <w:color w:val="auto"/>
        </w:rPr>
        <w:t>”) that may be distributed to the Public Lenders and that (i) all such Borrower Materials shall be clearly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conspicuously marked “PUBLIC,” which, at a minimum, shall mean that the word “PUBLIC” shall appear prominently on the first page thereof; (ii) by marking Borrower Materials “PUBLIC,” Borrower shall be deemed to have authorized Agent and the Lenders to treat such Borrower Materials as not containing any material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public information with respect to Borrower or any other Credit Party or their securities for purposes of U.S. federal and state securities laws; (iii) all Borrower Materials marked “PUBLIC” are permitted to be made available through a portion of the Platform designated “Public Side Information;” and (iv) Agent shall be entitled to treat any Borrower Materials that are not marked “PUBLIC” as being suitable only for posting on a portion of the Platform not designated “Public Side Information”. Each Public Lender shall designate one or more representatives that shall be permitted to receive information that is not designated as being available for Public Lenders.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b w:val="1"/>
          <w:bCs w:val="1"/>
          <w:color w:val="auto"/>
        </w:rPr>
        <w:t>10.  CHOICE OF LAW, VENUE, AND JURY TRIAL WAIVER</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THE LOAN DOCUMENTS SHALL BE GOVERNED BY, AND CONSTRUED AND INTERPRETED IN ACCORDANCE WITH THE LAWS OF THE STATE OF NEW YORK, WITHOUT REGARD TO ANY PRINCIPLES OF CONFLICTS OF LAW THAT COULD REQUIRE THE APPLICATION OF THE LAW OF ANY OTHER JURISDICTION</w:t>
      </w:r>
      <w:r>
        <w:rPr>
          <w:rFonts w:ascii="Times New Roman" w:cs="Times New Roman" w:eastAsia="Times New Roman" w:hAnsi="Times New Roman"/>
          <w:sz w:val="21"/>
          <w:szCs w:val="21"/>
          <w:color w:val="auto"/>
        </w:rPr>
        <w:t>. Each party hereto submits to the exclusive jurisdiction of the courts of the State of New York sitting in New</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Agreement shall be deemed to operate to preclude Agent or any Lender from bringing suit or taking other legal action in any other jurisdiction to realize on the Collateral or any other security for the Obligations, or to enforce a judgment or other court order in favor of Agent or any Lender. Each Credit Party expressly submits and consents in advance to such jurisdiction in any action or suit commenced in any such court, and each Credit Party hereby waives any objection that it may have based upon lack of personal jurisdiction, improper venue, or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xml:space="preserve">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of this Agreement and that service so made shall be deemed completed upon the earlier to occur of such party’s actual receipt thereof or three (3) days after deposit in the U.S. mails, proper postage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6882765</wp:posOffset>
            </wp:positionH>
            <wp:positionV relativeFrom="paragraph">
              <wp:posOffset>-1575435</wp:posOffset>
            </wp:positionV>
            <wp:extent cx="431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TO THE FULLEST EXTENT PERMITTED BY APPLICABLE LAW, EACH PARTY HERETO WAIVES ITS RIGHT TO A JURY TRIAL OF ANY CLAIM OR CAUSE OF ACTION ARISING OUT OF OR BASED UPON THIS AGREEMENT, THE LOAN DOCUMENTS OR ANY CONTEMPLATED TRANSACTION, INCLUDING CONTRACT, TORT, BREACH OF DUTY AND ALL OTHER CLAIMS. THIS WAIVER IS A MATERIAL INDUCEMENT FOR ALL PARTIES HERETO TO ENTER INTO THIS AGREEMENT. EACH PARTY HERETO HAS REVIEWED THIS WAIVER WITH ITS COUNSEL.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GENERAL PROVISIONS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11.1 Successors and Assigns.</w:t>
      </w:r>
    </w:p>
    <w:p>
      <w:pPr>
        <w:spacing w:after="0" w:line="210" w:lineRule="exact"/>
        <w:rPr>
          <w:sz w:val="20"/>
          <w:szCs w:val="20"/>
          <w:color w:val="auto"/>
        </w:rPr>
      </w:pPr>
    </w:p>
    <w:p>
      <w:pPr>
        <w:ind w:left="760"/>
        <w:spacing w:after="0"/>
        <w:tabs>
          <w:tab w:leader="none" w:pos="1160" w:val="left"/>
        </w:tabs>
        <w:rPr>
          <w:sz w:val="20"/>
          <w:szCs w:val="20"/>
          <w:color w:val="auto"/>
        </w:rPr>
      </w:pPr>
      <w:r>
        <w:rPr>
          <w:rFonts w:ascii="Times New Roman" w:cs="Times New Roman" w:eastAsia="Times New Roman" w:hAnsi="Times New Roman"/>
          <w:sz w:val="22"/>
          <w:szCs w:val="22"/>
          <w:color w:val="auto"/>
        </w:rPr>
        <w:t>(a)</w:t>
        <w:tab/>
        <w:t>This Agreement binds and is for the benefit of the parties hereto and their respective successors and permitted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assigns.</w:t>
      </w:r>
    </w:p>
    <w:p>
      <w:pPr>
        <w:spacing w:after="0" w:line="182" w:lineRule="exact"/>
        <w:rPr>
          <w:sz w:val="20"/>
          <w:szCs w:val="20"/>
          <w:color w:val="auto"/>
        </w:rPr>
      </w:pPr>
    </w:p>
    <w:p>
      <w:pPr>
        <w:jc w:val="both"/>
        <w:ind w:firstLine="757"/>
        <w:spacing w:after="0" w:line="239" w:lineRule="auto"/>
        <w:tabs>
          <w:tab w:leader="none" w:pos="118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may, directly or indirectly, sell, transfer or assign this Agreement or any other Loan Document or any rights or obligations hereunder or thereunder without the prior written consent of Agent and the Blackstone Representative. Any Lender may sell, transfer or assign this Agreement or any other Loan Document or any of its rights or obligations hereunder or thereunder (including all or a portion of its Commitments and the Term Loans at the time owing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jc w:val="both"/>
        <w:spacing w:after="0" w:line="231" w:lineRule="auto"/>
        <w:rPr>
          <w:sz w:val="20"/>
          <w:szCs w:val="20"/>
          <w:color w:val="auto"/>
        </w:rPr>
      </w:pPr>
      <w:r>
        <w:rPr>
          <w:rFonts w:ascii="Times New Roman" w:cs="Times New Roman" w:eastAsia="Times New Roman" w:hAnsi="Times New Roman"/>
          <w:sz w:val="22"/>
          <w:szCs w:val="22"/>
          <w:color w:val="auto"/>
        </w:rPr>
        <w:t>to it), in full or in part, to any third party without Borrower’s prior written consent (any such sale, transfer or assignment, a “</w:t>
      </w:r>
      <w:r>
        <w:rPr>
          <w:rFonts w:ascii="Times New Roman" w:cs="Times New Roman" w:eastAsia="Times New Roman" w:hAnsi="Times New Roman"/>
          <w:sz w:val="22"/>
          <w:szCs w:val="22"/>
          <w:b w:val="1"/>
          <w:bCs w:val="1"/>
          <w:color w:val="auto"/>
        </w:rPr>
        <w:t>Lender 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(i) unless an Event of Default has occurred and is continuing, no Lender may make a Lender Transfer to (w) a Competitor of Borrower without Borrower’s prior written consent, (x) a natural person, (y) any Credit Party or Affiliate thereof or (z) a Disqualified Institution without Borrower’s prior written consent, (ii) except in the case of a Lender Transfer to a Lender, an Affiliate of a Lender or an Approved Fund or an assignment of the entire remaining amount of the assigning Lender’s Term Loans or Commitments of any Class, the amount of the Term Loans or Commitment of the assigning Lender subject to each such assignment shall not be less than $1,000,000 (unless otherwise consented to in writing by Borrower and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amounts shall be aggregated in respect of each Lender and its Affiliates or Approved Funds, if any, (iii) the parties to each Lender Transfer shall execute and deliver to Agent an Assignment and Assumption, and, except in the case of a Lender Transfer by a Lender that is a Blackstone Entity to another Blackstone Entity, together with a processing and recordation fee of $3,500 (unless waived or reduced by Agent in its sole discretion), and (iv) the assignee, if it shall not be a Lender, shall deliver to Agent (x) an Administrative Questionnaire, (y) its applicable tax form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and (z) all documentation and other information required under applicable “know your customer” and anti-money laundering rules and regulations, including the USA Patriot Act. Subject to acceptance and recording thereof by Agent in the Register, from and after the effective date specified in each Assignment and Assumption by Agent, (1) the assignee thereunder shall be a party to this Agreement and, to the extent of the interest assigned by such Assignment and Assumption, have the rights and obligations of a Lender under this Agreement, and (2)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xml:space="preserve"> with respect to facts and circumstances occurring prior to the effective date of such assignment and shall continue to be liable with respect to obligations that survive the termination of this Agreement, including such assigning Lender’s obligations under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Upon request, and the surrender by the assigning Lender of its Note, Borrower (at its expense) shall execute and deliver a Note to the assignee Lender. Any assignment or transfer by a Lender of rights or obligations under this Agreement that does not comply with this clause (b) shall be treated for purposes of this Agreement as a sale by such Lender of a participation in such rights and obligations in accordance with clause (c) below.</w:t>
      </w:r>
    </w:p>
    <w:p>
      <w:pPr>
        <w:spacing w:after="0" w:line="203" w:lineRule="exact"/>
        <w:rPr>
          <w:sz w:val="20"/>
          <w:szCs w:val="20"/>
          <w:color w:val="auto"/>
        </w:rPr>
      </w:pPr>
    </w:p>
    <w:p>
      <w:pPr>
        <w:jc w:val="both"/>
        <w:ind w:firstLine="757"/>
        <w:spacing w:after="0" w:line="234" w:lineRule="auto"/>
        <w:tabs>
          <w:tab w:leader="none" w:pos="1181"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participation granted by a Lender to any third party, (i) such Lender’s obligations under this Agreement shall remain unchanged, (ii) such Lender shall remain solely responsible to the other parties hereto for the performance of its obligations hereunder, (iii) Agent and Borrower shall continue to deal solely and directly with such Lender in connection with such Lender’s rights and obligations under this Agreement, (iv) Borrower shall not have any rights to consent to such participation, and (v) any agreement or instrument pursuant to which such Lender sells such participation shall provide that such Lender shall retain the sole right to enforce this Agreement and to approve any amendment, modification, or other modification hereto, in each case subject to the terms and conditions of this Agreement. Borrower agrees that each participant shall be entitled to the benefits of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and 2.6 (subject to the requirements and limitations therein, including the requirements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(it being understood that the documentation required under </w:t>
      </w:r>
      <w:r>
        <w:rPr>
          <w:rFonts w:ascii="Times New Roman" w:cs="Times New Roman" w:eastAsia="Times New Roman" w:hAnsi="Times New Roman"/>
          <w:sz w:val="22"/>
          <w:szCs w:val="22"/>
          <w:u w:val="single" w:color="auto"/>
          <w:color w:val="auto"/>
        </w:rPr>
        <w:t>Section 2.6(d)</w:t>
      </w:r>
      <w:r>
        <w:rPr>
          <w:rFonts w:ascii="Times New Roman" w:cs="Times New Roman" w:eastAsia="Times New Roman" w:hAnsi="Times New Roman"/>
          <w:sz w:val="22"/>
          <w:szCs w:val="22"/>
          <w:color w:val="auto"/>
        </w:rPr>
        <w:t xml:space="preserve"> shall be delivered to the participating Lender))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3018790</wp:posOffset>
            </wp:positionH>
            <wp:positionV relativeFrom="paragraph">
              <wp:posOffset>-339725</wp:posOffset>
            </wp:positionV>
            <wp:extent cx="2317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same extent as if it were a Lender that had acquired its interest by assignment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participation, such participant shall (A) not be entitled to receive any greater payment under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than the Lender (the party that participated the interest) would have been entitled to receive, except to the extent of any entitlement to receive a greater payment resulting from a Change in Law that occurs after such participant acquired the applicable participation and (B) agrees to be subject to the provisions of Section 2.11 to the same extent as if it were a Lender that had acquired its interest by assignment pursuant to </w:t>
      </w:r>
      <w:r>
        <w:rPr>
          <w:rFonts w:ascii="Times New Roman" w:cs="Times New Roman" w:eastAsia="Times New Roman" w:hAnsi="Times New Roman"/>
          <w:sz w:val="22"/>
          <w:szCs w:val="22"/>
          <w:u w:val="single" w:color="auto"/>
          <w:color w:val="auto"/>
        </w:rPr>
        <w:t>clause (b)</w:t>
      </w:r>
      <w:r>
        <w:rPr>
          <w:rFonts w:ascii="Times New Roman" w:cs="Times New Roman" w:eastAsia="Times New Roman" w:hAnsi="Times New Roman"/>
          <w:sz w:val="22"/>
          <w:szCs w:val="22"/>
          <w:color w:val="auto"/>
        </w:rPr>
        <w:t xml:space="preserve"> above. Each Lender that sells a participation agrees, at the Borrower’s request and expense, to use reasonable efforts to cooperate with the Borrower to effectuate the provisions of Section 2.11(b) with respect to any participant.</w:t>
      </w:r>
    </w:p>
    <w:p>
      <w:pPr>
        <w:spacing w:after="0" w:line="178" w:lineRule="exact"/>
        <w:rPr>
          <w:sz w:val="20"/>
          <w:szCs w:val="20"/>
          <w:color w:val="auto"/>
        </w:rPr>
      </w:pPr>
    </w:p>
    <w:p>
      <w:pPr>
        <w:jc w:val="both"/>
        <w:ind w:firstLine="757"/>
        <w:spacing w:after="0" w:line="246" w:lineRule="exact"/>
        <w:tabs>
          <w:tab w:leader="none" w:pos="118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Agent shall record any Lender Transfer in the Register. Any Lender may grant a participation in all or any part of, or any interest in, Lender’s obligations, rights or benefits under this Agreement and the other Loan Documents, including with respect to the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Lender’s obligations under this Agreement shall remain unchanged, (ii) such Lender shall remain solely responsible to the other parties hereto for the performance of such obligations and (iii) Borrower,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For the avoidance of doubt, if a Lender sells a participation it shall, acting solely for this purpose as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fiduciary agent of Borrower, maintain a register on which it enters the name and address of each participant and principal amounts (and stated interest) of each participant’s interest in the Term Loans or other obligations under the Loan Documents (the “</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under Section 5f.103</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1(c) and proposed Section 163-5(b) of the United States Treasury Regulations. The entries in the Participant Register shall be conclusive absent manifest error, and the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9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without the consent of, or notice to, Agent or any Credit Party, at any time pledge or assign a security interest in all or any portion of its rights under the Loan Documents to secure obligations of such Lender, including any pledge or assignment to secure obligations to a Federal Reserve Bank, subscription-line credit facilities, NAV credit facilities or other financings;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attempted transfer, pledge or assignment of this Agreement or any other Loan Document or any rights or obligations hereunder or thereunder in violation of this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3484245</wp:posOffset>
            </wp:positionH>
            <wp:positionV relativeFrom="paragraph">
              <wp:posOffset>-2641600</wp:posOffset>
            </wp:positionV>
            <wp:extent cx="514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5" w:name="page166"/>
    <w:bookmarkEnd w:id="165"/>
    <w:p>
      <w:pPr>
        <w:ind w:left="760"/>
        <w:spacing w:after="0"/>
        <w:rPr>
          <w:sz w:val="20"/>
          <w:szCs w:val="20"/>
          <w:color w:val="auto"/>
        </w:rPr>
      </w:pPr>
      <w:r>
        <w:rPr>
          <w:rFonts w:ascii="Times New Roman" w:cs="Times New Roman" w:eastAsia="Times New Roman" w:hAnsi="Times New Roman"/>
          <w:sz w:val="22"/>
          <w:szCs w:val="22"/>
          <w:b w:val="1"/>
          <w:bCs w:val="1"/>
          <w:color w:val="auto"/>
        </w:rPr>
        <w:t>11.2 Indemnification; Lender and Agent Expenses.</w:t>
      </w:r>
    </w:p>
    <w:p>
      <w:pPr>
        <w:spacing w:after="0" w:line="210" w:lineRule="exact"/>
        <w:rPr>
          <w:sz w:val="20"/>
          <w:szCs w:val="20"/>
          <w:color w:val="auto"/>
        </w:rPr>
      </w:pPr>
    </w:p>
    <w:p>
      <w:pPr>
        <w:jc w:val="both"/>
        <w:ind w:firstLine="757"/>
        <w:spacing w:after="0" w:line="249" w:lineRule="exact"/>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agrees to indemnify and hold harmless each of Agent, the Lead Arranger, each Lender and their respective Affiliates and Approved Funds (and its or their respective successors and assigns) and each manager, member, partner, controlling Person, director, officer, employee, agent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advisor and affiliate thereof (each such Person, an “</w:t>
      </w:r>
      <w:r>
        <w:rPr>
          <w:rFonts w:ascii="Times New Roman" w:cs="Times New Roman" w:eastAsia="Times New Roman" w:hAnsi="Times New Roman"/>
          <w:sz w:val="22"/>
          <w:szCs w:val="22"/>
          <w:b w:val="1"/>
          <w:bCs w:val="1"/>
          <w:color w:val="auto"/>
        </w:rPr>
        <w:t>Indemnified Person</w:t>
      </w:r>
      <w:r>
        <w:rPr>
          <w:rFonts w:ascii="Times New Roman" w:cs="Times New Roman" w:eastAsia="Times New Roman" w:hAnsi="Times New Roman"/>
          <w:sz w:val="22"/>
          <w:szCs w:val="22"/>
          <w:color w:val="auto"/>
        </w:rPr>
        <w:t xml:space="preserve">”) from and against any and all Indemnified Liabilities;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no Credit Party shall have an obligation to any Indemnified Person hereunder with respect to any Indemnified Liabilities to the extent such Indemnified Liabilities arise from the bad faith (other than with respect to Agent and its Related Parties), gross negligence or willful misconduct of that Indemnified Person (or its Affiliates, Approved Funds or controlling Persons or their respective directors, officers, managers, partners, members, agents,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 or advisors), in each case, as determined by a final,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appealable judgment of a court of competent jurisdiction, (ii) Borrower shall have no obligation to any Indemnified Person hereunder with respect to any Indemnified Liabilities to the extent such Indemnified Liabilities arise from a material breach of any funding obligation of such Indemnified Person hereunder (other than against the Lead Arranger or Agent in their respective capacities as such), (iii) no Credit Party shall have an obligation to any Indemnified Person hereunder with respect to any Indemnified Liabilities to the extent such Indemnified Liabilities arise from any claim by one Indemnified Person against another Indemnified Person (other than against the Lead Arranger or Agent in their respective capacities as such) that does not relate to any act or omission of any Credit Party, and (iv) no Credit Party shall be liable for any settlement of any claim or proceeding effected by any Indemnified Person without the prior written consent of such Credit Party (which consent shall not be unreasonably withheld or delayed), but if settled with such consent, or if there shall be a final judgment against an Indemnified Person, each of the Credit Parties shall, jointly and severally, indemnify and hold harmless such Indemnified Person from and against any loss or liability by reason of such settlement or judgment in the manner set forth in this Agreement.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11.2(a)</w:t>
      </w:r>
      <w:r>
        <w:rPr>
          <w:rFonts w:ascii="Times New Roman" w:cs="Times New Roman" w:eastAsia="Times New Roman" w:hAnsi="Times New Roman"/>
          <w:sz w:val="22"/>
          <w:szCs w:val="22"/>
          <w:color w:val="auto"/>
        </w:rPr>
        <w:t xml:space="preserve"> shall not apply with respect to Taxes other than any Taxes that represent liabilities, obligations, losses, damages, penalties, claims, costs, expenses and disbursements arising from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Tax claim.</w:t>
      </w:r>
    </w:p>
    <w:p>
      <w:pPr>
        <w:spacing w:after="0" w:line="149"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Requirements of Law, the Borrower and each Credit Party shall not assert, and hereby waives, any claim against Agent (and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 thereof), the Lead Arranger, any Lender and any Related Party of any of the foregoing Persons (each such Person being called a “</w:t>
      </w:r>
      <w:r>
        <w:rPr>
          <w:rFonts w:ascii="Times New Roman" w:cs="Times New Roman" w:eastAsia="Times New Roman" w:hAnsi="Times New Roman"/>
          <w:sz w:val="22"/>
          <w:szCs w:val="22"/>
          <w:b w:val="1"/>
          <w:bCs w:val="1"/>
          <w:color w:val="auto"/>
        </w:rPr>
        <w:t>Protected Person</w:t>
      </w:r>
      <w:r>
        <w:rPr>
          <w:rFonts w:ascii="Times New Roman" w:cs="Times New Roman" w:eastAsia="Times New Roman" w:hAnsi="Times New Roman"/>
          <w:sz w:val="22"/>
          <w:szCs w:val="22"/>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pay, promptly following written demand therefor (including documentation to reasonably support such request) (but, in no event later than thirty (30) days following demand), all Lender and Agent Expenses of the Lead Arranger, Agent and each Lender incurred through and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-4355465</wp:posOffset>
            </wp:positionV>
            <wp:extent cx="431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49"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11.3 Severability of Provisions . In case any provision in or obligation hereunder or under any other Loan Document shall be invalid, illegal or unenforceable in any jurisdiction,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6" w:name="page167"/>
    <w:bookmarkEnd w:id="166"/>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validity, legality and enforceability of the remaining provisions or obligations, or of such provision or obligation in any other jurisdiction, shall not in any way be affected or impaired thereby.</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11.4 Royalty Transaction Right of Offer. In the event that, at any time prior to payment in full of all Obligations in cash in immediately available funds (other than inchoate indemnity obligations in respect of which no claims has been asserted), Borrower or any of its Subsidiaries makes a determination to engage with third parties regarding potential entry into a Royalty Transaction, such Person shall notify Blackstone Representative and give Blackstone Representative and each Blackstone Entity an opportunity to bid on or make an offer with respect to such contemplated Royalty Transaction, and shall engage with Blackstone Representative or such Blackstone Entity in good faith with respect to any such bid or offer.</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11.5 Amendments in Writing; Integration. (a) No amendment or modification of any provision of this Agreement or any other Loan Document (other than (i) the Agent Fee Letter, which may be amended in writing by Agent and the applicable Credit Party, (ii) the Lender Fee Letter, which may be amended in writing by the Blackstone Representative and the applicable Credit Party and (iii) any Control Agreement),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the Required Lenders and Agent (acting at the direction of the Required Lenders);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however</w:t>
      </w:r>
      <w:r>
        <w:rPr>
          <w:rFonts w:ascii="Times New Roman" w:cs="Times New Roman" w:eastAsia="Times New Roman" w:hAnsi="Times New Roman"/>
          <w:sz w:val="22"/>
          <w:szCs w:val="22"/>
          <w:b w:val="1"/>
          <w:bCs w:val="1"/>
          <w:color w:val="auto"/>
        </w:rPr>
        <w:t>, that no such amendment, modification, waiver, discharge or termination contemplated in clauses (i) through (vi) shall, unless in writing and signed by all the Lenders expressly set forth therein, in addition to the Required Lenders, Agent (or by Agent acting at the direction of the Required Lenders) and Borrower, do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-493395</wp:posOffset>
            </wp:positionV>
            <wp:extent cx="596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0" w:lineRule="exact"/>
        <w:rPr>
          <w:sz w:val="20"/>
          <w:szCs w:val="20"/>
          <w:color w:val="auto"/>
        </w:rPr>
      </w:pPr>
    </w:p>
    <w:p>
      <w:pPr>
        <w:jc w:val="both"/>
        <w:ind w:left="760" w:firstLine="745"/>
        <w:spacing w:after="0" w:line="239"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extend or increase the Commitments or Term Loans of any Lender without the written consent of such Lender (it being understood that a waiver of any condition precedent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of any Default, Event of Default, mandatory prepayment or mandatory reduction of any Term Loan or Commitment shall not constitute an extension or increase of the Term Loan or Commitment of any Lender;</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postpone any date scheduled for, or reduce the amount of, any payment of principal, interest, fees, premiums (including the Prepayment Premium), or other amounts payable hereunder or under any other Loan Documents, without the written consent of each Lender directly and adversely affected thereby, it being understood that the waiver of (or amendment to the terms of) any mandatory prepayment of any Term Loan shall not constitute a postponement of any date scheduled for the payment of principal or interest;</w:t>
      </w:r>
    </w:p>
    <w:p>
      <w:pPr>
        <w:spacing w:after="0" w:line="176"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reduce or forgive the principal of, or the rate of interest specified herein on, any Term Loan, or any fees, premiums (including the Prepayment Premium) or other amounts payable hereunder or under any other Loan Document (or extend the timing of payments of such fees or other amounts) without the written consent of each Lender directly and adversely affected thereby;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the avoidance of doubt, only the consent of the Required Lenders shall be necessary to amend the definition of “Default Rate” or to waive any obligation of Borrower to pay interest at the Default Rate;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7" w:name="page168"/>
    <w:bookmarkEnd w:id="167"/>
    <w:p>
      <w:pPr>
        <w:jc w:val="both"/>
        <w:ind w:left="760" w:firstLine="745"/>
        <w:spacing w:after="0" w:line="238"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amend, modify or eliminate (w)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(x) the definition of “Required Lenders”, “Required Initial Term Loan Lenders”, “Required Delayed Draw Term Loan Lender” or any other provision specifying the number of Lenders or portion of a Term Loan required to take any action under the Loan Documents, (y) any provision set forth in any Loan Document that alters the pro rata sharing provisions amongst the Lenders or (z) </w:t>
      </w:r>
      <w:r>
        <w:rPr>
          <w:rFonts w:ascii="Times New Roman" w:cs="Times New Roman" w:eastAsia="Times New Roman" w:hAnsi="Times New Roman"/>
          <w:sz w:val="22"/>
          <w:szCs w:val="22"/>
          <w:u w:val="single" w:color="auto"/>
          <w:color w:val="auto"/>
        </w:rPr>
        <w:t>Section 8.3</w:t>
      </w:r>
      <w:r>
        <w:rPr>
          <w:rFonts w:ascii="Times New Roman" w:cs="Times New Roman" w:eastAsia="Times New Roman" w:hAnsi="Times New Roman"/>
          <w:sz w:val="22"/>
          <w:szCs w:val="22"/>
          <w:color w:val="auto"/>
        </w:rPr>
        <w:t>, in each case, without the written consent of each Lender;</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permitted under the Agreement, release all or substantially all of the Collateral in any transaction or series of related transactions, without the written consent of each applicable Lender; or</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permitted under the Agreement, release all or substantially all of the Guarantors (or all or substantially all of the aggregate value of the Guarantees), without the written consent of each applicable Lender;</w:t>
      </w:r>
    </w:p>
    <w:p>
      <w:pPr>
        <w:spacing w:after="0" w:line="158" w:lineRule="exact"/>
        <w:rPr>
          <w:sz w:val="20"/>
          <w:szCs w:val="20"/>
          <w:color w:val="auto"/>
        </w:rPr>
      </w:pPr>
    </w:p>
    <w:p>
      <w:pPr>
        <w:jc w:val="both"/>
        <w:ind w:left="760"/>
        <w:spacing w:after="0" w:line="239"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amendment, waiver or consent shall, unless in writing and signed by Agent in addition to the Lenders required above, affect the rights, obligations, immunities, indemnities or duties of, or any fees or other amounts payable to, Agent under this Agreement or any other Loan Document, or otherwise amend, modify or eliminate any provisions of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-493395</wp:posOffset>
            </wp:positionV>
            <wp:extent cx="342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jc w:val="both"/>
        <w:ind w:firstLine="757"/>
        <w:spacing w:after="0" w:line="251" w:lineRule="exact"/>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if Agent, the Blackstone Representative and Borrower shall have jointly identified an obvious error (including an incorrect cross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reference) or any error or omission of a technical or immaterial nature, in each case, in any provision of this Agreement or any other Loan Document (including, for the avoidance of doubt, any exhibit, schedule or other attachment to any Loan Document), then Agent (at the direction of the Blackstone Representative) and Borrower or any other relevant Credit Party shall be permitted to amend such provision and such amendment shall become effective without any further action or consent of any other party to any Loan Document.</w:t>
      </w:r>
    </w:p>
    <w:p>
      <w:pPr>
        <w:spacing w:after="0" w:line="182"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Only the Required Initial Term Loan Lenders shall be required to waive, amend, restate, supplement or modify any conditions precedent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herein with respect to a Borrowing of Initial Term Loans. Only the Required Delayed Draw Term Loan Lenders shall be required to waive, amend, restate, supplement or modify any conditions precedent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herein with respect to a Borrowing of Delayed Draw Term Loans.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11.6 Counterparts. This Agreement may be executed in any number of counterparts and by different parties on separate counterparts, each of which, when executed and delivered, is an original, and all taken together, constitute one Agreement.</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11.7 Survival. All covenants, representations and warranties made in this Agreement continue in full force until this Agreement has terminated pursuant to its terms and all Obligations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(other than inchoate indemnity obligations in respect of which no claim has been asserted and any other obligations which, by their terms, are to survive the termination of this Agreement) have been paid in full in cash in immediately available funds. The obligation of Borrower or any other the Credit Parties in </w:t>
      </w:r>
      <w:r>
        <w:rPr>
          <w:rFonts w:ascii="Times New Roman" w:cs="Times New Roman" w:eastAsia="Times New Roman" w:hAnsi="Times New Roman"/>
          <w:sz w:val="22"/>
          <w:szCs w:val="22"/>
          <w:b w:val="1"/>
          <w:bCs w:val="1"/>
          <w:u w:val="single" w:color="auto"/>
          <w:color w:val="auto"/>
        </w:rPr>
        <w:t>Section 11.2</w:t>
      </w:r>
      <w:r>
        <w:rPr>
          <w:rFonts w:ascii="Times New Roman" w:cs="Times New Roman" w:eastAsia="Times New Roman" w:hAnsi="Times New Roman"/>
          <w:sz w:val="22"/>
          <w:szCs w:val="22"/>
          <w:b w:val="1"/>
          <w:bCs w:val="1"/>
          <w:color w:val="auto"/>
        </w:rPr>
        <w:t xml:space="preserve"> to indemnify Indemnified Persons shall survive until the statute of limitations with respect to such claim or cause of action shall have run.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11.8 Confidentiality.</w:t>
      </w:r>
    </w:p>
    <w:p>
      <w:pPr>
        <w:spacing w:after="0" w:line="210" w:lineRule="exact"/>
        <w:rPr>
          <w:sz w:val="20"/>
          <w:szCs w:val="20"/>
          <w:color w:val="auto"/>
        </w:rPr>
      </w:pPr>
    </w:p>
    <w:p>
      <w:pPr>
        <w:jc w:val="both"/>
        <w:ind w:firstLine="757"/>
        <w:spacing w:after="0" w:line="245" w:lineRule="exact"/>
        <w:tabs>
          <w:tab w:leader="none" w:pos="1181"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information regarding the Credit Parties and their Subsidiaries and their businesses provided to Agent or any Lender by or on behalf of any Credit Party pursuant to the Loan Documents shall be deemed “Confidential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Confidential Information does not include information that is either: (i) in the public domain or in the possession of Agent, any Lender or any of their respective Affiliates or Approved Funds or when disclosed to Agent, a Lender or any of their respective Affiliates or Approved Funds, or becomes part of the public domain after disclosure to the Agent, a Lender or any of their respective Affiliates or Approved Funds, in each case, other than as a result of a breach by Agent, a Lender or any of their respective Affiliates or Approved Funds of the obligations under this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 xml:space="preserve">; or (ii) disclosed to Agent, any Lender or any of their Affiliates or Approved Funds by a third party if Agent, any Lender or any of their Affiliates and Approved Funds do not know that the third party is prohibited from disclosing the information. Each of Agent and the Lenders shall not disclose any Confidential Information to a third party or use Confidential Information for any purpose other than the exercise of its rights and the performance of its duties or obligations under the Loan Documents. The foregoing in this </w:t>
      </w:r>
      <w:r>
        <w:rPr>
          <w:rFonts w:ascii="Times New Roman" w:cs="Times New Roman" w:eastAsia="Times New Roman" w:hAnsi="Times New Roman"/>
          <w:sz w:val="21"/>
          <w:szCs w:val="21"/>
          <w:u w:val="single" w:color="auto"/>
          <w:color w:val="auto"/>
        </w:rPr>
        <w:t>Section 11.8</w:t>
      </w:r>
      <w:r>
        <w:rPr>
          <w:rFonts w:ascii="Times New Roman" w:cs="Times New Roman" w:eastAsia="Times New Roman" w:hAnsi="Times New Roman"/>
          <w:sz w:val="21"/>
          <w:szCs w:val="21"/>
          <w:color w:val="auto"/>
        </w:rPr>
        <w:t xml:space="preserve"> notwithstanding, each of Agent and the Lenders may disclose Confidential Information: (a) to its and its Affiliates’ and Approved Funds’ directors, officers, members, managers, partners, current and prospective leverage providers and financing sources and current and prospective limited partners or investors, employees and agents, including accountants, legal counsel and other advisors on a need to know basis (it being understood that the Persons to whom such disclosure is made shall be informed of the confidential nature of such Information and instructed to keep such Information confidential); (b) to proposed assignees and/or participants and prospective lenders, transferees or purchasers of any interest in the Credit Extensions (including, for the avoidance of doubt, in connection with any proposed Lender Transfer); (c) as required by law, regulation, subpoena, or other order,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prior to any disclosure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Agent or Lender making such disclosure agrees to endeavor to provide Borrower with prior written notice thereof and with respect to any law, regulation, subpoena or other order, to the extent that Agent or such Lender is permitted to provide such prior notice to Borrower pursuant to the terms hereof, and (y) any disclosure under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shall be limited solely to that portion of the Confidential Information required to be so disclosed (as reasonably determined by Agent or such Lender, as applicable) by such law, regulation, subpoena or other order; (d) to the extent requested by regulators having jurisdiction over Agent or any Lender or as otherwise required in connection with Agent’s or any Lender’s examination or audit by such regulators; (e) as Agent or any Lender considers reasonably necessary in exercising remedies under the Loan Documents; (f) to third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party service providers of Agent or any Lender; (g) with the consent of Borrower; (h) in connection with public filings required to be made by Agent or any Lender; (i) to any of Lender’s Related Parties or to any party to this Agreement, (j) to any rating agency in connection with rating Borrower or the facilities hereunder (including shadow ratings) and the CUSIP Service Bureau, Clearpar or Loanserv or any similar agency in connection with the issuance and monitoring of CUSIP numbers,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-4047490</wp:posOffset>
            </wp:positionV>
            <wp:extent cx="431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-1578610</wp:posOffset>
            </wp:positionV>
            <wp:extent cx="3429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9" w:name="page170"/>
    <w:bookmarkEnd w:id="169"/>
    <w:p>
      <w:pPr>
        <w:jc w:val="both"/>
        <w:spacing w:after="0" w:line="255" w:lineRule="exact"/>
        <w:rPr>
          <w:sz w:val="20"/>
          <w:szCs w:val="20"/>
          <w:color w:val="auto"/>
        </w:rPr>
      </w:pPr>
      <w:r>
        <w:rPr>
          <w:rFonts w:ascii="Times New Roman" w:cs="Times New Roman" w:eastAsia="Times New Roman" w:hAnsi="Times New Roman"/>
          <w:sz w:val="22"/>
          <w:szCs w:val="22"/>
          <w:color w:val="auto"/>
        </w:rPr>
        <w:t>Numbers (PPNs) or any other similar numbers with respect to the Loans (it being understood and agreed that any Lender may apply for the issuance of one or more CUSIP numbers with respect to any of the Loans without the consent of Borrower or the other Credit Parties), and (k) pursuant to periodic regulatory filings, including to any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regulatory body such as the National Association of Insurance Commissioners;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third parties to which Confidential Information is disclosed pursuant to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(j)</w:t>
      </w:r>
      <w:r>
        <w:rPr>
          <w:rFonts w:ascii="Times New Roman" w:cs="Times New Roman" w:eastAsia="Times New Roman" w:hAnsi="Times New Roman"/>
          <w:sz w:val="22"/>
          <w:szCs w:val="22"/>
          <w:color w:val="auto"/>
        </w:rPr>
        <w:t xml:space="preserve"> are bound by obligations of confidentiality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use that are no less restrictive than those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-349885</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7" w:lineRule="exact"/>
        <w:rPr>
          <w:sz w:val="20"/>
          <w:szCs w:val="20"/>
          <w:color w:val="auto"/>
        </w:rPr>
      </w:pPr>
    </w:p>
    <w:p>
      <w:pPr>
        <w:jc w:val="both"/>
        <w:ind w:firstLine="757"/>
        <w:spacing w:after="0" w:line="235" w:lineRule="auto"/>
        <w:tabs>
          <w:tab w:leader="none" w:pos="1181"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Blackstone Representative may place customary advertisements in financial and other newspapers and periodicals or on a home page or similar place for dissemination of customary information on the Internet or worldwide web as the Blackstone Representative may choose, and circulate similar promotional materials, after the final closing of the Credit Facilities in the form of a “tombstone” or otherwise describing the names of Borrower and its Subsidiaries (or any of them), and the amount, type and closing date of such Credit Facilities, all at the expense of the Blackstone 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Blackstone Representative hereby agrees not to include the name of any other Lender in such advertisements or other materials without the prior consent of such other Lender.</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 xml:space="preserve">The provisions of this </w:t>
      </w:r>
      <w:r>
        <w:rPr>
          <w:rFonts w:ascii="Times New Roman" w:cs="Times New Roman" w:eastAsia="Times New Roman" w:hAnsi="Times New Roman"/>
          <w:sz w:val="22"/>
          <w:szCs w:val="22"/>
          <w:u w:val="single" w:color="auto"/>
          <w:color w:val="auto"/>
        </w:rPr>
        <w:t>Section 11.8</w:t>
      </w:r>
      <w:r>
        <w:rPr>
          <w:rFonts w:ascii="Times New Roman" w:cs="Times New Roman" w:eastAsia="Times New Roman" w:hAnsi="Times New Roman"/>
          <w:sz w:val="22"/>
          <w:szCs w:val="22"/>
          <w:color w:val="auto"/>
        </w:rPr>
        <w:t xml:space="preserve"> shall survive for a period of two (2) years following the date on which this Agreement terminates in accordance with the terms hereof.</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11.9 Release of Collateral or Guarantors.</w:t>
      </w:r>
    </w:p>
    <w:p>
      <w:pPr>
        <w:spacing w:after="0" w:line="210" w:lineRule="exact"/>
        <w:rPr>
          <w:sz w:val="20"/>
          <w:szCs w:val="20"/>
          <w:color w:val="auto"/>
        </w:rPr>
      </w:pPr>
    </w:p>
    <w:p>
      <w:pPr>
        <w:jc w:val="both"/>
        <w:ind w:firstLine="757"/>
        <w:spacing w:after="0" w:line="236" w:lineRule="auto"/>
        <w:tabs>
          <w:tab w:leader="none" w:pos="118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payment in full of all Obligations, in cash in immediately available funds (other than inchoate indemnity obligations in respect of which no claim has been asserted) and the termination of all Commitments, and subject to the reinstatement provisions set forth in Section 8.1 of the Security Agreement, (i) the Collateral shall be automatically released from the security interests and Liens created by the Collateral Documents in favor of Agent, for the benefit of itself and the Secured Parties, and (ii) each Guarantor shall be automatically released from its obligations to guaranty the Obligations pursuant to Section 8.2 of the Security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any Collateral is sold or to be sold in a sale expressly permitted (other than a lease or license, and other than to a Person that is a Credit Party) hereunder and under the other Loan Documents, such Collateral shall be automatically released from the security interests and Liens created by the Collateral Documents in favor of Agent, for the benefit of itself and the Secured Parties.</w:t>
      </w:r>
    </w:p>
    <w:p>
      <w:pPr>
        <w:spacing w:after="0" w:line="180"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Guarantor shall be released from its guaranty of any Obligation prior to the payment in full of all Obligations, in cash in immediately available funds (other than inchoate indemnity obligations in respect of which no claim has been asserted) and the termination of all Commitments unless all of the Equity Interests of such Guarantor owned by any Credit Party are sold or transferred (in a transaction or series of transactions) to a Person that is not a Credit Party in any sale or transaction expressly permitted hereunder and under the other Loan Documents (at which point such Guarantor shall be released from its guaranty of the Obligations).</w:t>
      </w:r>
    </w:p>
    <w:p>
      <w:pPr>
        <w:spacing w:after="0" w:line="147" w:lineRule="exact"/>
        <w:rPr>
          <w:sz w:val="20"/>
          <w:szCs w:val="20"/>
          <w:color w:val="auto"/>
        </w:rPr>
      </w:pPr>
    </w:p>
    <w:p>
      <w:pPr>
        <w:ind w:firstLine="749"/>
        <w:spacing w:after="0" w:line="287" w:lineRule="exact"/>
        <w:rPr>
          <w:sz w:val="20"/>
          <w:szCs w:val="20"/>
          <w:color w:val="auto"/>
        </w:rPr>
      </w:pPr>
      <w:r>
        <w:rPr>
          <w:rFonts w:ascii="Times New Roman" w:cs="Times New Roman" w:eastAsia="Times New Roman" w:hAnsi="Times New Roman"/>
          <w:sz w:val="22"/>
          <w:szCs w:val="22"/>
          <w:b w:val="1"/>
          <w:bCs w:val="1"/>
          <w:color w:val="auto"/>
        </w:rPr>
        <w:t>11.10 Right of Set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Off. In addition to any rights now or hereafter granted under Requirements of Law and not by way of limitation of any such rights, upon the occurrence of an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0" w:name="page171"/>
    <w:bookmarkEnd w:id="170"/>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Event of Default and at any time thereafter during the continuance of any Event of Default, Agent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Agent or any Lender to or for the credit or the account of any Credit Party against and on account of the obligations and liabilities of any Credit Party to Agent or any Lender hereunder and under the other Loan Documents, including all claims of any nature or description arising out of or connected hereto or with any other Loan Document, irrespective of whether or not (a) Agent or any Lender shall have made any demand hereunder or (b) the principal of or the interest on any Term Loan or any other amounts due hereunder shall have become due and payable pursuant to </w:t>
      </w:r>
      <w:r>
        <w:rPr>
          <w:rFonts w:ascii="Times New Roman" w:cs="Times New Roman" w:eastAsia="Times New Roman" w:hAnsi="Times New Roman"/>
          <w:sz w:val="22"/>
          <w:szCs w:val="22"/>
          <w:b w:val="1"/>
          <w:bCs w:val="1"/>
          <w:u w:val="single" w:color="auto"/>
          <w:color w:val="auto"/>
        </w:rPr>
        <w:t>Section 2</w:t>
      </w:r>
      <w:r>
        <w:rPr>
          <w:rFonts w:ascii="Times New Roman" w:cs="Times New Roman" w:eastAsia="Times New Roman" w:hAnsi="Times New Roman"/>
          <w:sz w:val="22"/>
          <w:szCs w:val="22"/>
          <w:b w:val="1"/>
          <w:bCs w:val="1"/>
          <w:color w:val="auto"/>
        </w:rPr>
        <w:t xml:space="preserve"> and although such obligations and liabilities, or any of them, may be contingent or unmatured. Agent agrees promptly to notify Borrower after any such set off and application made by Agent;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the failure to give such notice shall not affect the validity of such set off and application.</w:t>
      </w:r>
    </w:p>
    <w:p>
      <w:pPr>
        <w:spacing w:after="0" w:line="18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11.11 Marshalling; Payments Set Aside . Neither Agent nor any Lender shall be under any obligation to marshal any assets in favor of any Credit Party or any other Person or against or in payment of any or all of the Obligations. To the extent that any Credit Party makes a payment or payments to Agent or any Lender, or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Each Lender severally agrees to pay to Agent upon demand its applicable share (without duplication) of any amount so recovered from or repaid by Agent, plus interest thereon from the date of such demand to the date such payment is made at a rate per annum equal to the Federal Funds Rate from time to time in effect, and Agent’s Liens securing such obligation shall be effective, revived, and remain in full force and effect, in each case, as fully as if such recovered payment had not been made. The provisions of this </w:t>
      </w:r>
      <w:r>
        <w:rPr>
          <w:rFonts w:ascii="Times New Roman" w:cs="Times New Roman" w:eastAsia="Times New Roman" w:hAnsi="Times New Roman"/>
          <w:sz w:val="22"/>
          <w:szCs w:val="22"/>
          <w:b w:val="1"/>
          <w:bCs w:val="1"/>
          <w:u w:val="single" w:color="auto"/>
          <w:color w:val="auto"/>
        </w:rPr>
        <w:t>Section 11.11</w:t>
      </w:r>
      <w:r>
        <w:rPr>
          <w:rFonts w:ascii="Times New Roman" w:cs="Times New Roman" w:eastAsia="Times New Roman" w:hAnsi="Times New Roman"/>
          <w:sz w:val="22"/>
          <w:szCs w:val="22"/>
          <w:b w:val="1"/>
          <w:bCs w:val="1"/>
          <w:color w:val="auto"/>
        </w:rPr>
        <w:t xml:space="preserve"> shall survive the payment in full of the Obligations and the termination of this Agreement.</w:t>
      </w:r>
    </w:p>
    <w:p>
      <w:pPr>
        <w:spacing w:after="0" w:line="177" w:lineRule="exact"/>
        <w:rPr>
          <w:sz w:val="20"/>
          <w:szCs w:val="20"/>
          <w:color w:val="auto"/>
        </w:rPr>
      </w:pPr>
    </w:p>
    <w:p>
      <w:pPr>
        <w:jc w:val="both"/>
        <w:ind w:firstLine="749"/>
        <w:spacing w:after="0" w:line="249" w:lineRule="exact"/>
        <w:rPr>
          <w:sz w:val="20"/>
          <w:szCs w:val="20"/>
          <w:color w:val="auto"/>
        </w:rPr>
      </w:pPr>
      <w:r>
        <w:rPr>
          <w:rFonts w:ascii="Times New Roman" w:cs="Times New Roman" w:eastAsia="Times New Roman" w:hAnsi="Times New Roman"/>
          <w:sz w:val="22"/>
          <w:szCs w:val="22"/>
          <w:b w:val="1"/>
          <w:bCs w:val="1"/>
          <w:color w:val="auto"/>
        </w:rPr>
        <w:t>11.12 Electronic Execution of Documents. Any signature to Agreement or any other Loan Document may be delivered by facsimile, electronic mail (including pdf) or any electronic 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The words “execution,” “signed,” “signature” and words of like import in any Loan Document shall be deemed to include electronic signatures or the keeping of records in electronic form, each of which shall be of the same legal effect, validity and enforceability as a manually executed signature or the use of a paper</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based recordkeeping systems, as the case may be, to the extent and as provided for in any Requirements of Law, including any state law based on the Uniform Electronic Transactions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1" w:name="page172"/>
    <w:bookmarkEnd w:id="171"/>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11.13 Captions. Section headings herein are included herein for convenience of reference only and shall not constitute a part hereof for any other purpose or be given any substantive effect.</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11.14 Construction of Agreement . The parties hereto mutually acknowledge that they and their respective attorneys have participated in the preparation and negotiation of this Agreement. In cases of uncertainty, this Agreement shall be construed without regard to which of the parties hereto caused the uncertainty to exist.</w:t>
      </w:r>
    </w:p>
    <w:p>
      <w:pPr>
        <w:spacing w:after="0" w:line="16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11.15 Third Parties . Nothing in this Agreement, whether express or implied, is intended to: (a) except as expressly provided in </w:t>
      </w:r>
      <w:r>
        <w:rPr>
          <w:rFonts w:ascii="Times New Roman" w:cs="Times New Roman" w:eastAsia="Times New Roman" w:hAnsi="Times New Roman"/>
          <w:sz w:val="22"/>
          <w:szCs w:val="22"/>
          <w:b w:val="1"/>
          <w:bCs w:val="1"/>
          <w:u w:val="single" w:color="auto"/>
          <w:color w:val="auto"/>
        </w:rPr>
        <w:t>Section 11.2(a)</w:t>
      </w:r>
      <w:r>
        <w:rPr>
          <w:rFonts w:ascii="Times New Roman" w:cs="Times New Roman" w:eastAsia="Times New Roman" w:hAnsi="Times New Roman"/>
          <w:sz w:val="22"/>
          <w:szCs w:val="22"/>
          <w:b w:val="1"/>
          <w:bCs w:val="1"/>
          <w:color w:val="auto"/>
        </w:rPr>
        <w:t>,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77"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b w:val="1"/>
          <w:bCs w:val="1"/>
          <w:color w:val="auto"/>
        </w:rPr>
        <w:t>11.16 No Advisory or Fiduciary Duty . Agent, the Lead Arranger, and each Lender may have economic interests that conflict with those of the Credit Parties. Each Credit Party agrees that nothing in the Loan Documents or otherwise shall be deemed to create an advisory, fiduciary or agency relationship or fiduciary or other implied duty between Agent, the Lead Arranger, and the Lenders, on the one hand, and such Credit Party, its Subsidiaries, and any of their respective stockholders or affiliates, on the other hand. Each Credit Party acknowledges and agrees that (i) the transactions contemplated by the Loan Documents are arm’s</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length commercial transactions between Agent, the Lead</w:t>
      </w:r>
    </w:p>
    <w:p>
      <w:pPr>
        <w:spacing w:after="0" w:line="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b w:val="1"/>
          <w:bCs w:val="1"/>
          <w:color w:val="auto"/>
        </w:rPr>
        <w:t>Arranger, and the Lenders, on the one hand, and such Credit Party, its Subsidiaries and their respective affiliates, on the other hand, (ii) in connection therewith and with the process leading to such transaction, each of Agent, the Lead Arranger, and the Lenders are acting solely as a principal and not the advisor, agent or fiduciary of such Credit Party, its Subsidiaries or their respective affiliates, management, stockholders, creditors or any other Person, (iii) neither Agent, the Lead Arranger, nor any Lender has assumed an advisory or fiduciary responsibility in favor of any Credit Party, its Subsidiaries or their respective affiliates with respect to the transactions contemplated hereby or the process leading thereto (irrespective of whether Agent,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w:t>
      </w:r>
    </w:p>
    <w:p>
      <w:pPr>
        <w:spacing w:after="0" w:line="5" w:lineRule="exact"/>
        <w:rPr>
          <w:sz w:val="20"/>
          <w:szCs w:val="20"/>
          <w:color w:val="auto"/>
        </w:rPr>
      </w:pPr>
    </w:p>
    <w:p>
      <w:pPr>
        <w:jc w:val="both"/>
        <w:ind w:firstLine="8"/>
        <w:spacing w:after="0" w:line="232" w:lineRule="auto"/>
        <w:tabs>
          <w:tab w:leader="none" w:pos="370" w:val="left"/>
        </w:tabs>
        <w:numPr>
          <w:ilvl w:val="0"/>
          <w:numId w:val="1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shall not claim that Agent, the Lead Arranger, or any Lender has rendered advisory services of any nature or respect, or owes a fiduciary or similar duty to such Credit Party, its Subsidiaries or their respective affiliates in connection with such transaction or the process leading thereto.</w:t>
      </w:r>
    </w:p>
    <w:p>
      <w:pPr>
        <w:spacing w:after="0" w:line="148" w:lineRule="exact"/>
        <w:rPr>
          <w:sz w:val="20"/>
          <w:szCs w:val="20"/>
          <w:color w:val="auto"/>
        </w:rPr>
      </w:pPr>
    </w:p>
    <w:p>
      <w:pPr>
        <w:jc w:val="both"/>
        <w:ind w:firstLine="749"/>
        <w:spacing w:after="0" w:line="268" w:lineRule="exact"/>
        <w:rPr>
          <w:sz w:val="20"/>
          <w:szCs w:val="20"/>
          <w:color w:val="auto"/>
        </w:rPr>
      </w:pPr>
      <w:r>
        <w:rPr>
          <w:rFonts w:ascii="Times New Roman" w:cs="Times New Roman" w:eastAsia="Times New Roman" w:hAnsi="Times New Roman"/>
          <w:sz w:val="22"/>
          <w:szCs w:val="22"/>
          <w:b w:val="1"/>
          <w:bCs w:val="1"/>
          <w:color w:val="auto"/>
        </w:rPr>
        <w:t>11.17 Contractual recognition of 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Action by the relevant Resolution Authority and acknowledges and accepts to be bound by the effect of: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2" w:name="page173"/>
    <w:bookmarkEnd w:id="172"/>
    <w:p>
      <w:pPr>
        <w:ind w:left="1180" w:hanging="423"/>
        <w:spacing w:after="0" w:line="253" w:lineRule="exact"/>
        <w:tabs>
          <w:tab w:leader="none" w:pos="11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Action in relation to any such liability, including (without limitation):</w:t>
      </w:r>
    </w:p>
    <w:p>
      <w:pPr>
        <w:spacing w:after="0" w:line="254"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in the principal amount, or outstanding amount due (including any accrued but unpaid interest) in respect of any such liability;</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941"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part of, any such liability into shares or other instruments of ownership that may be issued to, or conferred on, it; and</w:t>
      </w:r>
    </w:p>
    <w:p>
      <w:pPr>
        <w:spacing w:after="0" w:line="158"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cancellation of any such liability; and</w:t>
      </w:r>
    </w:p>
    <w:p>
      <w:pPr>
        <w:spacing w:after="0" w:line="171" w:lineRule="exact"/>
        <w:rPr>
          <w:rFonts w:ascii="Times New Roman" w:cs="Times New Roman" w:eastAsia="Times New Roman" w:hAnsi="Times New Roman"/>
          <w:sz w:val="22"/>
          <w:szCs w:val="22"/>
          <w:color w:val="auto"/>
        </w:rPr>
      </w:pPr>
    </w:p>
    <w:p>
      <w:pPr>
        <w:ind w:right="40" w:firstLine="757"/>
        <w:spacing w:after="0" w:line="287" w:lineRule="exact"/>
        <w:tabs>
          <w:tab w:leader="none" w:pos="118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variation of any term of any Loan Document to the extent necessary to give effect to 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Action in relation to any such liability.</w:t>
      </w:r>
    </w:p>
    <w:p>
      <w:pPr>
        <w:spacing w:after="0" w:line="173"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11.18</w:t>
      </w:r>
      <w:r>
        <w:rPr>
          <w:sz w:val="20"/>
          <w:szCs w:val="20"/>
          <w:color w:val="auto"/>
        </w:rPr>
        <w:tab/>
      </w:r>
      <w:r>
        <w:rPr>
          <w:rFonts w:ascii="Times New Roman" w:cs="Times New Roman" w:eastAsia="Times New Roman" w:hAnsi="Times New Roman"/>
          <w:sz w:val="21"/>
          <w:szCs w:val="21"/>
          <w:b w:val="1"/>
          <w:bCs w:val="1"/>
          <w:color w:val="auto"/>
        </w:rPr>
        <w:t>Currency Equivalents Generally.</w:t>
      </w:r>
    </w:p>
    <w:p>
      <w:pPr>
        <w:spacing w:after="0" w:line="210" w:lineRule="exact"/>
        <w:rPr>
          <w:sz w:val="20"/>
          <w:szCs w:val="20"/>
          <w:color w:val="auto"/>
        </w:rPr>
      </w:pPr>
    </w:p>
    <w:p>
      <w:pPr>
        <w:jc w:val="both"/>
        <w:ind w:firstLine="757"/>
        <w:spacing w:after="0" w:line="255" w:lineRule="auto"/>
        <w:tabs>
          <w:tab w:leader="none" w:pos="1181"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compliance with the provisions of this Agreement generally, any amount in a currency other than Dollars shall be converted to Dollars in a manner consistent with that used in calculating net income in Borrower’s annual financial statements delivered pursuant to Section 5.2(a) at the time of determination; provided that no Default or Event of Default shall be deemed to have occurred thereafter solely as a result of such changes in rates of exchange thereafter.</w:t>
      </w:r>
    </w:p>
    <w:p>
      <w:pPr>
        <w:spacing w:after="0" w:line="161"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Blackstone Representative may from time to time specify with Borrower’s consent to appropriately reflect a change in currency of any country and any relevant market convention or practice relating to such change in currency.</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11.19 Reinstatement . Each Credit Party agrees that, if any payment made by any Credit Party or other Person and applied to the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Credit Party, under any bankruptcy law, state or federal law, common law or equitable cause, then, to the extent of such payment or repayment, any Lien or other Collateral securing such liability shall be and remain in full force and effect, as fully as if such payment had never been made. If, prior to any of the foregoing, (a) any Lien or other Collateral granted pursuant to the Collateral Documents securing such Credit Party’s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Credit Party in respect of any Lien or other Collateral securing such obligation or the amount of such payment.</w:t>
      </w:r>
    </w:p>
    <w:p>
      <w:pPr>
        <w:spacing w:after="0" w:line="182"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11.20</w:t>
      </w:r>
      <w:r>
        <w:rPr>
          <w:sz w:val="20"/>
          <w:szCs w:val="20"/>
          <w:color w:val="auto"/>
        </w:rPr>
        <w:tab/>
      </w:r>
      <w:r>
        <w:rPr>
          <w:rFonts w:ascii="Times New Roman" w:cs="Times New Roman" w:eastAsia="Times New Roman" w:hAnsi="Times New Roman"/>
          <w:sz w:val="21"/>
          <w:szCs w:val="21"/>
          <w:b w:val="1"/>
          <w:bCs w:val="1"/>
          <w:color w:val="auto"/>
        </w:rPr>
        <w:t>Restricted Licenses.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Credit Party hereby agrees that, following the Closing Date, it shall not enter into, and shall not permit its Subsidiaries to enter into, as licensor any license agreement with any other Credit Party or a Subsidiary of a Credit Party as licensee, which prohibits or otherwise restricts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173" w:name="page174"/>
    <w:bookmarkEnd w:id="173"/>
    <w:p>
      <w:pPr>
        <w:jc w:val="both"/>
        <w:spacing w:after="0" w:line="244" w:lineRule="auto"/>
        <w:rPr>
          <w:sz w:val="20"/>
          <w:szCs w:val="20"/>
          <w:color w:val="auto"/>
        </w:rPr>
      </w:pPr>
      <w:r>
        <w:rPr>
          <w:rFonts w:ascii="Times New Roman" w:cs="Times New Roman" w:eastAsia="Times New Roman" w:hAnsi="Times New Roman"/>
          <w:sz w:val="22"/>
          <w:szCs w:val="22"/>
          <w:color w:val="auto"/>
        </w:rPr>
        <w:t>licensee from granting a security interest to Agent in such licensee’s interest in such license agreement in a manner enforceable under Requirements of Law, except to the extent the licensor of such license is otherwise prohibited from permitting such security interest.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AGENT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12.1 Appointment and Authority.</w:t>
      </w:r>
    </w:p>
    <w:p>
      <w:pPr>
        <w:spacing w:after="0" w:line="210" w:lineRule="exact"/>
        <w:rPr>
          <w:sz w:val="20"/>
          <w:szCs w:val="20"/>
          <w:color w:val="auto"/>
        </w:rPr>
      </w:pPr>
    </w:p>
    <w:p>
      <w:pPr>
        <w:jc w:val="both"/>
        <w:ind w:firstLine="757"/>
        <w:spacing w:after="0" w:line="235"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the Lenders hereby irrevocably appoints Wilmington Trust, National Association to act on its behalf as Agent hereunder and under the other Loan Documents and authorizes Agent, through its agents or employees, to take such actions on its behalf and to exercise such powers as are delegated to Agent by the terms hereof or thereof, together with such actions and powers as are reasonably incidental thereto. The provisions of this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 xml:space="preserve"> (solely with respect to the consent rights of Borrower set forth therein) and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(solely with respect to the requirement for execution, filing and other actions with respect to the Collateral Documents and other collateral documentation set forth therein)) are solely for the benefit of Agent and the Lenders, and no Credit Party shall have rights as a third party beneficiary of any of such provisions.</w:t>
      </w:r>
    </w:p>
    <w:p>
      <w:pPr>
        <w:spacing w:after="0" w:line="178" w:lineRule="exact"/>
        <w:rPr>
          <w:rFonts w:ascii="Times New Roman" w:cs="Times New Roman" w:eastAsia="Times New Roman" w:hAnsi="Times New Roman"/>
          <w:sz w:val="22"/>
          <w:szCs w:val="22"/>
          <w:color w:val="auto"/>
        </w:rPr>
      </w:pPr>
    </w:p>
    <w:p>
      <w:pPr>
        <w:jc w:val="both"/>
        <w:ind w:firstLine="757"/>
        <w:spacing w:after="0" w:line="248" w:lineRule="exact"/>
        <w:tabs>
          <w:tab w:leader="none" w:pos="1181"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also act as the secured party and “collateral agent” under the Loan Documents, and each of the Lenders hereby irrevocably appoints and authorizes Agent to act as the agent of such Lender for purposes of acquiring, administering, holding and enforcing any and all Liens on Collateral granted by any of the Credit Parties to secure any of the Obligations for itself and the Lenders, together with such powers and discretion as are reasonably incidental thereto. In this connection, Agent, as secured party and “collateral agent” and any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and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fact appointed by Agent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12.5</w:t>
      </w:r>
      <w:r>
        <w:rPr>
          <w:rFonts w:ascii="Times New Roman" w:cs="Times New Roman" w:eastAsia="Times New Roman" w:hAnsi="Times New Roman"/>
          <w:sz w:val="21"/>
          <w:szCs w:val="21"/>
          <w:color w:val="auto"/>
        </w:rPr>
        <w:t xml:space="preserve"> for purposes of holding or enforcing any Lien on the Collateral (or any portion thereof) granted under the Collateral Documents, or for exercising any rights and remedies thereunder at the direction of Agent, shall be entitled to the benefits of all provisions of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 xml:space="preserve"> (including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and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as though such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sub</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agents and attorneys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fact were the secured party and “collateral agent” under the Loan Documents as if set forth in full herein with respect thereto. Without limiting the generality of the foregoing, the Lenders hereby expressly authorize Agent, including in its capacity as collateral agent for itself and the Lenders to (i) execute any and all documents (including releases)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Agent, including in its capacity as collateral agent for itself and the Lenders shall bind the Lenders and (ii) negotiate, enforce or settle any claim, action or proceeding affecting the Lenders in their capacity as such, at the direction of the Required Lenders, which negotiation, enforcement or settlement shall be binding upon each Lender.</w:t>
      </w:r>
    </w:p>
    <w:p>
      <w:pPr>
        <w:spacing w:after="0" w:line="184" w:lineRule="exact"/>
        <w:rPr>
          <w:rFonts w:ascii="Times New Roman" w:cs="Times New Roman" w:eastAsia="Times New Roman" w:hAnsi="Times New Roman"/>
          <w:sz w:val="21"/>
          <w:szCs w:val="21"/>
          <w:color w:val="auto"/>
        </w:rPr>
      </w:pPr>
    </w:p>
    <w:p>
      <w:pPr>
        <w:jc w:val="both"/>
        <w:ind w:firstLine="757"/>
        <w:spacing w:after="0" w:line="238" w:lineRule="auto"/>
        <w:tabs>
          <w:tab w:leader="none" w:pos="1181"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corporation or association into which Agent may be converted or merged, or with which it may be consolidated, or to which it may sell or transfer all or substantially all of its corporate trust business and assets as a whole or substantially as a whole, or any corporation or association resulting from any such conversion, sale, merger, consolidation or transfer to which Agent is a party, shall be and become the successor Agent under this Agreement and the other Loan Documents and shall have and succeed to the rights, powers, duties, immunities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22"/>
          <w:szCs w:val="22"/>
          <w:color w:val="auto"/>
        </w:rPr>
        <w:t>privileges as its predecessor, without the execution or filing of any instrument or paper or the performance of any further act.</w:t>
      </w:r>
    </w:p>
    <w:p>
      <w:pPr>
        <w:spacing w:after="0" w:line="20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12.2 Arranger Has No Liability . It is understood and agreed that the Lead Arranger (and its respective Affiliates), in its capacity as such, shall not have any duties, responsibilities or liabilities under or in respect of this Agreement whatsoever.</w:t>
      </w:r>
    </w:p>
    <w:p>
      <w:pPr>
        <w:spacing w:after="0" w:line="137" w:lineRule="exact"/>
        <w:rPr>
          <w:sz w:val="20"/>
          <w:szCs w:val="20"/>
          <w:color w:val="auto"/>
        </w:rPr>
      </w:pPr>
    </w:p>
    <w:p>
      <w:pPr>
        <w:jc w:val="both"/>
        <w:ind w:firstLine="749"/>
        <w:spacing w:after="0" w:line="268" w:lineRule="exact"/>
        <w:rPr>
          <w:sz w:val="20"/>
          <w:szCs w:val="20"/>
          <w:color w:val="auto"/>
        </w:rPr>
      </w:pPr>
      <w:r>
        <w:rPr>
          <w:rFonts w:ascii="Times New Roman" w:cs="Times New Roman" w:eastAsia="Times New Roman" w:hAnsi="Times New Roman"/>
          <w:sz w:val="22"/>
          <w:szCs w:val="22"/>
          <w:b w:val="1"/>
          <w:bCs w:val="1"/>
          <w:color w:val="auto"/>
        </w:rPr>
        <w:t>12.3 Exculpatory Provisions. Neither Agent nor any Agent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Related Person shall have any duties or obligations except those expressly set forth herein and in the other Loan Documents, and its duties hereunder shall be administrative in nature. The permissive rights of Agent and each Agent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Related Person to do things enumerated in this Agreement shall not be construed as a duty and, with respect to such permissive rights, Agent and each Agent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Related Person shall not be liable for any action taken or not taken other than its gross negligence or willful misconduct as determined by a final, non</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appealable judgment of a court of competent jurisdiction. Without limiting the generality of the foregoing, Agent and each Agent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Related Person:</w:t>
      </w:r>
    </w:p>
    <w:p>
      <w:pPr>
        <w:spacing w:after="0" w:line="145" w:lineRule="exact"/>
        <w:rPr>
          <w:sz w:val="20"/>
          <w:szCs w:val="20"/>
          <w:color w:val="auto"/>
        </w:rPr>
      </w:pPr>
    </w:p>
    <w:p>
      <w:pPr>
        <w:jc w:val="both"/>
        <w:ind w:firstLine="757"/>
        <w:spacing w:after="0" w:line="238" w:lineRule="auto"/>
        <w:tabs>
          <w:tab w:leader="none" w:pos="118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or obligations, regardless of whether a Default has occurred and is continuing and without limiting the generality of the foregoing, the use of the term “agent” herein and in other Loan Documents with reference to Agent is not intended to connote any fiduciary or other implied (or express) duties or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76" w:lineRule="exact"/>
        <w:rPr>
          <w:rFonts w:ascii="Times New Roman" w:cs="Times New Roman" w:eastAsia="Times New Roman" w:hAnsi="Times New Roman"/>
          <w:sz w:val="22"/>
          <w:szCs w:val="22"/>
          <w:color w:val="auto"/>
        </w:rPr>
      </w:pPr>
    </w:p>
    <w:p>
      <w:pPr>
        <w:jc w:val="both"/>
        <w:ind w:firstLine="757"/>
        <w:spacing w:after="0" w:line="232" w:lineRule="auto"/>
        <w:tabs>
          <w:tab w:leader="none" w:pos="1181"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Agent is required to exercise as directed in writing by the Blackstone Representative or the Required Lenders, Lenders, Required Initial Term Loan Lenders or Required Delayed Draw Term Loan Lenders (or such other number or percentage of the Lenders as shall be expressly provided for herein or in the other Loan Documents), and in all cases Agent shall be fully justified in failing or refusing to act hereunder or under any other Loan Documents, unless it shall receive written instructions from the Blackstone Representative or the Required Lenders, Lenders, Required Initial Term Loan Lenders or Required Delayed Draw Term Loan Lenders, as applicable (or such other number or percentage of the Lenders as shall be expressly provided for herein or in the other Loan Documents), specifying the action to be taken;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Agent shall be required to take any action that, in its opinion or the opinion of its counsel, may expose Agent to liability or that is contrary to any Loan Document or applicable law, including for the avoidance of doubt refraining from any action that, in its opinion or the opinion of its counsel, may be a violation of automatic stay under Title 11 of the United States Code, as now constituted or hereafter amended, or any other federal, state or foreign bankruptcy, insolvency, reorganization, receivership, conservatorship, liquidation, assignment for the benefit of creditors, moratorium, rearrangement, or similar law, or that may effect a forfeiture, modification or termination of property of a Defaulting Lender in violation of any federal, state or foreign bankruptcy, insolvency, reorganization, receivership, conservatorship, liquidation, assignment for the benefit of creditors, moratorium, rearrangement, or similar law; the instructions as aforesaid and any action taken or failure to act pursuant thereto by Agent shall be binding on all of the Lenders;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ind w:right="20" w:firstLine="757"/>
        <w:spacing w:after="0" w:line="258" w:lineRule="auto"/>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required to expend or risk its own funds or otherwise incur any financial liability in the performance of any of its duties or in the exercise of any of its rights or powers hereunder;</w:t>
      </w:r>
    </w:p>
    <w:p>
      <w:pPr>
        <w:spacing w:after="0" w:line="158" w:lineRule="exact"/>
        <w:rPr>
          <w:rFonts w:ascii="Times New Roman" w:cs="Times New Roman" w:eastAsia="Times New Roman" w:hAnsi="Times New Roman"/>
          <w:sz w:val="22"/>
          <w:szCs w:val="22"/>
          <w:color w:val="auto"/>
        </w:rPr>
      </w:pPr>
    </w:p>
    <w:p>
      <w:pPr>
        <w:jc w:val="both"/>
        <w:ind w:firstLine="757"/>
        <w:spacing w:after="0" w:line="250" w:lineRule="exact"/>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liable for any action taken or not taken by it (i) with the consent or at the request of the Blackstone Representative or the Required Lenders, Lenders, Required Initial Term Loan Lenders or Required Delayed Draw Term Loan Lenders (or such other number or percentage of the Lenders as shall be necessary, or as Agent shall believe in good faith shall be necessary, under the circumstances as provided herein or any other applicable Loan Document), (ii) in the absence of its own gross negligence or willful misconduct as determined by the final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of a court of competent jurisdiction (iii) in good faith or (iv) in accordance with an order of a court, or any order, judgment or decree made or entered by any court order;</w:t>
      </w:r>
    </w:p>
    <w:p>
      <w:pPr>
        <w:spacing w:after="0" w:line="181"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deemed not to have knowledge of any Default unless and until written notice stating it is “notice of default” and referring to this Agreement and describing such Default is given to Agent by Borrower or a Lender;</w:t>
      </w:r>
    </w:p>
    <w:p>
      <w:pPr>
        <w:spacing w:after="0" w:line="158"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or have any duty to ascertain or inquire into (i) any statement, warranty or representation made in or in connection with this Agreement or any other Loan Document, (ii) the contents of any certificate, opinion, report or other document delivered hereunder or thereunder or in connection herewith or therewith, (iii) the performance, nonperformance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(vi) the calculation of the Prepayment Premium, or (vii) the satisfaction of any condition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or elsewhere herein, other than to confirm receipt of items expressly required to be delivered to Agent;</w:t>
      </w:r>
    </w:p>
    <w:p>
      <w:pPr>
        <w:spacing w:after="0" w:line="183"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be responsible for nor have any duty to monitor the performance or any action of the Credit Parties, Lenders, or any of their directors, members, officers, agents, affiliates or employee, nor shall it have any liability in connection with the malfeasance or nonfeasance by such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Agent and the Agent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Person may assume performance by all such Persons of their respective obligations and shall have no enforcement or notification obligations relating to breaches of representations or warranties of any other Person;</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71" w:lineRule="exact"/>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for, nor chargeable with, knowledge of the terms and conditions of any other agreement, instrument, or document other than the Loan Documents to which it is a party, whether or not an original or a copy of such agreement has been provided to Agent or any Agent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Person;</w:t>
      </w:r>
    </w:p>
    <w:p>
      <w:pPr>
        <w:spacing w:after="0" w:line="145"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or liable for any failure or delay in the performance of its obligations under this Agreement arising out of or caused, directly or indirectly, by circumstances beyond its control, including without limitation, any act or provision of any present or future law or regulation or Governmental Authority; acts of God; earthquakes; fires; floods; wars; terrorism;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-1701800</wp:posOffset>
            </wp:positionV>
            <wp:extent cx="3429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jc w:val="both"/>
        <w:spacing w:after="0" w:line="244" w:lineRule="auto"/>
        <w:rPr>
          <w:sz w:val="20"/>
          <w:szCs w:val="20"/>
          <w:color w:val="auto"/>
        </w:rPr>
      </w:pPr>
      <w:r>
        <w:rPr>
          <w:rFonts w:ascii="Times New Roman" w:cs="Times New Roman" w:eastAsia="Times New Roman" w:hAnsi="Times New Roman"/>
          <w:sz w:val="22"/>
          <w:szCs w:val="22"/>
          <w:color w:val="auto"/>
        </w:rPr>
        <w:t>civil or military disturbances; sabotage; epidemics;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spacing w:after="0" w:line="139" w:lineRule="exact"/>
        <w:rPr>
          <w:sz w:val="20"/>
          <w:szCs w:val="20"/>
          <w:color w:val="auto"/>
        </w:rPr>
      </w:pPr>
    </w:p>
    <w:p>
      <w:pPr>
        <w:jc w:val="both"/>
        <w:ind w:firstLine="757"/>
        <w:spacing w:after="0" w:line="291" w:lineRule="exact"/>
        <w:tabs>
          <w:tab w:leader="none" w:pos="118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responsible for the negligence or misconduct of any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agent that it selects as provided in </w:t>
      </w:r>
      <w:r>
        <w:rPr>
          <w:rFonts w:ascii="Times New Roman" w:cs="Times New Roman" w:eastAsia="Times New Roman" w:hAnsi="Times New Roman"/>
          <w:sz w:val="22"/>
          <w:szCs w:val="22"/>
          <w:u w:val="single" w:color="auto"/>
          <w:color w:val="auto"/>
        </w:rPr>
        <w:t>Section 12.5</w:t>
      </w:r>
      <w:r>
        <w:rPr>
          <w:rFonts w:ascii="Times New Roman" w:cs="Times New Roman" w:eastAsia="Times New Roman" w:hAnsi="Times New Roman"/>
          <w:sz w:val="22"/>
          <w:szCs w:val="22"/>
          <w:color w:val="auto"/>
        </w:rPr>
        <w:t xml:space="preserve"> absent gross negligence or willful misconduct by Agent (as determined in a final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appealable judgment by a court of competent jurisdictions) in the selection of such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agents;</w:t>
      </w:r>
    </w:p>
    <w:p>
      <w:pPr>
        <w:spacing w:after="0" w:line="147" w:lineRule="exact"/>
        <w:rPr>
          <w:rFonts w:ascii="Times New Roman" w:cs="Times New Roman" w:eastAsia="Times New Roman" w:hAnsi="Times New Roman"/>
          <w:sz w:val="22"/>
          <w:szCs w:val="22"/>
          <w:color w:val="auto"/>
        </w:rPr>
      </w:pPr>
    </w:p>
    <w:p>
      <w:pPr>
        <w:jc w:val="both"/>
        <w:ind w:right="20" w:firstLine="757"/>
        <w:spacing w:after="0" w:line="253" w:lineRule="auto"/>
        <w:tabs>
          <w:tab w:leader="none" w:pos="1181"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not be responsible or have any liability for, or have any duty to ascertain, inquire into, monitor or enforce, compliance with the provisions hereof relating to Competitors. Without limiting the generality of the foregoing, Agent shall not</w:t>
      </w:r>
    </w:p>
    <w:p>
      <w:pPr>
        <w:jc w:val="both"/>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be obligated to ascertain, monitor or inquire as to whether any Lender or participant or prospective Lender or participant is a Competitor or (ii) have any liability with respect to or arising out of any assignment or participation of loans, or disclosure of confidential information, to any Competitors;‎ and</w:t>
      </w:r>
    </w:p>
    <w:p>
      <w:pPr>
        <w:spacing w:after="0" w:line="177"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failure to disclose, any information relating to Borrower or any of its Affiliates that is communicated to or obtained by any Person serving as Agent or any of its branches or Affiliates in any capacity.</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Agent shall be entitled to request and receive written instructions from the Blackstone Representative or the Required Lenders, Lenders, Required Initial Term Loan Lenders or Required Delayed Draw Term Loan Lenders (or such other number or percentage of Lenders as shall be expressly provided herein or in the other Loan Documents), and shall have no responsibility or liability for any losses or damages of any nature that may arise from any action taken or not taken by Agent in accordance with the written direction of the Blackstone Representative or the Required Lenders, Lenders, Required Initial Term Loan Lenders or Required Delayed Draw Term Loan Lenders (or such other number or percentage of Lenders as shall be expressly provided herein or in the other Loan Documents) and, if it so requests, it shall first be indemnified to its reasonable satisfaction by the Lenders against any and all liability and expense which may be incurred by it by reason of taking or continuing to take any such action.</w:t>
      </w:r>
    </w:p>
    <w:p>
      <w:pPr>
        <w:spacing w:after="0" w:line="183"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color w:val="auto"/>
        </w:rPr>
        <w:t>Each Lender acknowledges and agrees that neither such Lender, nor any of its Affiliates or Approved Funds, participants or assignees, may rely on Agent to carry out such Lender’s, Affiliate’s, Approved Funds’ participant’s or assignee’s customer identification program, or other obligations required or imposed under or pursuant to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including any programs involving any of the following items relating to or in connection with the Credit Parties or their respective Subsidiaries, any of their respective Affiliates, Approved Funds or agents, the Loan Documents or the transactions hereunder: (i) any identity verification procedures, (ii) any record keeping, (iii) any comparisons with government lists, (iv) any customer notices or (v) any other procedures required under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No Agent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Related Person shall have any liability to any Lender or any of their respective Affiliates or Approved Funds if any request for a Term Loan or other extension of credit was not authorized by Borrower.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7" w:name="page178"/>
    <w:bookmarkEnd w:id="177"/>
    <w:p>
      <w:pPr>
        <w:jc w:val="both"/>
        <w:ind w:firstLine="749"/>
        <w:spacing w:after="0" w:line="247" w:lineRule="exact"/>
        <w:rPr>
          <w:sz w:val="20"/>
          <w:szCs w:val="20"/>
          <w:color w:val="auto"/>
        </w:rPr>
      </w:pPr>
      <w:r>
        <w:rPr>
          <w:rFonts w:ascii="Times New Roman" w:cs="Times New Roman" w:eastAsia="Times New Roman" w:hAnsi="Times New Roman"/>
          <w:sz w:val="22"/>
          <w:szCs w:val="22"/>
          <w:color w:val="auto"/>
        </w:rPr>
        <w:t>Agent shall have no obligation to give, execute deliver, file, record, authorize or obtain any financing statements, notices, instruments, documents, agreements, consents or other papers as shall be necessary to (i) create, preserve, perfect or validate the security interest granted to Agent pursuant to the Loan Documents or (ii) enable Agent to exercise and enforce its rights under the Loan Documents with respect to such pledge and security interest. In addition, Agent shall have no responsibility or liability (i) in connection with the acts or omissions of the Credit Parties in respect of the foregoing or (ii) for or with respect to the legality, validity and enforceability of any security interest created in the Collateral or the perfection and priority of such security interest. Each party to this Agreement acknowledges and agrees that the Blackstone Representative may from time to time use one or more outside service providers for the tracking of all UCC</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 financing statements (or other collateral related filings and registrations from time to time) required to be filed or recorded pursuant to the Collateral Documents and the notification to the Blackstone Representative, of, among other things, the upcoming lapse or expiration thereof, and that each of such service providers shall be deemed to be acting at the request and on behalf of Borrower and the other Credit Parties. Agent shall not be liable for any action taken or not taken by any such service provider. Neither Agent nor any of its officers, partners, directors, employees or agents shall be liable to the Lenders for any action taken or omitted by Agent under or in connection with any of the Loan Documents.</w:t>
      </w:r>
    </w:p>
    <w:p>
      <w:pPr>
        <w:spacing w:after="0" w:line="17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12.4 Reliance by Agent. Agent shall be entitled to rely upon, and shall not incur any liability for relying upon, any notice, opinion, request, certificate, consent, statement, instrument, order,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 telephone and believed by it to have been made by the proper Person, and shall not incur any liability for relying thereon. In determining compliance with any condition hereunder to the making of a Term Loan that by its terms must be fulfilled to the satisfaction of a Lender, Agent may presume that such condition is satisfactory to such Lender unless Agent shall have received notice to the contrary from such Lender prior to the making of such Term Loan.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76" w:lineRule="exact"/>
        <w:rPr>
          <w:sz w:val="20"/>
          <w:szCs w:val="20"/>
          <w:color w:val="auto"/>
        </w:rPr>
      </w:pPr>
    </w:p>
    <w:p>
      <w:pPr>
        <w:jc w:val="both"/>
        <w:ind w:firstLine="749"/>
        <w:spacing w:after="0" w:line="259" w:lineRule="exact"/>
        <w:rPr>
          <w:sz w:val="20"/>
          <w:szCs w:val="20"/>
          <w:color w:val="auto"/>
        </w:rPr>
      </w:pPr>
      <w:r>
        <w:rPr>
          <w:rFonts w:ascii="Times New Roman" w:cs="Times New Roman" w:eastAsia="Times New Roman" w:hAnsi="Times New Roman"/>
          <w:sz w:val="22"/>
          <w:szCs w:val="22"/>
          <w:b w:val="1"/>
          <w:bCs w:val="1"/>
          <w:color w:val="auto"/>
        </w:rPr>
        <w:t>12.5 Delegation of Duties . Agent may perform any and all of its duties and exercise its rights and powers hereunder or under any other Loan Document by or through any one or more sub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agents appointed by Agent. Agent and any such sub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2"/>
          <w:szCs w:val="22"/>
          <w:b w:val="1"/>
          <w:bCs w:val="1"/>
          <w:u w:val="single" w:color="auto"/>
          <w:color w:val="auto"/>
        </w:rPr>
        <w:t>Section 12</w:t>
      </w:r>
      <w:r>
        <w:rPr>
          <w:rFonts w:ascii="Times New Roman" w:cs="Times New Roman" w:eastAsia="Times New Roman" w:hAnsi="Times New Roman"/>
          <w:sz w:val="22"/>
          <w:szCs w:val="22"/>
          <w:b w:val="1"/>
          <w:bCs w:val="1"/>
          <w:color w:val="auto"/>
        </w:rPr>
        <w:t xml:space="preserve"> shall apply to any such sub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agent and to the Related Parties of Agent and any such sub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 agent, and shall apply to their respective activities in connection with the syndication of the credit facilities provided for herein as well as activities as Agent.</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12.6 Resignation of Agent. Agent may at any time give notice of its resignation to the Lenders and the Borrower. Upon receipt of any such notice of resignation, the Blackstone Representative shall appoint a successor. If no such successor shall have been so appointed by the Blackstone Representative and shall have accepted such appointment within thirty (30) days after the retiring Agent gives notice of its resignation (or such earlier day as shall be agreed by the Blackstone Representative) (the “Resignation Effective Date”), then the retiring Agent may (but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shall not be obligated to), on behalf of the Lenders, appoint a successor Agent;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in no event shall any such successor Agent be a Defaulting Lender. Whether or not a successor has been appointed, such resignation shall become effective in accordance with such notice on the Resignation Effective Date.</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Required Lenders may remove Agent as agent upon ten (10) days prior notice in writing to the Borrower and Agent. Upon such removal, the Blackstone Representative shall appoint a successor. If no such successor shall have been so appointed by the Blackstone Representative and shall have accepted such appointment within ten (10) days (or such earlier day as shall be agreed by the Blackstone Representative) (the “</w:t>
      </w:r>
      <w:r>
        <w:rPr>
          <w:rFonts w:ascii="Times New Roman" w:cs="Times New Roman" w:eastAsia="Times New Roman" w:hAnsi="Times New Roman"/>
          <w:sz w:val="22"/>
          <w:szCs w:val="22"/>
          <w:b w:val="1"/>
          <w:bCs w:val="1"/>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With effect from the Resignation Effective Date or the Removal Effective Date (as applicable) (i) the retiring or removed Agent shall be discharged from its duties and obligations hereunder and under the other Loan Documents (except that in the case of any collateral security held by Agent on behalf of the Lenders under any of the Loan Documents, the retired or removed Agent shall continue to hold such security until such time as a successor Agent is appointed) and (ii) except for any indemnity and expense reimbursement payments owed to the retiring or removed Agent, all payments, communications and determinations provided to be made by, to or through Agent shall instead be made by or to each Lender directly, until such time, if any, as the Blackstone Representative appoints a successor Agent as provided for above. Upon the acceptance of a successor’s appointment as Agent hereunder, such successor shall succeed to and become vested with all of the rights, powers, privileges and duties of the retiring or removed Agent (other than any rights to indemnity or expense reimbursement payments owed to the retiring or removed Agent). The fees payable by the Borrower to a successor Agent shall be the same as those payable to its predecessor unless otherwise agreed between the Borrower and such successor. After the retiring or removed Agent’s resignation or removal hereunder and under the other Loan Documents, the provisions of this </w:t>
      </w: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shall continue in effect for the benefit of such retiring or removed Agent, its sub agents and their respective Related Parties in respect of any actions taken or omitted to be taken by any of them while the retiring or removed Agent was acting as Agent.</w:t>
      </w:r>
    </w:p>
    <w:p>
      <w:pPr>
        <w:spacing w:after="0" w:line="146"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22"/>
          <w:szCs w:val="22"/>
          <w:b w:val="1"/>
          <w:bCs w:val="1"/>
          <w:color w:val="auto"/>
        </w:rPr>
        <w:t xml:space="preserve">12.7 Non </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Reliance on Agent and Other Lenders . Each Lender acknowledges that it has, independently and without reliance upon Agent or any other Lender or any of their Related Parties, and based on such documents and information as it has deemed appropriate, made its own credit analysis and decision to enter into this Agreement. Each Lender further represents and warrants that it has reviewed each document made available to it in connection with this Agreement and has acknowledged and accepted the terms and conditions applicable to the recipients thereof. Each Lender represents and warrants that (i) the Loan Documents set forth the terms of a commercial lending facility and certain other facilities set forth herein and (ii) it is engaged in making, acquiring or holding commercial loans or providing other similar facilities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make, acquire or hold commercial loans and to provide other facilities set forth herein, as may be applicable to such Lender, and either it, or the Person exercising discretion in making its decision to make, acquire or hold such commercial loans or to provide such other facilities, is experienced in making, acquiring or holding such commercial loans or providing such other facilities.</w:t>
      </w:r>
    </w:p>
    <w:p>
      <w:pPr>
        <w:spacing w:after="0" w:line="172"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12.8 No Other Duties, Etc.. Anything herein to the contrary notwithstanding, Agent shall have no powers, duties or responsibilities under this Agreement or any of the other Loan Documents, except in its capacity, as applicable, as Agent or a Lender hereunder.</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12.9 Agent May File Proofs of Claim . In case of the pendency of any proceeding under any federal, state or foreign bankruptcy, insolvency, reorganization, receivership, conservatorship, liquidation, assignment for the benefit of creditors, moratorium, rearrangement, or similar law or any other judicial proceeding relative to any Credit Party, Agent (irrespective of whether the principal of any Term Loan shall then be due and payable as herein expressed or by declaration or otherwise and irrespective of whether Agent shall have made any demand on Borrower) shall be entitled and empowered (if directed by the Required Lenders), by intervention in such proceeding or otherwise:</w:t>
      </w:r>
    </w:p>
    <w:p>
      <w:pPr>
        <w:spacing w:after="0" w:line="179" w:lineRule="exact"/>
        <w:rPr>
          <w:sz w:val="20"/>
          <w:szCs w:val="20"/>
          <w:color w:val="auto"/>
        </w:rPr>
      </w:pPr>
    </w:p>
    <w:p>
      <w:pPr>
        <w:jc w:val="both"/>
        <w:ind w:firstLine="757"/>
        <w:spacing w:after="0" w:line="238" w:lineRule="auto"/>
        <w:tabs>
          <w:tab w:leader="none" w:pos="118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file and prove a claim for the whole amount of the principal and interest owing and unpaid in respect of the Term Loans and all other Obligations that are owing and unpaid and to file such other documents as may be necessary or advisable in order to have the claims of the Lenders and Agent (including any claim for the reasonable compensation, expenses, disbursements and advances of the Lenders and Agent and their respective agents and counsel and all other amounts due the Lenders and Agent under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allowed in such judicial proceeding; and</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collect and receive any monies or other property payable or deliverable on any such claims and to distribute the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same;</w:t>
      </w:r>
    </w:p>
    <w:p>
      <w:pPr>
        <w:spacing w:after="0" w:line="18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and any custodian, receiver, assignee, trustee, liquidator, sequestrator or other similar official in any such judicial proceeding is hereby authorized by each Lender to make such payments to Agent and, if Agent shall consent to the making of such payments directly to the Lenders, to pay to Agent any amount due for the reasonable compensation, expenses, disbursements and advances of Agent and its agents and counsel, and any other amounts due Agent under </w:t>
      </w:r>
      <w:r>
        <w:rPr>
          <w:rFonts w:ascii="Times New Roman" w:cs="Times New Roman" w:eastAsia="Times New Roman" w:hAnsi="Times New Roman"/>
          <w:sz w:val="22"/>
          <w:szCs w:val="22"/>
          <w:u w:val="single" w:color="auto"/>
          <w:color w:val="auto"/>
        </w:rPr>
        <w:t>Sections 2.4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Nothing contained herein shall be deemed to authorize Agent to authorize or consent to or accept or adopt on behalf of any Lender any reorganization plan, arrangement, adjustment or composition affecting the Obligations or the rights of any Lender to authorize Agent to vote in respect of the claim of any Lender or in any such proceeding.</w:t>
      </w:r>
    </w:p>
    <w:p>
      <w:pPr>
        <w:spacing w:after="0" w:line="169"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12.10</w:t>
      </w:r>
      <w:r>
        <w:rPr>
          <w:sz w:val="20"/>
          <w:szCs w:val="20"/>
          <w:color w:val="auto"/>
        </w:rPr>
        <w:tab/>
      </w:r>
      <w:r>
        <w:rPr>
          <w:rFonts w:ascii="Times New Roman" w:cs="Times New Roman" w:eastAsia="Times New Roman" w:hAnsi="Times New Roman"/>
          <w:sz w:val="21"/>
          <w:szCs w:val="21"/>
          <w:b w:val="1"/>
          <w:bCs w:val="1"/>
          <w:color w:val="auto"/>
        </w:rPr>
        <w:t>Collateral and Guaranty Matters. The Lenders irrevocably authorize Agent:</w:t>
      </w:r>
    </w:p>
    <w:p>
      <w:pPr>
        <w:spacing w:after="0" w:line="210" w:lineRule="exact"/>
        <w:rPr>
          <w:sz w:val="20"/>
          <w:szCs w:val="20"/>
          <w:color w:val="auto"/>
        </w:rPr>
      </w:pPr>
    </w:p>
    <w:p>
      <w:pPr>
        <w:ind w:right="20" w:firstLine="757"/>
        <w:spacing w:after="0" w:line="258"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enter into and sign for and on behalf of the Lenders as Secured Parties the Collateral Documents for the benefit of the Lenders and the other Secured Parties;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automatically release any Lien on any property granted to or held by Agent under any Loan Document (i) upon termination of the Commitments and payment in full of all Obligations, in cash in immediately available funds, (ii) at the time the property subject to such</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0" w:name="page181"/>
    <w:bookmarkEnd w:id="180"/>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Lien is disposed or to be disposed as part of or in connection with any disposition or sale permitted (other than a lease and other than to a Person that is a Credit Party) hereunder or under any other Loan Document, (iii) subject to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xml:space="preserve">, if the release of such Lien is approved, authorized or ratified in writing by the applicable Lenders required pursuant to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or (iv) if the property subject to such Lien is owned by a Guarantor, upon release of such Guarantor from its obligations under the Security Agreement, to the extent permitted hereunder; and</w:t>
      </w:r>
    </w:p>
    <w:p>
      <w:pPr>
        <w:spacing w:after="0" w:line="177" w:lineRule="exact"/>
        <w:rPr>
          <w:sz w:val="20"/>
          <w:szCs w:val="20"/>
          <w:color w:val="auto"/>
        </w:rPr>
      </w:pPr>
    </w:p>
    <w:p>
      <w:pPr>
        <w:jc w:val="both"/>
        <w:ind w:firstLine="757"/>
        <w:spacing w:after="0" w:line="239" w:lineRule="auto"/>
        <w:tabs>
          <w:tab w:leader="none" w:pos="1181"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release or subordinate any Lien on any property granted to or held by Agent under any Loan Document to the holder of any Lien on such property that is securing Indebtedness of the type contemplated by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of the definition of “Permitted Indebtedness” to the extent required by the holder of, or pursuant to the terms of any agreement governing, the obligations secured by such Liens.</w:t>
      </w:r>
    </w:p>
    <w:p>
      <w:pPr>
        <w:spacing w:after="0" w:line="18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Upon request by Agent at any time, the Required Lenders shall confirm in writing Agent’s authority to release or subordinate its interest in particular types or items of property, or to release any Guarantor from its obligations under the Security Agreement pursuant to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In each case as specified in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Agent shall at the direction of the Blackstone Representative (and each Lender irrevocably authorizes Agent to), at Borrower’s expense, execute and deliver to the applicable Credit Party such documents as such Credit Party may reasonably request to evidence the release of such item of Collateral from the assignment and security interest granted under the Collateral Documents or to subordinate its interest in such item, or to evidence the release of such Guarantor from its obligations under the Security Agreement, in each case in accordance with the terms of the Loan Documents and this </w:t>
      </w:r>
      <w:r>
        <w:rPr>
          <w:rFonts w:ascii="Times New Roman" w:cs="Times New Roman" w:eastAsia="Times New Roman" w:hAnsi="Times New Roman"/>
          <w:sz w:val="22"/>
          <w:szCs w:val="22"/>
          <w:u w:val="single" w:color="auto"/>
          <w:color w:val="auto"/>
        </w:rPr>
        <w:t>Section 12.10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requested by Agent, Borrower shall deliver to Agent a certificate executed by a Responsible Officer of the Borrower certifying that the transaction giving rise to such release or subordination, as applicable, is permitted by the Loan Documents (and Agent may, at the direction of the Blackstone Representative, rely on such certificate in performing its obligations under this sentence).</w:t>
      </w:r>
    </w:p>
    <w:p>
      <w:pPr>
        <w:spacing w:after="0" w:line="18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Agent shall have no obligation whatsoever to any of the Lenders or other Secured Parties (i) to verify or assure that the Collateral exists or is owned by a Credit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Credit Parties and the Lenders hereby irrevocably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spacing w:after="0" w:line="249" w:lineRule="exact"/>
        <w:rPr>
          <w:sz w:val="20"/>
          <w:szCs w:val="20"/>
          <w:color w:val="auto"/>
        </w:rPr>
      </w:pPr>
      <w:r>
        <w:rPr>
          <w:rFonts w:ascii="Times New Roman" w:cs="Times New Roman" w:eastAsia="Times New Roman" w:hAnsi="Times New Roman"/>
          <w:sz w:val="22"/>
          <w:szCs w:val="22"/>
          <w:color w:val="auto"/>
        </w:rPr>
        <w:t>entities) all or any portion of the Collateral at any sale or other disposition thereof conducted under the provisions of the UCC, including pursuant to Sections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610 or 9</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620 of the UCC, or (c) credit bid or purchase (either directly or indirectly through one or more entities) all or any portion of the Collateral at any other sale or foreclosure conducted or consented to by Agent (at the direction of the Required Lenders) in accordance with applicable law in any judicial action or proceeding or by the exercise of any legal or equitable remedy. In connection with any such credit bid or purchase, (i) the Obligations owed to the Lenders and the other Secured Parties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other Secured Parties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any of the entities that are used to consummate such credit bid or purchase), and (ii) Agent, based upon the instruction of the Required Lenders, may accept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cash consideration, including debt and equity securities issued by any entities used to consummate such credit bid or purchase and in connection therewith Agent may reduce the Obligations owed to the Lenders and the other Secured Parties (ratably based upon the proportion of their Obligations credit bid in relation to the aggregate amount of Obligations so credit bid) based upon the value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cash consideration.</w:t>
      </w:r>
    </w:p>
    <w:p>
      <w:pPr>
        <w:spacing w:after="0" w:line="149"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12.11 Indemnification by Lenders. To the extent required by any applicable Laws, Agent may withhold from any payment to any Lender an amount equivalent to any applicable withholding Tax. Without limiting or expanding the provisions of </w:t>
      </w:r>
      <w:r>
        <w:rPr>
          <w:rFonts w:ascii="Times New Roman" w:cs="Times New Roman" w:eastAsia="Times New Roman" w:hAnsi="Times New Roman"/>
          <w:sz w:val="22"/>
          <w:szCs w:val="22"/>
          <w:b w:val="1"/>
          <w:bCs w:val="1"/>
          <w:u w:val="single" w:color="auto"/>
          <w:color w:val="auto"/>
        </w:rPr>
        <w:t>Section 2.6</w:t>
      </w:r>
      <w:r>
        <w:rPr>
          <w:rFonts w:ascii="Times New Roman" w:cs="Times New Roman" w:eastAsia="Times New Roman" w:hAnsi="Times New Roman"/>
          <w:sz w:val="22"/>
          <w:szCs w:val="22"/>
          <w:b w:val="1"/>
          <w:bCs w:val="1"/>
          <w:color w:val="auto"/>
        </w:rPr>
        <w:t xml:space="preserve">, to the extent not otherwise indemnified by the Credit Parties pursuant to the terms of this Agreement, each Lender shall severally indemnify and hold harmless Agent against, and shall make payable in respect thereof within ten (10) days after demand therefor, (i) any and all Taxes and any and all related losses, claims, liabilities and expenses (including fees, charges and disbursements of any counsel for the Agent) incurred by or asserted against Agent by the IRS or any other Governmental Authority as a result of the failure of Agent to properly withhold Tax from amounts paid to or for the account of such Lender for any reason (including because the appropriate form was not delivered or not properly executed, or because such Lender failed to notify Agent of a change in circumstance that rendered the exemption from, or reduction of withholding Tax ineffective), (ii) any Indemnified Taxes attributable to such Lender (but only to the extent that Borrower has not already indemnified Agent for such Indemnified Taxes and without limiting the obligation of Borrower to do so), (iii) any Taxes attributable to such Lender’s failure to comply with the provision of </w:t>
      </w:r>
      <w:r>
        <w:rPr>
          <w:rFonts w:ascii="Times New Roman" w:cs="Times New Roman" w:eastAsia="Times New Roman" w:hAnsi="Times New Roman"/>
          <w:sz w:val="22"/>
          <w:szCs w:val="22"/>
          <w:b w:val="1"/>
          <w:bCs w:val="1"/>
          <w:u w:val="single" w:color="auto"/>
          <w:color w:val="auto"/>
        </w:rPr>
        <w:t>Section 11.1</w:t>
      </w:r>
      <w:r>
        <w:rPr>
          <w:rFonts w:ascii="Times New Roman" w:cs="Times New Roman" w:eastAsia="Times New Roman" w:hAnsi="Times New Roman"/>
          <w:sz w:val="22"/>
          <w:szCs w:val="22"/>
          <w:b w:val="1"/>
          <w:bCs w:val="1"/>
          <w:color w:val="auto"/>
        </w:rPr>
        <w:t xml:space="preserve"> relating to the maintenance of a Participant Register and (iv) any Excluded Taxes attributable to such Lender, in each case, that are payable or paid by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 off and apply any and all amounts at any time owing to such Lender under</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Agreement or any other Loan Document or otherwise payable by Agent to such Lender from any other source against any amount due Agent under this </w:t>
      </w:r>
      <w:r>
        <w:rPr>
          <w:rFonts w:ascii="Times New Roman" w:cs="Times New Roman" w:eastAsia="Times New Roman" w:hAnsi="Times New Roman"/>
          <w:sz w:val="22"/>
          <w:szCs w:val="22"/>
          <w:b w:val="1"/>
          <w:bCs w:val="1"/>
          <w:u w:val="single" w:color="auto"/>
          <w:color w:val="auto"/>
        </w:rPr>
        <w:t>Section 12.11</w:t>
      </w:r>
      <w:r>
        <w:rPr>
          <w:rFonts w:ascii="Times New Roman" w:cs="Times New Roman" w:eastAsia="Times New Roman" w:hAnsi="Times New Roman"/>
          <w:sz w:val="22"/>
          <w:szCs w:val="22"/>
          <w:b w:val="1"/>
          <w:bCs w:val="1"/>
          <w:color w:val="auto"/>
        </w:rPr>
        <w:t>.</w:t>
      </w:r>
    </w:p>
    <w:p>
      <w:pPr>
        <w:spacing w:after="0" w:line="15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12.12 Patriot Act. Each Lender or assignee or participant of a Lender that is not organized under the laws of the United States or a state thereof (and is not excepted from the certification requirement contained in Section 313 of the Patriot Act and the applicable regulations because it is both (a) an affiliate of a depository institution or foreign bank that maintains a physical presence in the United States or foreign country, and (b) subject to supervision by a banking authority regulating such affiliated depository institution or foreign bank) shall deliver to Agent the certification, or, if applicable, recertification, certifying that such Lender is not a “shell” and certifying to other matters as required by Section 313 of the Patriot Act and the applicable regulations: (i) within ten (10) days after the Closing Date, and (ii) at such other times as are required under the Patriot Act.</w:t>
      </w:r>
    </w:p>
    <w:p>
      <w:pPr>
        <w:spacing w:after="0" w:line="178" w:lineRule="exact"/>
        <w:rPr>
          <w:sz w:val="20"/>
          <w:szCs w:val="20"/>
          <w:color w:val="auto"/>
        </w:rPr>
      </w:pPr>
    </w:p>
    <w:p>
      <w:pPr>
        <w:jc w:val="both"/>
        <w:ind w:firstLine="749"/>
        <w:spacing w:after="0" w:line="245" w:lineRule="exact"/>
        <w:rPr>
          <w:sz w:val="20"/>
          <w:szCs w:val="20"/>
          <w:color w:val="auto"/>
        </w:rPr>
      </w:pPr>
      <w:r>
        <w:rPr>
          <w:rFonts w:ascii="Times New Roman" w:cs="Times New Roman" w:eastAsia="Times New Roman" w:hAnsi="Times New Roman"/>
          <w:sz w:val="21"/>
          <w:szCs w:val="21"/>
          <w:b w:val="1"/>
          <w:bCs w:val="1"/>
          <w:color w:val="auto"/>
        </w:rPr>
        <w:t>12.13 Costs and Expenses; Indemnification . Agent may incur and pay Lender and Agent Expenses in connection with the performance and fulfillment of Agent’s functions, powers, and obligations pursuant to the Loan Documents, including court costs, attorney’s fees and expenses and, to the extent Agent, in consultation with the Blackstone Representative, reasonably deems necessary or appropriate for the performance and fulfillment of Agent’s functions, powers, and obligations pursuant to the Loan Documents, fees and expenses of financial accountants, advisors, consultants, and appraisers, costs of collection by outside collection agencies, auctioneer fees and expenses, and costs of security guards or insurance premiums paid to maintain the Collateral, whether or not Borrower is obligated to reimburse Agent or Lenders for such expenses pursuant to this Agreement or otherwise. Agent is authorized and directed to deduct and retain sufficient amounts from payments or proceeds of the Collateral received by Agent to reimburse Agent for such out</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 xml:space="preserve"> of</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 xml:space="preserve">pocket costs and expenses prior to the distribution of any amounts to Lenders. In the event Agent is not reimbursed for such costs and expenses by the Credit Parties and their Subsidiaries, each Lender hereby agrees that it is and shall be obligated to pay to Agent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thereof. Each of the Lenders, in accordance with their respective pro rata shares (determined as of the time that the applicable payment is sought (or if such indemnity payment is sought after the date on which the Loans have been paid in full and the Commitments have been terminated, determined as of the day immediately prior to the date on which the Loans were paid in full and the Commitments were terminated)), shall indemnify and defend the Agent-Related Persons (to the extent not reimbursed by or on behalf of Borrower and without limiting the obligation of Borrower to do so) from and against any and all Indemnified Liabilities;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that no Lender shall be liable for the payment to any Agent-Related Person of any portion of such Indemnified Liabilities resulting solely from such Person’s gross negligence or willful misconduct as determined by a final, non-appealable judgment of a court of competent jurisdiction; </w:t>
      </w:r>
      <w:r>
        <w:rPr>
          <w:rFonts w:ascii="Times New Roman" w:cs="Times New Roman" w:eastAsia="Times New Roman" w:hAnsi="Times New Roman"/>
          <w:sz w:val="21"/>
          <w:szCs w:val="21"/>
          <w:b w:val="1"/>
          <w:bCs w:val="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further</w:t>
      </w:r>
      <w:r>
        <w:rPr>
          <w:rFonts w:ascii="Times New Roman" w:cs="Times New Roman" w:eastAsia="Times New Roman" w:hAnsi="Times New Roman"/>
          <w:sz w:val="21"/>
          <w:szCs w:val="21"/>
          <w:b w:val="1"/>
          <w:bCs w:val="1"/>
          <w:color w:val="auto"/>
        </w:rPr>
        <w:t xml:space="preserve"> that no action taken in accordance with the directions of the Blackstone Representative or the Required Lenders, Lenders, Required Initial Term Loan Lenders, or Required Delayed Draw Term Loan Lenders (or such other number or percentage of the Lenders as shall be expressly provided for herein or in the other Loan Documents) shall be deemed to constitute gross negligence or willful misconduct for purposes of this </w:t>
      </w:r>
      <w:r>
        <w:rPr>
          <w:rFonts w:ascii="Times New Roman" w:cs="Times New Roman" w:eastAsia="Times New Roman" w:hAnsi="Times New Roman"/>
          <w:sz w:val="21"/>
          <w:szCs w:val="21"/>
          <w:b w:val="1"/>
          <w:bCs w:val="1"/>
          <w:u w:val="single" w:color="auto"/>
          <w:color w:val="auto"/>
        </w:rPr>
        <w:t>Section 12.13</w:t>
      </w:r>
      <w:r>
        <w:rPr>
          <w:rFonts w:ascii="Times New Roman" w:cs="Times New Roman" w:eastAsia="Times New Roman" w:hAnsi="Times New Roman"/>
          <w:sz w:val="21"/>
          <w:szCs w:val="21"/>
          <w:b w:val="1"/>
          <w:bCs w:val="1"/>
          <w:color w:val="auto"/>
        </w:rPr>
        <w:t>). Without limitation of the foregoing, each Lender shall reimburse Agent upon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3" w:name="page184"/>
    <w:bookmarkEnd w:id="183"/>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demand for such Lender’s pro rata share (determined as of the time that the applicable payment is sought (or if such payment is sought after the date on which the Loans have been paid in full and the Commitments have been terminated, determined as of the day immediately prior to the date on which the Loans were paid in full and the Commitments were terminated))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 For purposes hereof, “pro rata share” shall mean with respect to any Lender at any time, the percentage obtained by dividing (x) the sum of the aggregate outstanding principal amount of the Loans of such Lender at such time and its unused Commitments at such time by (y) the sum of the aggregate outstanding principal amount of the Loans of all Lenders at such time and the aggregate unused Commitments of all Lenders at such time. The undertaking in this Section shall survive the payment of all Obligations hereunder and the resignation or replacement of Agent.</w:t>
      </w:r>
    </w:p>
    <w:p>
      <w:pPr>
        <w:spacing w:after="0" w:line="18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12.14 Survival. This </w:t>
      </w:r>
      <w:r>
        <w:rPr>
          <w:rFonts w:ascii="Times New Roman" w:cs="Times New Roman" w:eastAsia="Times New Roman" w:hAnsi="Times New Roman"/>
          <w:sz w:val="22"/>
          <w:szCs w:val="22"/>
          <w:b w:val="1"/>
          <w:bCs w:val="1"/>
          <w:u w:val="single" w:color="auto"/>
          <w:color w:val="auto"/>
        </w:rPr>
        <w:t>Section 12</w:t>
      </w:r>
      <w:r>
        <w:rPr>
          <w:rFonts w:ascii="Times New Roman" w:cs="Times New Roman" w:eastAsia="Times New Roman" w:hAnsi="Times New Roman"/>
          <w:sz w:val="22"/>
          <w:szCs w:val="22"/>
          <w:b w:val="1"/>
          <w:bCs w:val="1"/>
          <w:color w:val="auto"/>
        </w:rPr>
        <w:t xml:space="preserve"> shall survive the termination of this Agreement, the repayment, satisfaction or discharge of all Obligations and the resignation or replacement of Agent.</w:t>
      </w:r>
    </w:p>
    <w:p>
      <w:pPr>
        <w:spacing w:after="0" w:line="150" w:lineRule="exact"/>
        <w:rPr>
          <w:sz w:val="20"/>
          <w:szCs w:val="20"/>
          <w:color w:val="auto"/>
        </w:rPr>
      </w:pPr>
    </w:p>
    <w:p>
      <w:pPr>
        <w:ind w:left="76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12.15</w:t>
      </w:r>
      <w:r>
        <w:rPr>
          <w:sz w:val="20"/>
          <w:szCs w:val="20"/>
          <w:color w:val="auto"/>
        </w:rPr>
        <w:tab/>
      </w:r>
      <w:r>
        <w:rPr>
          <w:rFonts w:ascii="Times New Roman" w:cs="Times New Roman" w:eastAsia="Times New Roman" w:hAnsi="Times New Roman"/>
          <w:sz w:val="21"/>
          <w:szCs w:val="21"/>
          <w:b w:val="1"/>
          <w:bCs w:val="1"/>
          <w:color w:val="auto"/>
        </w:rPr>
        <w:t>Erroneous Payments.</w:t>
      </w:r>
    </w:p>
    <w:p>
      <w:pPr>
        <w:spacing w:after="0" w:line="210" w:lineRule="exact"/>
        <w:rPr>
          <w:sz w:val="20"/>
          <w:szCs w:val="20"/>
          <w:color w:val="auto"/>
        </w:rPr>
      </w:pPr>
    </w:p>
    <w:p>
      <w:pPr>
        <w:jc w:val="both"/>
        <w:ind w:firstLine="757"/>
        <w:spacing w:after="0" w:line="232"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Agent (x) notifies a Lender or any Person who has received funds on behalf of a Lender, (any such Lender or other recipient (and each of their respective successors and assigns), a “</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that Agent has determined in its reasonable discretion (whether or not after receipt of any notice under immediately succeeding clause (b)) that any funds (as set forth in such notice from Agent) received by such Payment Recipient from Agent or any of its Affiliates were erroneously or mistakenly transmitted to, or otherwise erroneously or mistakenly received by, such Payment Recipient (whether or not known to such Lender,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22"/>
          <w:szCs w:val="22"/>
          <w:b w:val="1"/>
          <w:bCs w:val="1"/>
          <w:color w:val="auto"/>
        </w:rPr>
        <w:t>Erroneous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and (y) demands in writing the return of such Erroneous Payment (or a portion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limiting any other rights or remedies (whether at law or in equity), Agent may not make any such demand under this clause (a) with respect to an Erroneous Payment unless such demand is made within twenty (20) Business Days of the date of receipt of such Erroneous Payment by the applicable Payment Recipient), such Erroneous Payment shall at all times remain the property of Agent pending its return or repayment as contemplated below in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and shall be segregated by the Payment Recipient and held in trust for the benefit of Agent, and such Lender shall (or, with respect to any Payment Recipient who received such funds on its behalf, shall cause such Payment Recipient to) promptly, but in no event later than five (5) Business Days thereafter (or such later date as Agent may, in its reasonable discretion, specify in writing), return to Agent the amount of any such Erroneous Payment (or portion thereof) as to which such a demand was made, in same day funds (in the currency so received), together with interest thereon (except to the extent waived in writing by Agent, in its sole discretion) in respect of each day from and including the date such Erroneous Payment (or portion thereof) was received by such Payment Recipient to the date such amount is repaid to Agent in same day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6366510</wp:posOffset>
            </wp:positionH>
            <wp:positionV relativeFrom="paragraph">
              <wp:posOffset>-1723390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4" w:name="page185"/>
    <w:bookmarkEnd w:id="184"/>
    <w:p>
      <w:pPr>
        <w:jc w:val="both"/>
        <w:spacing w:after="0" w:line="244" w:lineRule="auto"/>
        <w:rPr>
          <w:sz w:val="20"/>
          <w:szCs w:val="20"/>
          <w:color w:val="auto"/>
        </w:rPr>
      </w:pPr>
      <w:r>
        <w:rPr>
          <w:rFonts w:ascii="Times New Roman" w:cs="Times New Roman" w:eastAsia="Times New Roman" w:hAnsi="Times New Roman"/>
          <w:sz w:val="22"/>
          <w:szCs w:val="22"/>
          <w:color w:val="auto"/>
        </w:rPr>
        <w:t>at the greater of the Federal Funds Rate and a rate determined by Agent in accordance with banking industry rules on interbank compensation from time to time in effect. A notice of Agent to any Payment Recipient under this clause (a) shall be conclusive, absent manifest error.</w:t>
      </w:r>
    </w:p>
    <w:p>
      <w:pPr>
        <w:spacing w:after="0" w:line="173" w:lineRule="exact"/>
        <w:rPr>
          <w:sz w:val="20"/>
          <w:szCs w:val="20"/>
          <w:color w:val="auto"/>
        </w:rPr>
      </w:pPr>
    </w:p>
    <w:p>
      <w:pPr>
        <w:jc w:val="both"/>
        <w:ind w:firstLine="757"/>
        <w:spacing w:after="0" w:line="247" w:lineRule="auto"/>
        <w:tabs>
          <w:tab w:leader="none" w:pos="1181"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immediately preceding clause (a), each Lender or any Person who has received funds on behalf of a Lender (and each of their respective successors and assigns), hereby further agrees that if it (or a Payment Recipient on its behalf) receives a payment, prepayment or repayment (whether received as a payment, prepayment or repayment of principal, interest, fees, distribution or otherwise) from Agent (or any of its Affiliates) (x) that is in a different amount than, or on a different date from, that specified in this Agreement or in a notice of payment, prepayment or repayment sent by Agent (or any of its Affiliates) with respect to such payment, prepayment or repayment, (y) that was not preceded or accompanied by a notice of payment, prepayment or repayment sent by Agent (or any of its Affiliates), or (z) that such Lender, or other such recipient, otherwise becomes aware was transmitted, or received, in error or by mistake (in whole or in part), then in each such case:</w:t>
      </w:r>
    </w:p>
    <w:p>
      <w:pPr>
        <w:spacing w:after="0" w:line="171" w:lineRule="exact"/>
        <w:rPr>
          <w:rFonts w:ascii="Times New Roman" w:cs="Times New Roman" w:eastAsia="Times New Roman" w:hAnsi="Times New Roman"/>
          <w:sz w:val="21"/>
          <w:szCs w:val="21"/>
          <w:color w:val="auto"/>
        </w:rPr>
      </w:pPr>
    </w:p>
    <w:p>
      <w:pPr>
        <w:jc w:val="both"/>
        <w:ind w:left="760" w:firstLine="745"/>
        <w:spacing w:after="0" w:line="253" w:lineRule="auto"/>
        <w:tabs>
          <w:tab w:leader="none" w:pos="1941" w:val="left"/>
        </w:tabs>
        <w:numPr>
          <w:ilvl w:val="1"/>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acknowledges and agrees that (A) in the case of the immediately preceding clauses (x) or (y), an error and mistake shall be presumed to have been made (absent written confirmation from Agent to the contrary) or</w:t>
      </w:r>
    </w:p>
    <w:p>
      <w:pPr>
        <w:ind w:left="76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an error and mistake has been made (in the case of the immediately preceding clause (z)), in each case, with respect to such payment, prepayment or repayment; and</w:t>
      </w:r>
    </w:p>
    <w:p>
      <w:pPr>
        <w:spacing w:after="0" w:line="178" w:lineRule="exact"/>
        <w:rPr>
          <w:rFonts w:ascii="Times New Roman" w:cs="Times New Roman" w:eastAsia="Times New Roman" w:hAnsi="Times New Roman"/>
          <w:sz w:val="21"/>
          <w:szCs w:val="21"/>
          <w:color w:val="auto"/>
        </w:rPr>
      </w:pPr>
    </w:p>
    <w:p>
      <w:pPr>
        <w:jc w:val="both"/>
        <w:ind w:left="760" w:firstLine="745"/>
        <w:spacing w:after="0" w:line="236" w:lineRule="auto"/>
        <w:tabs>
          <w:tab w:leader="none" w:pos="1941"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such Lender shall (and shall cause any other recipient that receives funds on its respective behalf to) promptly (and, in all events, within one (1) Business Day of the date of its knowledge of the occurrence of such error) notify Agent of its receipt of such payment, prepayment or repayment, the details thereof (in reasonable detail) and that it is so notifying Agent pursuant to this </w:t>
      </w:r>
      <w:r>
        <w:rPr>
          <w:rFonts w:ascii="Times New Roman" w:cs="Times New Roman" w:eastAsia="Times New Roman" w:hAnsi="Times New Roman"/>
          <w:sz w:val="22"/>
          <w:szCs w:val="22"/>
          <w:u w:val="single" w:color="auto"/>
          <w:color w:val="auto"/>
        </w:rPr>
        <w:t>Section 12.15(b)</w:t>
      </w:r>
      <w:r>
        <w:rPr>
          <w:rFonts w:ascii="Times New Roman" w:cs="Times New Roman" w:eastAsia="Times New Roman" w:hAnsi="Times New Roman"/>
          <w:sz w:val="22"/>
          <w:szCs w:val="22"/>
          <w:color w:val="auto"/>
        </w:rPr>
        <w:t xml:space="preserve">. For the avoidance of doubt, the failure to deliver a notice to Agent pursuant to this </w:t>
      </w:r>
      <w:r>
        <w:rPr>
          <w:rFonts w:ascii="Times New Roman" w:cs="Times New Roman" w:eastAsia="Times New Roman" w:hAnsi="Times New Roman"/>
          <w:sz w:val="22"/>
          <w:szCs w:val="22"/>
          <w:u w:val="single" w:color="auto"/>
          <w:color w:val="auto"/>
        </w:rPr>
        <w:t>Section 12.15(b)</w:t>
      </w:r>
      <w:r>
        <w:rPr>
          <w:rFonts w:ascii="Times New Roman" w:cs="Times New Roman" w:eastAsia="Times New Roman" w:hAnsi="Times New Roman"/>
          <w:sz w:val="22"/>
          <w:szCs w:val="22"/>
          <w:color w:val="auto"/>
        </w:rPr>
        <w:t xml:space="preserve"> shall not have any effect on a Payment Recipient’s obligations pursuant to </w:t>
      </w:r>
      <w:r>
        <w:rPr>
          <w:rFonts w:ascii="Times New Roman" w:cs="Times New Roman" w:eastAsia="Times New Roman" w:hAnsi="Times New Roman"/>
          <w:sz w:val="22"/>
          <w:szCs w:val="22"/>
          <w:u w:val="single" w:color="auto"/>
          <w:color w:val="auto"/>
        </w:rPr>
        <w:t>Section 10.15(a)</w:t>
      </w:r>
      <w:r>
        <w:rPr>
          <w:rFonts w:ascii="Times New Roman" w:cs="Times New Roman" w:eastAsia="Times New Roman" w:hAnsi="Times New Roman"/>
          <w:sz w:val="22"/>
          <w:szCs w:val="22"/>
          <w:color w:val="auto"/>
        </w:rPr>
        <w:t xml:space="preserve"> or on whether or not an Erroneous Payment has been made.</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hereby authorizes Agent to set off, net and apply any and all amounts at any time owing to such Lender under any Loan Document, or otherwise payable or distributable by Agent to such Lender or Secured Party from any source, against any amount due to Agent under the immediately preceding clause (a) or under the indemnification provisions of this Agreement.</w:t>
      </w:r>
    </w:p>
    <w:p>
      <w:pPr>
        <w:spacing w:after="0" w:line="180"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 Erroneous Payment (or portion thereof) is not recovered by Agent for any reason, after demand therefor by Agent in accordance with the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2"/>
          <w:szCs w:val="22"/>
          <w:b w:val="1"/>
          <w:bCs w:val="1"/>
          <w:color w:val="auto"/>
        </w:rPr>
        <w:t>Erroneous Payment Return Deficiency</w:t>
      </w:r>
      <w:r>
        <w:rPr>
          <w:rFonts w:ascii="Times New Roman" w:cs="Times New Roman" w:eastAsia="Times New Roman" w:hAnsi="Times New Roman"/>
          <w:sz w:val="22"/>
          <w:szCs w:val="22"/>
          <w:color w:val="auto"/>
        </w:rPr>
        <w:t>”), irrespective of whether Agent may be equitably subrogated, Agent shall be contractually subrogated to all of the rights and interests of such Payment Recipient (and, in the case of any Payment Recipient who has received funds on behalf of a Lender, to the rights and interests of such Lender as the case may be) under the Loan Documents with respect to such Erroneous Payment Return Deficiency (the “</w:t>
      </w:r>
      <w:r>
        <w:rPr>
          <w:rFonts w:ascii="Times New Roman" w:cs="Times New Roman" w:eastAsia="Times New Roman" w:hAnsi="Times New Roman"/>
          <w:sz w:val="22"/>
          <w:szCs w:val="22"/>
          <w:b w:val="1"/>
          <w:bCs w:val="1"/>
          <w:color w:val="auto"/>
        </w:rPr>
        <w:t>Erroneous Payment Subrogation Rights</w:t>
      </w:r>
      <w:r>
        <w:rPr>
          <w:rFonts w:ascii="Times New Roman" w:cs="Times New Roman" w:eastAsia="Times New Roman" w:hAnsi="Times New Roman"/>
          <w:sz w:val="22"/>
          <w:szCs w:val="22"/>
          <w:color w:val="auto"/>
        </w:rPr>
        <w:t>”). Notwithstanding anything to the contrary contained herein, and for the avoidance of doubt, in no</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jc w:val="both"/>
        <w:spacing w:after="0" w:line="244" w:lineRule="auto"/>
        <w:rPr>
          <w:sz w:val="20"/>
          <w:szCs w:val="20"/>
          <w:color w:val="auto"/>
        </w:rPr>
      </w:pPr>
      <w:r>
        <w:rPr>
          <w:rFonts w:ascii="Times New Roman" w:cs="Times New Roman" w:eastAsia="Times New Roman" w:hAnsi="Times New Roman"/>
          <w:sz w:val="22"/>
          <w:szCs w:val="22"/>
          <w:color w:val="auto"/>
        </w:rPr>
        <w:t>event shall the occurrence of an Erroneous Payment (or any Erroneous Payment Subrogation Rights or other rights of Agent in respect of an Erroneous Payment) result in Agent becoming, or being deemed to be, a Lender hereunder or the holder of any Term Loans hereunder.</w:t>
      </w:r>
    </w:p>
    <w:p>
      <w:pPr>
        <w:spacing w:after="0" w:line="173" w:lineRule="exact"/>
        <w:rPr>
          <w:sz w:val="20"/>
          <w:szCs w:val="20"/>
          <w:color w:val="auto"/>
        </w:rPr>
      </w:pPr>
    </w:p>
    <w:p>
      <w:pPr>
        <w:jc w:val="both"/>
        <w:ind w:firstLine="757"/>
        <w:spacing w:after="0" w:line="239"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agree that an Erroneous Payment shall not pay, prepay, repay, discharge or otherwise satisfy any Obligations owed by the Borrower or any other Credit Party, except, in each case, to the extent any such Erroneous Payment is, and solely with respect to the amount of such Erroneous Payment that is, comprised of funds received by Agent from the Borrower or any other Credit Party for the purpose of making such Erroneous Payment.</w:t>
      </w:r>
    </w:p>
    <w:p>
      <w:pPr>
        <w:spacing w:after="0" w:line="180" w:lineRule="exact"/>
        <w:rPr>
          <w:rFonts w:ascii="Times New Roman" w:cs="Times New Roman" w:eastAsia="Times New Roman" w:hAnsi="Times New Roman"/>
          <w:sz w:val="22"/>
          <w:szCs w:val="22"/>
          <w:color w:val="auto"/>
        </w:rPr>
      </w:pPr>
    </w:p>
    <w:p>
      <w:pPr>
        <w:jc w:val="both"/>
        <w:ind w:firstLine="757"/>
        <w:spacing w:after="0" w:line="257" w:lineRule="exact"/>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no Payment Recipient shall assert any right or claim to an Erroneous Payment, and hereby waives, and is deemed to waive, any claim, counterclaim, defense or right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or recoupment with respect to any demand, claim or counterclaim by Agent for the return of any Erroneous Payment received, including without limitation waiver of any defense based on “discharge for value” or any similar doctrine.</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party’s obligations, agreements and waivers under this </w:t>
      </w:r>
      <w:r>
        <w:rPr>
          <w:rFonts w:ascii="Times New Roman" w:cs="Times New Roman" w:eastAsia="Times New Roman" w:hAnsi="Times New Roman"/>
          <w:sz w:val="22"/>
          <w:szCs w:val="22"/>
          <w:u w:val="single" w:color="auto"/>
          <w:color w:val="auto"/>
        </w:rPr>
        <w:t>Section 12.15</w:t>
      </w:r>
      <w:r>
        <w:rPr>
          <w:rFonts w:ascii="Times New Roman" w:cs="Times New Roman" w:eastAsia="Times New Roman" w:hAnsi="Times New Roman"/>
          <w:sz w:val="22"/>
          <w:szCs w:val="22"/>
          <w:color w:val="auto"/>
        </w:rPr>
        <w:t xml:space="preserve"> shall survive the resignation or replacement of Agent, any transfer of rights or obligations by, or the replacement of, a Lender and the repayment, satisfaction or discharge of all Obligations (or any portion thereof) under any Loan Document.</w:t>
      </w:r>
    </w:p>
    <w:p>
      <w:pPr>
        <w:spacing w:after="0" w:line="16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12.16 Enforcement . Notwithstanding anything to the contrary contained herein or in any other Loan Document, the authority to enforce rights and remedies hereunder and under the other Loan Documents against the Credit Parties shall be vested exclusively in, and all actions and proceedings at law in connection with such enforcement shall be instituted and maintained exclusively by, Agent in accordance with </w:t>
      </w:r>
      <w:r>
        <w:rPr>
          <w:rFonts w:ascii="Times New Roman" w:cs="Times New Roman" w:eastAsia="Times New Roman" w:hAnsi="Times New Roman"/>
          <w:sz w:val="22"/>
          <w:szCs w:val="22"/>
          <w:b w:val="1"/>
          <w:bCs w:val="1"/>
          <w:u w:val="single" w:color="auto"/>
          <w:color w:val="auto"/>
        </w:rPr>
        <w:t>Section 8.1</w:t>
      </w:r>
      <w:r>
        <w:rPr>
          <w:rFonts w:ascii="Times New Roman" w:cs="Times New Roman" w:eastAsia="Times New Roman" w:hAnsi="Times New Roman"/>
          <w:sz w:val="22"/>
          <w:szCs w:val="22"/>
          <w:b w:val="1"/>
          <w:bCs w:val="1"/>
          <w:color w:val="auto"/>
        </w:rPr>
        <w:t xml:space="preserve"> for the benefit of all the Lenders;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that the foregoing shall not prohibit (i) Agent from exercising on its own behalf the rights and remedies that inure to its benefit (solely in its capacity as Agent) hereunder and under the other Loan Documents, (ii) [reserved], (iii) any Lender from exercising setoff rights in accordance with </w:t>
      </w:r>
      <w:r>
        <w:rPr>
          <w:rFonts w:ascii="Times New Roman" w:cs="Times New Roman" w:eastAsia="Times New Roman" w:hAnsi="Times New Roman"/>
          <w:sz w:val="22"/>
          <w:szCs w:val="22"/>
          <w:b w:val="1"/>
          <w:bCs w:val="1"/>
          <w:u w:val="single" w:color="auto"/>
          <w:color w:val="auto"/>
        </w:rPr>
        <w:t>Section 11.10</w:t>
      </w:r>
      <w:r>
        <w:rPr>
          <w:rFonts w:ascii="Times New Roman" w:cs="Times New Roman" w:eastAsia="Times New Roman" w:hAnsi="Times New Roman"/>
          <w:sz w:val="22"/>
          <w:szCs w:val="22"/>
          <w:b w:val="1"/>
          <w:bCs w:val="1"/>
          <w:color w:val="auto"/>
        </w:rPr>
        <w:t xml:space="preserve"> or (iv) any Lender from filing proofs of claim or appearing and filing pleadings on its own behalf during the pendency of a proceeding relative to the Credit Parties under any debtor relief law;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further</w:t>
      </w:r>
      <w:r>
        <w:rPr>
          <w:rFonts w:ascii="Times New Roman" w:cs="Times New Roman" w:eastAsia="Times New Roman" w:hAnsi="Times New Roman"/>
          <w:sz w:val="22"/>
          <w:szCs w:val="22"/>
          <w:b w:val="1"/>
          <w:bCs w:val="1"/>
          <w:color w:val="auto"/>
        </w:rPr>
        <w:t xml:space="preserve">, that if at any time there is no Person acting as Agent hereunder and under the other Loan Documents, then (x) the Required Lenders shall have the rights otherwise provided to Agent pursuant to </w:t>
      </w:r>
      <w:r>
        <w:rPr>
          <w:rFonts w:ascii="Times New Roman" w:cs="Times New Roman" w:eastAsia="Times New Roman" w:hAnsi="Times New Roman"/>
          <w:sz w:val="22"/>
          <w:szCs w:val="22"/>
          <w:b w:val="1"/>
          <w:bCs w:val="1"/>
          <w:u w:val="single" w:color="auto"/>
          <w:color w:val="auto"/>
        </w:rPr>
        <w:t>Section 8.1</w:t>
      </w:r>
      <w:r>
        <w:rPr>
          <w:rFonts w:ascii="Times New Roman" w:cs="Times New Roman" w:eastAsia="Times New Roman" w:hAnsi="Times New Roman"/>
          <w:sz w:val="22"/>
          <w:szCs w:val="22"/>
          <w:b w:val="1"/>
          <w:bCs w:val="1"/>
          <w:color w:val="auto"/>
        </w:rPr>
        <w:t xml:space="preserve"> and (y) in addition to the matters set forth in clauses (ii), (iii) and (iv) of the preceding proviso, any Lender may, with the consent of the Required Lenders, enforce any rights or remedies available to it and as authorized by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-643890</wp:posOffset>
            </wp:positionV>
            <wp:extent cx="3429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GUARANTY</w:t>
      </w:r>
    </w:p>
    <w:p>
      <w:pPr>
        <w:spacing w:after="0" w:line="20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13.1 Guaranty. To induce the Lenders to make one or more Term Loans to Borrower from time to time, each 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(the “Guaranteed Obligations”). This Guaranty by each Guarantor hereunder constitutes a guaranty of payment and not of collection. Each Guarantor hereby acknowledges and agrees that the Guaranteed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6" w:name="page187"/>
    <w:bookmarkEnd w:id="186"/>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13.2 Limitation of Guaranty . Any term or provision of this Guaranty or any other Loan Document to the contrary notwithstanding, the maximum aggregate amount for which any Guarantor shall be liable hereunder (the “Maximum Guaranteed Amount”) shall not exceed the maximum amount for which such Guarantor can be liable without rendering this Guaranty or any other Loan Document, as it relates to such Guarantor, subject to avoidance under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“Fraudulent Transfer Laws”). Any analysis of the provisions of this Guaranty for purposes of Fraudulent Transfer Laws shall take into account the right of contribution established in </w:t>
      </w:r>
      <w:r>
        <w:rPr>
          <w:rFonts w:ascii="Times New Roman" w:cs="Times New Roman" w:eastAsia="Times New Roman" w:hAnsi="Times New Roman"/>
          <w:sz w:val="22"/>
          <w:szCs w:val="22"/>
          <w:b w:val="1"/>
          <w:bCs w:val="1"/>
          <w:u w:val="single" w:color="auto"/>
          <w:color w:val="auto"/>
        </w:rPr>
        <w:t>Section 13.7</w:t>
      </w:r>
      <w:r>
        <w:rPr>
          <w:rFonts w:ascii="Times New Roman" w:cs="Times New Roman" w:eastAsia="Times New Roman" w:hAnsi="Times New Roman"/>
          <w:sz w:val="22"/>
          <w:szCs w:val="22"/>
          <w:b w:val="1"/>
          <w:bCs w:val="1"/>
          <w:color w:val="auto"/>
        </w:rPr>
        <w:t xml:space="preserve"> and, for purposes of such analysis, give effect to any discharge of intercompany debt as a result of any payment made under the Guaranty.</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13.3 Authorization; Other Agreements . Agent on behalf of itself and the other Secured Parties is hereby authorized, 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w:t>
      </w:r>
    </w:p>
    <w:p>
      <w:pPr>
        <w:spacing w:after="0" w:line="176" w:lineRule="exact"/>
        <w:rPr>
          <w:sz w:val="20"/>
          <w:szCs w:val="20"/>
          <w:color w:val="auto"/>
        </w:rPr>
      </w:pPr>
    </w:p>
    <w:p>
      <w:pPr>
        <w:jc w:val="both"/>
        <w:ind w:firstLine="757"/>
        <w:spacing w:after="0" w:line="244"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compliance with </w:t>
      </w:r>
      <w:r>
        <w:rPr>
          <w:rFonts w:ascii="Times New Roman" w:cs="Times New Roman" w:eastAsia="Times New Roman" w:hAnsi="Times New Roman"/>
          <w:sz w:val="22"/>
          <w:szCs w:val="22"/>
          <w:u w:val="single" w:color="auto"/>
          <w:color w:val="auto"/>
        </w:rPr>
        <w:t>Section 11.5</w:t>
      </w:r>
      <w:r>
        <w:rPr>
          <w:rFonts w:ascii="Times New Roman" w:cs="Times New Roman" w:eastAsia="Times New Roman" w:hAnsi="Times New Roman"/>
          <w:sz w:val="22"/>
          <w:szCs w:val="22"/>
          <w:color w:val="auto"/>
        </w:rPr>
        <w:t>, (i) modify, amend, supplement or otherwise change, (ii) accelerate or otherwise change the time of payment or (iii) waive or otherwise consent to noncompliance with, any Guaranteed Obligation or any Loan Document;</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the Guaranteed Obligations any sums by whomever paid or however realized to any Guaranteed Obligation in such order as provided in the Loan Documents;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refund at any time any payment received by any Secured Party in respect of any Guaranteed Obligation;</w:t>
      </w:r>
    </w:p>
    <w:p>
      <w:pPr>
        <w:spacing w:after="0" w:line="206"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w:t>
      </w:r>
    </w:p>
    <w:p>
      <w:pPr>
        <w:spacing w:after="0" w:line="181"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release, compromise, collect or otherwise liquidate the Guaranteed Obligations.</w:t>
      </w:r>
    </w:p>
    <w:p>
      <w:pPr>
        <w:spacing w:after="0" w:line="20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13.4 Guaranty Absolute and Unconditional. Each Guarantor hereby waives and agrees not to assert any defense (other than the indefeasible payment in full, in cash in immediately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7" w:name="page188"/>
    <w:bookmarkEnd w:id="187"/>
    <w:p>
      <w:pPr>
        <w:jc w:val="both"/>
        <w:spacing w:after="0" w:line="237" w:lineRule="auto"/>
        <w:rPr>
          <w:sz w:val="20"/>
          <w:szCs w:val="20"/>
          <w:color w:val="auto"/>
        </w:rPr>
      </w:pPr>
      <w:r>
        <w:rPr>
          <w:rFonts w:ascii="Times New Roman" w:cs="Times New Roman" w:eastAsia="Times New Roman" w:hAnsi="Times New Roman"/>
          <w:sz w:val="22"/>
          <w:szCs w:val="22"/>
          <w:b w:val="1"/>
          <w:bCs w:val="1"/>
          <w:color w:val="auto"/>
        </w:rPr>
        <w:t>available funds, of the Guaranteed Obligations as specified in clause (f) below), whether arising in connection with or in respect of any of the following clauses (a) through (f) or otherwise, and hereby agrees that its obligations under this Guaranty are irrevocable, absolute and unconditional and shall not be discharged as a result of or otherwise affected by any of the following clauses (a) through (f) (which may not be pleaded and evidence of which may not be introduced in any proceeding with respect to this Guaranty, in each case except as otherwise agreed in writing by the Blackstone Representative):</w:t>
      </w:r>
    </w:p>
    <w:p>
      <w:pPr>
        <w:spacing w:after="0" w:line="179" w:lineRule="exact"/>
        <w:rPr>
          <w:sz w:val="20"/>
          <w:szCs w:val="20"/>
          <w:color w:val="auto"/>
        </w:rPr>
      </w:pPr>
    </w:p>
    <w:p>
      <w:pPr>
        <w:jc w:val="both"/>
        <w:ind w:firstLine="757"/>
        <w:spacing w:after="0" w:line="239"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w:t>
      </w:r>
    </w:p>
    <w:p>
      <w:pPr>
        <w:spacing w:after="0" w:line="180"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absence of (i) any attempt to collect any Guaranteed Obligation or any part thereof from Borrower or any other Guarantor or other action to enforce the same or (ii) any action to enforce any Loan Document or any Lien thereunder;</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any Person to take any steps to perfect and maintain any Lien on, or to preserve any rights with respect to, any Collateral;</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workout, insolvency, bankruptcy proceeding, reorganization, arrangement, liquidation or dissolution by or against Borrower, any other Guarantor or any of Borrower’s other Subsidiaries or any procedure, agreement, order, stipulation, election, action or omission thereunder, including any discharge or disallowance of, or bar or stay against collecting, any Guaranteed Obligation (or any interest thereon) in or as a result of any such proceeding;</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foreclosure, whether or not through judicial sale, and any other sale or other disposition of any Collateral or any election following the occurrence of an Event of Default and during the continuance thereof by Agent on behalf of itself and any other Secured Party to proceed separately against any Collateral in accordance with Agent’s and any other Secured Party’s rights under any applicable Requirements of Law; or</w:t>
      </w:r>
    </w:p>
    <w:p>
      <w:pPr>
        <w:spacing w:after="0" w:line="180"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defense, setoff, counterclaim or any other circumstance that might otherwise constitute a legal or equitable discharge of Borrower, any Guarantor or any other Subsidiary of Borrower, in each case other than the indefeasible payment in full in cash in immediately available funds of the Guaranteed Obligations (other than inchoate indemnity obligations).</w:t>
      </w:r>
    </w:p>
    <w:p>
      <w:pPr>
        <w:spacing w:after="0" w:line="15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13.5 Waivers. To the fullest extent permitted by Requirements of Law, each Guarantor hereby unconditionally and irrevocably waives and agrees not to assert any claim, defense,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jc w:val="both"/>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arising by reason of any disability or other defense of Borrower or any Guarantor. Until the indefeasible payment in full, in cash in immediately available funds, of the Guaranteed Obligations (other than inchoate indemnity obligations), each Guarantor further unconditionally and irrevocably agrees not to (x) enforce or otherwise exercise any right of subrogation or any right of reimbursement or contribution or similar right against Borrower or any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w:t>
      </w:r>
      <w:r>
        <w:rPr>
          <w:rFonts w:ascii="Times New Roman" w:cs="Times New Roman" w:eastAsia="Times New Roman" w:hAnsi="Times New Roman"/>
          <w:sz w:val="22"/>
          <w:szCs w:val="22"/>
          <w:b w:val="1"/>
          <w:bCs w:val="1"/>
          <w:u w:val="single" w:color="auto"/>
          <w:color w:val="auto"/>
        </w:rPr>
        <w:t>provided</w:t>
      </w:r>
      <w:r>
        <w:rPr>
          <w:rFonts w:ascii="Times New Roman" w:cs="Times New Roman" w:eastAsia="Times New Roman" w:hAnsi="Times New Roman"/>
          <w:sz w:val="22"/>
          <w:szCs w:val="22"/>
          <w:b w:val="1"/>
          <w:bCs w:val="1"/>
          <w:color w:val="auto"/>
        </w:rPr>
        <w:t>, that such claims, rights and remedies shall remain waived and released at any time Agent or any of the other Secured Parties (with or through their designees) have acquired all or any portion of the Collateral by credit bid, strict foreclosure or through any other exercise of remedies available to Agent or the other Secured Parties pursuant to this Agreement or the other Loan Documents. No obligation of any Guarantor hereunder shall be discharged other than by complete performance. Each Guarantor further waives any right such Guarantor may have under any applicable Requirements of Law to require any Secured Party to seek recourse first against Borrower or any other Person, or to realize upon any Collateral for any of the Obligations, as a condition precedent to enforcing such Guarantor’s liability and obligations under this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-1108075</wp:posOffset>
            </wp:positionV>
            <wp:extent cx="342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13.6 Reliance . Each Guarantor hereby assumes responsibility for keeping itself informed of the financial condition of Borrower, each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Agent nor any other Secured Party shall have any duty to advise any Guarantor of information known to it regarding such condition or any such circumstances. In the event Agent, or any other Secured Party, in its sole discretion, undertakes at any time or from time to time to provide any such information to any Guarantor, such Person shall be under no obligation to (a) undertake any investigation not a part of its regular business routine, (b) disclose any information that Agent or any other Secured Party, pursuant to accepted or reasonable commercial finance or banking practices, wishes to maintain confidential or (c) make any future disclosures of such information or any other information to any Guarantor.</w:t>
      </w:r>
    </w:p>
    <w:p>
      <w:pPr>
        <w:spacing w:after="0" w:line="17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13.7 Contribution . To the extent that any Guarantor shall be required hereunder to pay any portion of any Guaranteed Obligation exceeding the greater of (a) the amount of the value actually received by such Guarantor and its Subsidiaries from the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pro rata, based on the respective net worth of such other Guarantors on such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DEFINITIONS</w:t>
      </w:r>
    </w:p>
    <w:p>
      <w:pPr>
        <w:spacing w:after="0" w:line="20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14.1 Definitions. For the purposes of and as used in the Loan Documents: (a) references to any Person include its successors and assigns and, in the case of any Governmental Authority, any Person succeeding to its functions and capacities; (b) except as the context otherwise requires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9" w:name="page190"/>
    <w:bookmarkEnd w:id="189"/>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(including to the extent otherwise expressly provided in any Loan Document), (i) references to any law, statute, treaty, order, policy, rule or regulation include any amendments, supplements and successors thereto and (ii) references to any contract, agreement, instrument or other document include any amendments, restatements, supplements or modifications thereto or thereof from time to time to the extent permitted by the provisions thereof; (c) the word “shall” is mandatory;</w:t>
      </w:r>
    </w:p>
    <w:p>
      <w:pPr>
        <w:spacing w:after="0" w:line="2" w:lineRule="exact"/>
        <w:rPr>
          <w:sz w:val="20"/>
          <w:szCs w:val="20"/>
          <w:color w:val="auto"/>
        </w:rPr>
      </w:pPr>
    </w:p>
    <w:p>
      <w:pPr>
        <w:jc w:val="both"/>
        <w:ind w:firstLine="8"/>
        <w:spacing w:after="0" w:line="245" w:lineRule="exact"/>
        <w:tabs>
          <w:tab w:leader="none" w:pos="32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Eastern Time; (l) the words “herein”, “hereof”, “hereby”, “hereto” and “hereunder” refer to this Agreement as a whole; (m) where any provision in this Agreement or any other Loan Document refers to an action to be taken by any Person, or an action which such Person is prohibited from taking, such provision shall be applicable whether such action is taken directly or, to the knowledge of such Person, indirectly; and (n) unless otherwise expressly provided, references to specific sections, articles, clauses, sub</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clauses, annexes and exhibits are to this Agreement and references to specific schedules are to the Disclosure Letter. As used in this Agreement, the following capitalized terms have the following meanings:</w:t>
      </w:r>
    </w:p>
    <w:p>
      <w:pPr>
        <w:spacing w:after="0" w:line="182" w:lineRule="exact"/>
        <w:rPr>
          <w:rFonts w:ascii="Times New Roman" w:cs="Times New Roman" w:eastAsia="Times New Roman" w:hAnsi="Times New Roman"/>
          <w:sz w:val="22"/>
          <w:szCs w:val="22"/>
          <w:b w:val="1"/>
          <w:bCs w:val="1"/>
          <w:color w:val="auto"/>
        </w:rPr>
      </w:pPr>
    </w:p>
    <w:p>
      <w:pPr>
        <w:jc w:val="both"/>
        <w:ind w:firstLine="1181"/>
        <w:spacing w:after="0" w:line="24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2026 Convertible Notes</w:t>
      </w:r>
      <w:r>
        <w:rPr>
          <w:rFonts w:ascii="Times New Roman" w:cs="Times New Roman" w:eastAsia="Times New Roman" w:hAnsi="Times New Roman"/>
          <w:sz w:val="22"/>
          <w:szCs w:val="22"/>
          <w:color w:val="auto"/>
        </w:rPr>
        <w:t>” means Borrower’s 2.50% Convertible Senior Notes Due 2026, issued under the Indenture dated March 4, 2021 by and between Borrower, as issuer, and U.S. Bank Trust Company, National Association, as trustee.</w:t>
      </w:r>
    </w:p>
    <w:p>
      <w:pPr>
        <w:spacing w:after="0" w:line="167" w:lineRule="exact"/>
        <w:rPr>
          <w:rFonts w:ascii="Times New Roman" w:cs="Times New Roman" w:eastAsia="Times New Roman" w:hAnsi="Times New Roman"/>
          <w:sz w:val="22"/>
          <w:szCs w:val="22"/>
          <w:b w:val="1"/>
          <w:bCs w:val="1"/>
          <w:color w:val="auto"/>
        </w:rPr>
      </w:pPr>
    </w:p>
    <w:p>
      <w:pPr>
        <w:ind w:right="20" w:firstLine="118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means any “Account” as defined in the Code in effect on the date hereof with such additions to such term as may hereafter be made.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means (a) any Stock Acquisition, or (b) any Asset Acquisition.</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Consideration</w:t>
      </w:r>
      <w:r>
        <w:rPr>
          <w:rFonts w:ascii="Times New Roman" w:cs="Times New Roman" w:eastAsia="Times New Roman" w:hAnsi="Times New Roman"/>
          <w:sz w:val="22"/>
          <w:szCs w:val="22"/>
          <w:color w:val="auto"/>
        </w:rPr>
        <w:t>” is defined in the definition of “Permitted Acquisition”.</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Acquisition Deferred Payments</w:t>
      </w:r>
      <w:r>
        <w:rPr>
          <w:rFonts w:ascii="Times New Roman" w:cs="Times New Roman" w:eastAsia="Times New Roman" w:hAnsi="Times New Roman"/>
          <w:sz w:val="22"/>
          <w:szCs w:val="22"/>
          <w:color w:val="auto"/>
        </w:rPr>
        <w:t>”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EBITDA</w:t>
      </w:r>
      <w:r>
        <w:rPr>
          <w:rFonts w:ascii="Times New Roman" w:cs="Times New Roman" w:eastAsia="Times New Roman" w:hAnsi="Times New Roman"/>
          <w:sz w:val="22"/>
          <w:szCs w:val="22"/>
          <w:color w:val="auto"/>
        </w:rPr>
        <w:t xml:space="preserve">” means, for any four fiscal quarter period, for Borrower and its Subsidiaries on a consolidated basis, an amount equal to net income for such period, </w:t>
      </w:r>
      <w:r>
        <w:rPr>
          <w:rFonts w:ascii="Times New Roman" w:cs="Times New Roman" w:eastAsia="Times New Roman" w:hAnsi="Times New Roman"/>
          <w:sz w:val="22"/>
          <w:szCs w:val="22"/>
          <w:i w:val="1"/>
          <w:iCs w:val="1"/>
          <w:u w:val="single" w:color="auto"/>
          <w:color w:val="auto"/>
        </w:rPr>
        <w:t>plus</w:t>
      </w:r>
    </w:p>
    <w:p>
      <w:pPr>
        <w:spacing w:after="0" w:line="154" w:lineRule="exact"/>
        <w:rPr>
          <w:sz w:val="20"/>
          <w:szCs w:val="20"/>
          <w:color w:val="auto"/>
        </w:rPr>
      </w:pPr>
    </w:p>
    <w:p>
      <w:pPr>
        <w:jc w:val="both"/>
        <w:ind w:firstLine="1189"/>
        <w:spacing w:after="0" w:line="239" w:lineRule="auto"/>
        <w:tabs>
          <w:tab w:leader="none" w:pos="1480"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to the extent deducted in calculating net income for such period: (i) all interest expense including, without limitation, (A) interest expense (excluding any royalty payments) with respect to the Purchase and Sale Agreement, dated as of December 27, 2023, between the Borrower and Sagard Healthcare Partners Funding Borrower SPE 2, LP., (B) interest expense with respect to the Borrower’s Danbury, CT sale/leaseback transaction solely to the extent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0" w:name="page191"/>
    <w:bookmarkEnd w:id="190"/>
    <w:p>
      <w:pPr>
        <w:jc w:val="both"/>
        <w:spacing w:after="0" w:line="246" w:lineRule="auto"/>
        <w:rPr>
          <w:sz w:val="20"/>
          <w:szCs w:val="20"/>
          <w:color w:val="auto"/>
        </w:rPr>
      </w:pPr>
      <w:r>
        <w:rPr>
          <w:rFonts w:ascii="Times New Roman" w:cs="Times New Roman" w:eastAsia="Times New Roman" w:hAnsi="Times New Roman"/>
          <w:sz w:val="21"/>
          <w:szCs w:val="21"/>
          <w:color w:val="auto"/>
        </w:rPr>
        <w:t>of any cash payments actually made during such period with respect to such interest, and (C) interest expense recognized in respect of milestone payments under the Milestone Rights Purchase Agreement, dated as of July 1, 2013, by and among the Borrower, Deerfield Private Design Fund II, L.P. and Horizon Sante FLML SARL, (ii) foreign exchange losses arising out of Borrower’s Insulin Supply Agreement with Amphastar Pharmaceuticals, Inc., (iii) the provision for federal, state, local and foreign income taxes payable by a Person for such period, (iv) depreciation and amortization expense, (v) any non-cash charges,</w:t>
      </w:r>
    </w:p>
    <w:p>
      <w:pPr>
        <w:spacing w:after="0" w:line="1" w:lineRule="exact"/>
        <w:rPr>
          <w:sz w:val="20"/>
          <w:szCs w:val="20"/>
          <w:color w:val="auto"/>
        </w:rPr>
      </w:pPr>
    </w:p>
    <w:p>
      <w:pPr>
        <w:jc w:val="both"/>
        <w:ind w:firstLine="8"/>
        <w:spacing w:after="0" w:line="231" w:lineRule="auto"/>
        <w:tabs>
          <w:tab w:leader="none" w:pos="373"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unusual, non-recurring or one-time fees, expenses or charges, (vii) restructuring charges (including severance), (viii) the amount of net cost savings, operating expense reductions and cost synergies projected by the Credit Parties in good faith to result from Permitted Acquisitions within 12 months after the consummation of the applicable Permitted Acquisition (which net cost savings, operating expense reductions and cost synergies shall be (A) reasonably identifiable, factually supportable and subject to certification by a financial officer of the Borrower, (B) attributable to such Permitted Acquisition and (C) calculated on a pro forma basis), net of the amount of actual benefits realized during such period with respect to any such net cost savings, operating expense reductions and cost synergies from the applicable Permitted Acquisitions;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added back to Adjusted EBITDA pursuant to this clause (viii) shall not exceed 10% of Adjusted EBITDA (after giving effect to such addback), (ix) fees, costs and expenses (including any premiums, fees or expenses of financial, accounting, legal or other advisors) paid in connection with the financing transactions contemplated by this Agreement and the other Loan Documents and any amendment, modification or refinancing thereof from time to time, and (x) one-time transaction fees, costs and expenses incurred in connection with any proposed or actual acquisitions, investments, asset sales and dispositions, issuances of Indebtedness (including any amendment, modification or refinancing thereof) and issuances of Equity Interests by Borrower or its Subsidiaries, in each case, not prohibited under this Agreement and whether or not successfully consummated;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any addbacks included in the calculation of Adjusted EBITDA pursuant to the preceding clauses (vi), (vii), (viii), (ix) and (x) shall not exceed 20% of Adjusted EBITDA (after giving effect to such addbacks); </w:t>
      </w:r>
      <w:r>
        <w:rPr>
          <w:rFonts w:ascii="Times New Roman" w:cs="Times New Roman" w:eastAsia="Times New Roman" w:hAnsi="Times New Roman"/>
          <w:sz w:val="22"/>
          <w:szCs w:val="22"/>
          <w:i w:val="1"/>
          <w:iCs w:val="1"/>
          <w:u w:val="single" w:color="auto"/>
          <w:color w:val="auto"/>
        </w:rPr>
        <w:t>minus</w:t>
      </w:r>
    </w:p>
    <w:p>
      <w:pPr>
        <w:spacing w:after="0" w:line="184" w:lineRule="exact"/>
        <w:rPr>
          <w:rFonts w:ascii="Times New Roman" w:cs="Times New Roman" w:eastAsia="Times New Roman" w:hAnsi="Times New Roman"/>
          <w:sz w:val="22"/>
          <w:szCs w:val="22"/>
          <w:color w:val="auto"/>
        </w:rPr>
      </w:pPr>
    </w:p>
    <w:p>
      <w:pPr>
        <w:jc w:val="both"/>
        <w:ind w:firstLine="757"/>
        <w:spacing w:after="0" w:line="239" w:lineRule="auto"/>
        <w:tabs>
          <w:tab w:leader="none" w:pos="1079" w:val="left"/>
        </w:tabs>
        <w:numPr>
          <w:ilvl w:val="1"/>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to the extent included in calculating such net income: (i) interest income, (ii) extraordinary or non-recurring non-cash income or gains, (iii) federal, state, local and foreign income tax credits of such Person for such period, (iv) foreign exchange gains arising out of Borrower’s Insulin Supply Agreement with Amphastar Pharmaceuticals, Inc. and (v) all non-cash items increasing net income for such period.</w:t>
      </w:r>
    </w:p>
    <w:p>
      <w:pPr>
        <w:spacing w:after="0" w:line="17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Term SOFR</w:t>
      </w:r>
      <w:r>
        <w:rPr>
          <w:rFonts w:ascii="Times New Roman" w:cs="Times New Roman" w:eastAsia="Times New Roman" w:hAnsi="Times New Roman"/>
          <w:sz w:val="22"/>
          <w:szCs w:val="22"/>
          <w:color w:val="auto"/>
        </w:rPr>
        <w:t xml:space="preserve">” means, for purposes of any calculation, the rate per annum equal to (a) Term SOFR for such calculation;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Adjusted Term SOFR as so determined shall ever be less than the Floor, then Adjusted Term SOFR shall be deemed to be the Floor.</w:t>
      </w:r>
    </w:p>
    <w:p>
      <w:pPr>
        <w:spacing w:after="0" w:line="16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Administrative Questionnaire</w:t>
      </w:r>
      <w:r>
        <w:rPr>
          <w:rFonts w:ascii="Times New Roman" w:cs="Times New Roman" w:eastAsia="Times New Roman" w:hAnsi="Times New Roman"/>
          <w:sz w:val="22"/>
          <w:szCs w:val="22"/>
          <w:color w:val="auto"/>
        </w:rPr>
        <w:t>” means an Administrative Questionnaire in a form supplied by or otherwise acceptable to the Agent.</w:t>
      </w:r>
    </w:p>
    <w:p>
      <w:pPr>
        <w:spacing w:after="0" w:line="150" w:lineRule="exact"/>
        <w:rPr>
          <w:sz w:val="20"/>
          <w:szCs w:val="20"/>
          <w:color w:val="auto"/>
        </w:rPr>
      </w:pPr>
    </w:p>
    <w:p>
      <w:pPr>
        <w:jc w:val="both"/>
        <w:ind w:firstLine="118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Adverse Proceeding</w:t>
      </w:r>
      <w:r>
        <w:rPr>
          <w:rFonts w:ascii="Times New Roman" w:cs="Times New Roman" w:eastAsia="Times New Roman" w:hAnsi="Times New Roman"/>
          <w:sz w:val="21"/>
          <w:szCs w:val="21"/>
          <w:color w:val="auto"/>
        </w:rPr>
        <w:t>”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1" w:name="page192"/>
    <w:bookmarkEnd w:id="191"/>
    <w:p>
      <w:pPr>
        <w:spacing w:after="0" w:line="258" w:lineRule="auto"/>
        <w:rPr>
          <w:sz w:val="20"/>
          <w:szCs w:val="20"/>
          <w:color w:val="auto"/>
        </w:rPr>
      </w:pPr>
      <w:r>
        <w:rPr>
          <w:rFonts w:ascii="Times New Roman" w:cs="Times New Roman" w:eastAsia="Times New Roman" w:hAnsi="Times New Roman"/>
          <w:sz w:val="22"/>
          <w:szCs w:val="22"/>
          <w:color w:val="auto"/>
        </w:rPr>
        <w:t>whether pending or, to the Knowledge of the Credit Parties, threatened against or adversely affecting any Credit Party or any of its Subsidiaries or any property of any Credit Party or any of its Subsidiaries.</w:t>
      </w:r>
    </w:p>
    <w:p>
      <w:pPr>
        <w:spacing w:after="0" w:line="154"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the power to direct or cause the direction of the management of such Person by contract or otherwise. In no event shall any Blackstone Entity be deemed to be an Affiliate of Borrower or any of its Subsidiaries.</w:t>
      </w:r>
    </w:p>
    <w:p>
      <w:pPr>
        <w:spacing w:after="0" w:line="175" w:lineRule="exact"/>
        <w:rPr>
          <w:sz w:val="20"/>
          <w:szCs w:val="20"/>
          <w:color w:val="auto"/>
        </w:rPr>
      </w:pPr>
    </w:p>
    <w:p>
      <w:pPr>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means Wilmington Trust, National Association, solely in its capacity as administrative agent and collateral agent under this Agreement and any other Loan Document, or any successor administrative agent and collateral agent.</w:t>
      </w:r>
    </w:p>
    <w:p>
      <w:pPr>
        <w:spacing w:after="0" w:line="1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Fee Letter</w:t>
      </w:r>
      <w:r>
        <w:rPr>
          <w:rFonts w:ascii="Times New Roman" w:cs="Times New Roman" w:eastAsia="Times New Roman" w:hAnsi="Times New Roman"/>
          <w:sz w:val="22"/>
          <w:szCs w:val="22"/>
          <w:color w:val="auto"/>
        </w:rPr>
        <w:t>” means that certain fee letter, dated the date hereof, by and among Borrower and Agent.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Parties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181"/>
        <w:spacing w:after="0" w:line="28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Related Person</w:t>
      </w:r>
      <w:r>
        <w:rPr>
          <w:rFonts w:ascii="Times New Roman" w:cs="Times New Roman" w:eastAsia="Times New Roman" w:hAnsi="Times New Roman"/>
          <w:sz w:val="22"/>
          <w:szCs w:val="22"/>
          <w:color w:val="auto"/>
        </w:rPr>
        <w:t>” means Agent, together with each of its respective Affiliates, officers, directors, employees, partners, agents, advisors and other representatives.</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defined in the preamble hereof.</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 means all U.S. and non-U.S. Laws relating to the prevention of corruption, bribery or money-laundering, including, without limitation, the U.S. Foreign Corrupt Practices Act of 1977, as amended, the U.K. Bribery Act 2010, and any Law implementing the OECD Convention on Combating Bribery of Foreign Public Officials in International Transactions.</w:t>
      </w:r>
    </w:p>
    <w:p>
      <w:pPr>
        <w:spacing w:after="0" w:line="141"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Money Laundering Laws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4.18(b)</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181"/>
        <w:spacing w:after="0" w:line="27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Terrorism Laws</w:t>
      </w:r>
      <w:r>
        <w:rPr>
          <w:rFonts w:ascii="Times New Roman" w:cs="Times New Roman" w:eastAsia="Times New Roman" w:hAnsi="Times New Roman"/>
          <w:sz w:val="22"/>
          <w:szCs w:val="22"/>
          <w:color w:val="auto"/>
        </w:rPr>
        <w:t>” means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Money Laundering Laws or other laws relating to terrorism or money laundering, including Executive Order No. 13224 (effective September 24, 2001), the Patriot Act, the laws comprising or implementing the Bank Secrecy Act, and the laws administered by OFAC.</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Mandatory Prepayment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Margin</w:t>
      </w:r>
      <w:r>
        <w:rPr>
          <w:rFonts w:ascii="Times New Roman" w:cs="Times New Roman" w:eastAsia="Times New Roman" w:hAnsi="Times New Roman"/>
          <w:sz w:val="22"/>
          <w:szCs w:val="22"/>
          <w:color w:val="auto"/>
        </w:rPr>
        <w:t xml:space="preserve">” means with respect to the Initial Term Loans and Delayed Draw Term Loans, (i) prior to the first day of the month immediately following the month during which a Compliance Certificate pursuant to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 xml:space="preserve"> for the first full fiscal quarter of Borrower ended after the Closing Date has been delivered to Agent, a rate per annum equal to (x) 3.75%, in the case of Base Rate Loans, and (y) 4.75%, in the case of SOFR Loans and (ii) thereafter, adjustments to the Applicable Margin will be implemented quarterly, on a prospective basis, from and after the first full fiscal quarter of the Borrower ended after the Closing Date, 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2" w:name="page193"/>
    <w:bookmarkEnd w:id="192"/>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the first day of the month immediately following the month during which financial statements for the then most recently ended fiscal quarter are delivered pursuant to </w:t>
      </w:r>
      <w:r>
        <w:rPr>
          <w:rFonts w:ascii="Times New Roman" w:cs="Times New Roman" w:eastAsia="Times New Roman" w:hAnsi="Times New Roman"/>
          <w:sz w:val="22"/>
          <w:szCs w:val="22"/>
          <w:u w:val="single" w:color="auto"/>
          <w:color w:val="auto"/>
        </w:rPr>
        <w:t>Section 5.2(a)(i)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5.2(a)(ii)</w:t>
      </w:r>
      <w:r>
        <w:rPr>
          <w:rFonts w:ascii="Times New Roman" w:cs="Times New Roman" w:eastAsia="Times New Roman" w:hAnsi="Times New Roman"/>
          <w:sz w:val="22"/>
          <w:szCs w:val="22"/>
          <w:color w:val="auto"/>
        </w:rPr>
        <w:t>, as applicable, and the accompanying Compliance Certificate that evidence the need for such adjustment in accordance with the pricing grid set forth below based upon the Total Leverage Ratio as set forth in such Compliance Certificate:</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2000" w:type="dxa"/>
            <w:vAlign w:val="bottom"/>
            <w:tcBorders>
              <w:top w:val="single" w:sz="8" w:color="auto"/>
              <w:left w:val="single" w:sz="8" w:color="auto"/>
            </w:tcBorders>
          </w:tcPr>
          <w:p>
            <w:pPr>
              <w:spacing w:after="0"/>
              <w:rPr>
                <w:sz w:val="24"/>
                <w:szCs w:val="24"/>
                <w:color w:val="auto"/>
              </w:rPr>
            </w:pPr>
          </w:p>
        </w:tc>
        <w:tc>
          <w:tcPr>
            <w:tcW w:w="3660" w:type="dxa"/>
            <w:vAlign w:val="bottom"/>
            <w:tcBorders>
              <w:top w:val="single" w:sz="8" w:color="auto"/>
              <w:right w:val="single" w:sz="8" w:color="auto"/>
            </w:tcBorders>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rPr>
              <w:t>Total Leverage Ratio</w:t>
            </w:r>
          </w:p>
        </w:tc>
        <w:tc>
          <w:tcPr>
            <w:tcW w:w="740" w:type="dxa"/>
            <w:vAlign w:val="bottom"/>
            <w:tcBorders>
              <w:top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Base Rate Loans</w:t>
            </w:r>
          </w:p>
        </w:tc>
        <w:tc>
          <w:tcPr>
            <w:tcW w:w="2780" w:type="dxa"/>
            <w:vAlign w:val="bottom"/>
            <w:tcBorders>
              <w:top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SOFR Loans</w:t>
            </w:r>
          </w:p>
        </w:tc>
      </w:tr>
      <w:tr>
        <w:trPr>
          <w:trHeight w:val="125"/>
        </w:trPr>
        <w:tc>
          <w:tcPr>
            <w:tcW w:w="2000" w:type="dxa"/>
            <w:vAlign w:val="bottom"/>
            <w:tcBorders>
              <w:left w:val="single" w:sz="8" w:color="auto"/>
              <w:bottom w:val="single" w:sz="8" w:color="auto"/>
            </w:tcBorders>
          </w:tcPr>
          <w:p>
            <w:pPr>
              <w:spacing w:after="0"/>
              <w:rPr>
                <w:sz w:val="10"/>
                <w:szCs w:val="10"/>
                <w:color w:val="auto"/>
              </w:rPr>
            </w:pPr>
          </w:p>
        </w:tc>
        <w:tc>
          <w:tcPr>
            <w:tcW w:w="1640" w:type="dxa"/>
            <w:vAlign w:val="bottom"/>
            <w:tcBorders>
              <w:top w:val="single" w:sz="8" w:color="auto"/>
              <w:bottom w:val="single" w:sz="8" w:color="auto"/>
            </w:tcBorders>
          </w:tcPr>
          <w:p>
            <w:pPr>
              <w:spacing w:after="0"/>
              <w:rPr>
                <w:sz w:val="10"/>
                <w:szCs w:val="10"/>
                <w:color w:val="auto"/>
              </w:rPr>
            </w:pPr>
          </w:p>
        </w:tc>
        <w:tc>
          <w:tcPr>
            <w:tcW w:w="202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Borders>
              <w:top w:val="single" w:sz="8" w:color="auto"/>
              <w:bottom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spacing w:after="0"/>
              <w:rPr>
                <w:sz w:val="10"/>
                <w:szCs w:val="10"/>
                <w:color w:val="auto"/>
              </w:rPr>
            </w:pPr>
          </w:p>
        </w:tc>
        <w:tc>
          <w:tcPr>
            <w:tcW w:w="900" w:type="dxa"/>
            <w:vAlign w:val="bottom"/>
            <w:tcBorders>
              <w:bottom w:val="single" w:sz="8" w:color="auto"/>
              <w:right w:val="single" w:sz="8" w:color="auto"/>
            </w:tcBorders>
          </w:tcPr>
          <w:p>
            <w:pPr>
              <w:spacing w:after="0"/>
              <w:rPr>
                <w:sz w:val="10"/>
                <w:szCs w:val="10"/>
                <w:color w:val="auto"/>
              </w:rPr>
            </w:pPr>
          </w:p>
        </w:tc>
      </w:tr>
      <w:tr>
        <w:trPr>
          <w:trHeight w:val="321"/>
        </w:trPr>
        <w:tc>
          <w:tcPr>
            <w:tcW w:w="2000" w:type="dxa"/>
            <w:vAlign w:val="bottom"/>
            <w:tcBorders>
              <w:left w:val="single" w:sz="8" w:color="auto"/>
            </w:tcBorders>
          </w:tcPr>
          <w:p>
            <w:pPr>
              <w:spacing w:after="0"/>
              <w:rPr>
                <w:sz w:val="24"/>
                <w:szCs w:val="24"/>
                <w:color w:val="auto"/>
              </w:rPr>
            </w:pPr>
          </w:p>
        </w:tc>
        <w:tc>
          <w:tcPr>
            <w:tcW w:w="3660" w:type="dxa"/>
            <w:vAlign w:val="bottom"/>
            <w:tcBorders>
              <w:right w:val="single" w:sz="8" w:color="auto"/>
            </w:tcBorders>
            <w:gridSpan w:val="2"/>
          </w:tcPr>
          <w:p>
            <w:pPr>
              <w:jc w:val="center"/>
              <w:ind w:right="2020"/>
              <w:spacing w:after="0"/>
              <w:rPr>
                <w:sz w:val="20"/>
                <w:szCs w:val="20"/>
                <w:color w:val="auto"/>
              </w:rPr>
            </w:pPr>
            <w:r>
              <w:rPr>
                <w:rFonts w:ascii="Times New Roman" w:cs="Times New Roman" w:eastAsia="Times New Roman" w:hAnsi="Times New Roman"/>
                <w:sz w:val="18"/>
                <w:szCs w:val="18"/>
                <w:color w:val="auto"/>
                <w:w w:val="99"/>
              </w:rPr>
              <w:t>Less than 5.00:1.00</w:t>
            </w:r>
          </w:p>
        </w:tc>
        <w:tc>
          <w:tcPr>
            <w:tcW w:w="20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8"/>
              </w:rPr>
              <w:t>3.75%</w:t>
            </w:r>
          </w:p>
        </w:tc>
        <w:tc>
          <w:tcPr>
            <w:tcW w:w="780" w:type="dxa"/>
            <w:vAlign w:val="bottom"/>
            <w:tcBorders>
              <w:right w:val="single" w:sz="8" w:color="auto"/>
            </w:tcBorders>
          </w:tcPr>
          <w:p>
            <w:pPr>
              <w:spacing w:after="0"/>
              <w:rPr>
                <w:sz w:val="24"/>
                <w:szCs w:val="24"/>
                <w:color w:val="auto"/>
              </w:rPr>
            </w:pPr>
          </w:p>
        </w:tc>
        <w:tc>
          <w:tcPr>
            <w:tcW w:w="188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8"/>
              </w:rPr>
              <w:t>4.75%</w:t>
            </w:r>
          </w:p>
        </w:tc>
        <w:tc>
          <w:tcPr>
            <w:tcW w:w="900" w:type="dxa"/>
            <w:vAlign w:val="bottom"/>
            <w:tcBorders>
              <w:right w:val="single" w:sz="8" w:color="auto"/>
            </w:tcBorders>
          </w:tcPr>
          <w:p>
            <w:pPr>
              <w:spacing w:after="0"/>
              <w:rPr>
                <w:sz w:val="24"/>
                <w:szCs w:val="24"/>
                <w:color w:val="auto"/>
              </w:rPr>
            </w:pPr>
          </w:p>
        </w:tc>
      </w:tr>
      <w:tr>
        <w:trPr>
          <w:trHeight w:val="108"/>
        </w:trPr>
        <w:tc>
          <w:tcPr>
            <w:tcW w:w="2000" w:type="dxa"/>
            <w:vAlign w:val="bottom"/>
            <w:tcBorders>
              <w:left w:val="single" w:sz="8" w:color="auto"/>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r>
      <w:tr>
        <w:trPr>
          <w:trHeight w:val="318"/>
        </w:trPr>
        <w:tc>
          <w:tcPr>
            <w:tcW w:w="56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Greater than or equal to 5.00:1.00</w:t>
            </w:r>
          </w:p>
        </w:tc>
        <w:tc>
          <w:tcPr>
            <w:tcW w:w="202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color w:val="auto"/>
                <w:w w:val="98"/>
              </w:rPr>
              <w:t>4.00%</w:t>
            </w:r>
          </w:p>
        </w:tc>
        <w:tc>
          <w:tcPr>
            <w:tcW w:w="780" w:type="dxa"/>
            <w:vAlign w:val="bottom"/>
            <w:tcBorders>
              <w:right w:val="single" w:sz="8" w:color="auto"/>
            </w:tcBorders>
          </w:tcPr>
          <w:p>
            <w:pPr>
              <w:spacing w:after="0"/>
              <w:rPr>
                <w:sz w:val="24"/>
                <w:szCs w:val="24"/>
                <w:color w:val="auto"/>
              </w:rPr>
            </w:pPr>
          </w:p>
        </w:tc>
        <w:tc>
          <w:tcPr>
            <w:tcW w:w="188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color w:val="auto"/>
                <w:w w:val="98"/>
              </w:rPr>
              <w:t>5.00%</w:t>
            </w:r>
          </w:p>
        </w:tc>
        <w:tc>
          <w:tcPr>
            <w:tcW w:w="900" w:type="dxa"/>
            <w:vAlign w:val="bottom"/>
            <w:tcBorders>
              <w:right w:val="single" w:sz="8" w:color="auto"/>
            </w:tcBorders>
          </w:tcPr>
          <w:p>
            <w:pPr>
              <w:spacing w:after="0"/>
              <w:rPr>
                <w:sz w:val="24"/>
                <w:szCs w:val="24"/>
                <w:color w:val="auto"/>
              </w:rPr>
            </w:pPr>
          </w:p>
        </w:tc>
      </w:tr>
      <w:tr>
        <w:trPr>
          <w:trHeight w:val="108"/>
        </w:trPr>
        <w:tc>
          <w:tcPr>
            <w:tcW w:w="2000" w:type="dxa"/>
            <w:vAlign w:val="bottom"/>
            <w:tcBorders>
              <w:left w:val="single" w:sz="8" w:color="auto"/>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the foregoing, if Borrower fails to deliver any financial statement or Compliance Certificate required to be delivered pursuant to </w:t>
      </w:r>
      <w:r>
        <w:rPr>
          <w:rFonts w:ascii="Times New Roman" w:cs="Times New Roman" w:eastAsia="Times New Roman" w:hAnsi="Times New Roman"/>
          <w:sz w:val="22"/>
          <w:szCs w:val="22"/>
          <w:u w:val="single" w:color="auto"/>
          <w:color w:val="auto"/>
        </w:rPr>
        <w:t>Section 5.2(a)(i) or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 in each case, within the time periods specified therein for such delivery, during the period commencing on and including the day after such financial statement or Compliance Certificate was required to be delivered, and until the first Business Day following the delivery of such financial statements or Compliance Certificate, as applicable, then the Applicable Margin shall automatically equal (x) if a Base Rate Loan, 4.00% per annum and (y) if a SOFR Loan, 5.00% per annum.</w:t>
      </w:r>
    </w:p>
    <w:p>
      <w:pPr>
        <w:spacing w:after="0" w:line="181" w:lineRule="exact"/>
        <w:rPr>
          <w:sz w:val="20"/>
          <w:szCs w:val="20"/>
          <w:color w:val="auto"/>
        </w:rPr>
      </w:pPr>
    </w:p>
    <w:p>
      <w:pPr>
        <w:jc w:val="both"/>
        <w:ind w:firstLine="1181"/>
        <w:spacing w:after="0" w:line="233" w:lineRule="auto"/>
        <w:rPr>
          <w:sz w:val="20"/>
          <w:szCs w:val="20"/>
          <w:color w:val="auto"/>
        </w:rPr>
      </w:pPr>
      <w:r>
        <w:rPr>
          <w:rFonts w:ascii="Times New Roman" w:cs="Times New Roman" w:eastAsia="Times New Roman" w:hAnsi="Times New Roman"/>
          <w:sz w:val="22"/>
          <w:szCs w:val="22"/>
          <w:color w:val="auto"/>
        </w:rPr>
        <w:t xml:space="preserve">In the event that any financial statement or Compliance Certificate delivered pursuant to Section </w:t>
      </w:r>
      <w:r>
        <w:rPr>
          <w:rFonts w:ascii="Times New Roman" w:cs="Times New Roman" w:eastAsia="Times New Roman" w:hAnsi="Times New Roman"/>
          <w:sz w:val="22"/>
          <w:szCs w:val="22"/>
          <w:u w:val="single" w:color="auto"/>
          <w:color w:val="auto"/>
        </w:rPr>
        <w:t>5.2(a)(i) or (ii)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 xml:space="preserve"> is inaccurate, and such inaccuracy, if corrected, would have led to the imposition of a higher Applicable Margin for any period than the Applicable Margin applied for that period, then (A) Borrower shall immediately deliver to Agent a corrected financial statement and a corrected Compliance Certificate for that period (the “</w:t>
      </w:r>
      <w:r>
        <w:rPr>
          <w:rFonts w:ascii="Times New Roman" w:cs="Times New Roman" w:eastAsia="Times New Roman" w:hAnsi="Times New Roman"/>
          <w:sz w:val="22"/>
          <w:szCs w:val="22"/>
          <w:b w:val="1"/>
          <w:bCs w:val="1"/>
          <w:color w:val="auto"/>
        </w:rPr>
        <w:t>Corrected Financials Date</w:t>
      </w:r>
      <w:r>
        <w:rPr>
          <w:rFonts w:ascii="Times New Roman" w:cs="Times New Roman" w:eastAsia="Times New Roman" w:hAnsi="Times New Roman"/>
          <w:sz w:val="22"/>
          <w:szCs w:val="22"/>
          <w:color w:val="auto"/>
        </w:rPr>
        <w:t xml:space="preserve">”), (B) the Applicable Margin shall be determined based on the corrected Compliance Certificate for that period, and (C) Borrower shall promptly and in any event within five (5) Business Days (or such longer period as agreed to by Agent (acting at the direction of the Blackstone Representative in its reasonable discretion)) pay to Agent (for the account of the Lenders that hold the Loans at the time such payment is received, regardless of whether those Lenders held the Loans during the relevant period) the accrued additional interest owing as a result of such increased Applicable Margin for that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for the avoidance of doubt, such deficiency shall be due and payable as at such Corrected Financials Date (or such later time as agreed to by Agent (acting at the direction of the Blackstone Representative in its reasonable discretion)) and no Default or Event of Default under </w:t>
      </w:r>
      <w:r>
        <w:rPr>
          <w:rFonts w:ascii="Times New Roman" w:cs="Times New Roman" w:eastAsia="Times New Roman" w:hAnsi="Times New Roman"/>
          <w:sz w:val="22"/>
          <w:szCs w:val="22"/>
          <w:u w:val="single" w:color="auto"/>
          <w:color w:val="auto"/>
        </w:rPr>
        <w:t>Section 7.1</w:t>
      </w:r>
      <w:r>
        <w:rPr>
          <w:rFonts w:ascii="Times New Roman" w:cs="Times New Roman" w:eastAsia="Times New Roman" w:hAnsi="Times New Roman"/>
          <w:sz w:val="22"/>
          <w:szCs w:val="22"/>
          <w:color w:val="auto"/>
        </w:rPr>
        <w:t xml:space="preserve"> shall be deemed to have occurred with respect to such deficiency prior to such date. This paragraph shall not limit the rights of Agent or the Lenders with respect to </w:t>
      </w:r>
      <w:r>
        <w:rPr>
          <w:rFonts w:ascii="Times New Roman" w:cs="Times New Roman" w:eastAsia="Times New Roman" w:hAnsi="Times New Roman"/>
          <w:sz w:val="22"/>
          <w:szCs w:val="22"/>
          <w:u w:val="single" w:color="auto"/>
          <w:color w:val="auto"/>
        </w:rPr>
        <w:t>Section 2.3(b)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Sections 7</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8</w:t>
      </w:r>
      <w:r>
        <w:rPr>
          <w:rFonts w:ascii="Times New Roman" w:cs="Times New Roman" w:eastAsia="Times New Roman" w:hAnsi="Times New Roman"/>
          <w:sz w:val="22"/>
          <w:szCs w:val="22"/>
          <w:color w:val="auto"/>
        </w:rPr>
        <w:t xml:space="preserve"> hereof.</w:t>
      </w:r>
    </w:p>
    <w:p>
      <w:pPr>
        <w:spacing w:after="0" w:line="18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In addition, in the event that any financial statement or Compliance Certificate delivered pursuant to Section 5.2(a)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6772910</wp:posOffset>
            </wp:positionH>
            <wp:positionV relativeFrom="paragraph">
              <wp:posOffset>-6985</wp:posOffset>
            </wp:positionV>
            <wp:extent cx="35814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358140" cy="8255"/>
                    </a:xfrm>
                    <a:prstGeom prst="rect">
                      <a:avLst/>
                    </a:prstGeom>
                    <a:noFill/>
                  </pic:spPr>
                </pic:pic>
              </a:graphicData>
            </a:graphic>
          </wp:anchor>
        </w:drawing>
      </w:r>
    </w:p>
    <w:p>
      <w:pPr>
        <w:spacing w:after="0" w:line="6" w:lineRule="exact"/>
        <w:rPr>
          <w:sz w:val="20"/>
          <w:szCs w:val="20"/>
          <w:color w:val="auto"/>
        </w:rPr>
      </w:pPr>
    </w:p>
    <w:p>
      <w:pPr>
        <w:jc w:val="both"/>
        <w:ind w:firstLine="8"/>
        <w:spacing w:after="0" w:line="233" w:lineRule="auto"/>
        <w:tabs>
          <w:tab w:leader="none" w:pos="296" w:val="left"/>
        </w:tabs>
        <w:numPr>
          <w:ilvl w:val="0"/>
          <w:numId w:val="18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or (ii) or Section 5.2(c)(i)</w:t>
      </w:r>
      <w:r>
        <w:rPr>
          <w:rFonts w:ascii="Times New Roman" w:cs="Times New Roman" w:eastAsia="Times New Roman" w:hAnsi="Times New Roman"/>
          <w:sz w:val="22"/>
          <w:szCs w:val="22"/>
          <w:color w:val="auto"/>
        </w:rPr>
        <w:t xml:space="preserve"> is inaccurate, and such inaccuracy, if corrected, would have led to the imposition of a lower Applicable Margin for any period than the Applicable Margin applied for that period, then Borrower may, at its option, deliver to Agent a corrected financial statement and a corrected Compliance Certificate for that period, in which case (A) the Applicable Margin shall be determined based on the corrected Compliance Certificate for that period, and (B) the Lenders that hold the Loans at the time such payment is received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3" w:name="page194"/>
    <w:bookmarkEnd w:id="193"/>
    <w:p>
      <w:pPr>
        <w:jc w:val="both"/>
        <w:spacing w:after="0" w:line="244" w:lineRule="auto"/>
        <w:rPr>
          <w:sz w:val="20"/>
          <w:szCs w:val="20"/>
          <w:color w:val="auto"/>
        </w:rPr>
      </w:pPr>
      <w:r>
        <w:rPr>
          <w:rFonts w:ascii="Times New Roman" w:cs="Times New Roman" w:eastAsia="Times New Roman" w:hAnsi="Times New Roman"/>
          <w:sz w:val="22"/>
          <w:szCs w:val="22"/>
          <w:color w:val="auto"/>
        </w:rPr>
        <w:t>any Lender that holds Term Loans on the next Interest Payment Date), regardless of whether those Lenders held the Loans during the relevant period, shall provide credit to Borrower for such overpayment toward the interest payment due on the next Interest Date.</w:t>
      </w:r>
    </w:p>
    <w:p>
      <w:pPr>
        <w:spacing w:after="0" w:line="169"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Fund</w:t>
      </w:r>
      <w:r>
        <w:rPr>
          <w:rFonts w:ascii="Times New Roman" w:cs="Times New Roman" w:eastAsia="Times New Roman" w:hAnsi="Times New Roman"/>
          <w:sz w:val="22"/>
          <w:szCs w:val="22"/>
          <w:color w:val="auto"/>
        </w:rPr>
        <w:t>” means (x) any Blackstone Entity and (y) any other Person (other than a natural person) that is engaged in making, purchasing, holding or otherwise investing in commercial loans and similar extensions of credit in the ordinary course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Article 55 BRRD</w:t>
      </w:r>
      <w:r>
        <w:rPr>
          <w:rFonts w:ascii="Times New Roman" w:cs="Times New Roman" w:eastAsia="Times New Roman" w:hAnsi="Times New Roman"/>
          <w:sz w:val="22"/>
          <w:szCs w:val="22"/>
          <w:color w:val="auto"/>
        </w:rPr>
        <w:t>” means Article 55 of Directive 2014/59/EU establishing a framework for the recovery and resolution of credit institutions and investment firms.</w:t>
      </w:r>
    </w:p>
    <w:p>
      <w:pPr>
        <w:spacing w:after="0" w:line="119" w:lineRule="exact"/>
        <w:rPr>
          <w:sz w:val="20"/>
          <w:szCs w:val="20"/>
          <w:color w:val="auto"/>
        </w:rPr>
      </w:pPr>
    </w:p>
    <w:p>
      <w:pPr>
        <w:jc w:val="both"/>
        <w:ind w:firstLine="1181"/>
        <w:spacing w:after="0" w:line="26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Acquisition</w:t>
      </w:r>
      <w:r>
        <w:rPr>
          <w:rFonts w:ascii="Times New Roman" w:cs="Times New Roman" w:eastAsia="Times New Roman" w:hAnsi="Times New Roman"/>
          <w:sz w:val="22"/>
          <w:szCs w:val="22"/>
          <w:color w:val="auto"/>
        </w:rPr>
        <w:t>” means, with respect to Borrower or any of its Subsidiaries, any purchase, 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license or other acquisition of any properties or assets of any other Person (including any purchase or other acquisition of any business unit, line of business or division of such Person). For the avoidance of doubt, “Asset Acquisition” shall include any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promotion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marketing arrangement pursuant to which Borrower or any Subsidiary acquires rights to promote or market the products of another Person.</w:t>
      </w:r>
    </w:p>
    <w:p>
      <w:pPr>
        <w:spacing w:after="0" w:line="173"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Sale</w:t>
      </w:r>
      <w:r>
        <w:rPr>
          <w:rFonts w:ascii="Times New Roman" w:cs="Times New Roman" w:eastAsia="Times New Roman" w:hAnsi="Times New Roman"/>
          <w:sz w:val="22"/>
          <w:szCs w:val="22"/>
          <w:color w:val="auto"/>
        </w:rPr>
        <w:t>” means any Transfer, other than Transfers expressly permitted under clauses (a), (b), (c), (d), (e), (f), (g), (h), (i), (j), (k), (l) or (m) of the definition “Permitted Transfers”.</w:t>
      </w:r>
    </w:p>
    <w:p>
      <w:pPr>
        <w:spacing w:after="0" w:line="149"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Assignment and Assumption</w:t>
      </w:r>
      <w:r>
        <w:rPr>
          <w:rFonts w:ascii="Times New Roman" w:cs="Times New Roman" w:eastAsia="Times New Roman" w:hAnsi="Times New Roman"/>
          <w:sz w:val="22"/>
          <w:szCs w:val="22"/>
          <w:color w:val="auto"/>
        </w:rPr>
        <w:t xml:space="preserve">” means an Assignment and Assumption substantially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 or any other form (including electronic documentation generated by MarkitClear or other electronic platform) approved by Agent.</w:t>
      </w:r>
    </w:p>
    <w:p>
      <w:pPr>
        <w:spacing w:after="0" w:line="136" w:lineRule="exact"/>
        <w:rPr>
          <w:sz w:val="20"/>
          <w:szCs w:val="20"/>
          <w:color w:val="auto"/>
        </w:rPr>
      </w:pPr>
    </w:p>
    <w:p>
      <w:pPr>
        <w:jc w:val="both"/>
        <w:ind w:firstLine="1181"/>
        <w:spacing w:after="0" w:line="25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Available Tenor</w:t>
      </w:r>
      <w:r>
        <w:rPr>
          <w:rFonts w:ascii="Times New Roman" w:cs="Times New Roman" w:eastAsia="Times New Roman" w:hAnsi="Times New Roman"/>
          <w:sz w:val="22"/>
          <w:szCs w:val="22"/>
          <w:color w:val="auto"/>
        </w:rPr>
        <w:t>” means, as of any date of determination and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removed from the definition of “Interest Period”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Action</w:t>
      </w:r>
      <w:r>
        <w:rPr>
          <w:rFonts w:ascii="Times New Roman" w:cs="Times New Roman" w:eastAsia="Times New Roman" w:hAnsi="Times New Roman"/>
          <w:sz w:val="22"/>
          <w:szCs w:val="22"/>
          <w:color w:val="auto"/>
        </w:rPr>
        <w:t>” means the exercise of any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w:t>
      </w:r>
    </w:p>
    <w:p>
      <w:pPr>
        <w:spacing w:after="0" w:line="220"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Legislation</w:t>
      </w:r>
      <w:r>
        <w:rPr>
          <w:rFonts w:ascii="Times New Roman" w:cs="Times New Roman" w:eastAsia="Times New Roman" w:hAnsi="Times New Roman"/>
          <w:sz w:val="22"/>
          <w:szCs w:val="22"/>
          <w:color w:val="auto"/>
        </w:rPr>
        <w:t>” means:</w:t>
      </w:r>
    </w:p>
    <w:p>
      <w:pPr>
        <w:spacing w:after="0" w:line="254" w:lineRule="exact"/>
        <w:rPr>
          <w:sz w:val="20"/>
          <w:szCs w:val="20"/>
          <w:color w:val="auto"/>
        </w:rPr>
      </w:pPr>
    </w:p>
    <w:p>
      <w:pPr>
        <w:ind w:right="40" w:firstLine="757"/>
        <w:spacing w:after="0" w:line="285" w:lineRule="exact"/>
        <w:tabs>
          <w:tab w:leader="none" w:pos="1181"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 EEA Member Country which has implemented, or which at any time implements, Article 55 BRRD, the relevant implementing law or regulation as described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from time to time;</w:t>
      </w:r>
    </w:p>
    <w:p>
      <w:pPr>
        <w:spacing w:after="0" w:line="111" w:lineRule="exact"/>
        <w:rPr>
          <w:rFonts w:ascii="Times New Roman" w:cs="Times New Roman" w:eastAsia="Times New Roman" w:hAnsi="Times New Roman"/>
          <w:sz w:val="22"/>
          <w:szCs w:val="22"/>
          <w:color w:val="auto"/>
        </w:rPr>
      </w:pPr>
    </w:p>
    <w:p>
      <w:pPr>
        <w:ind w:left="1180" w:hanging="423"/>
        <w:spacing w:after="0" w:line="253" w:lineRule="exact"/>
        <w:tabs>
          <w:tab w:leader="none" w:pos="11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the United Kingdom, the U.K.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and</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jc w:val="both"/>
        <w:ind w:firstLine="757"/>
        <w:spacing w:after="0" w:line="261" w:lineRule="exact"/>
        <w:tabs>
          <w:tab w:leader="none" w:pos="1181"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state other than such an EEA Member Country and the United Kingdom, any analogous law or regulation from time to time which requires contractual recognition of any Write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down and Conversion Powers contained in that law or regulation.</w:t>
      </w:r>
    </w:p>
    <w:p>
      <w:pPr>
        <w:spacing w:after="0" w:line="173" w:lineRule="exact"/>
        <w:rPr>
          <w:rFonts w:ascii="Times New Roman" w:cs="Times New Roman" w:eastAsia="Times New Roman" w:hAnsi="Times New Roman"/>
          <w:sz w:val="22"/>
          <w:szCs w:val="22"/>
          <w:color w:val="auto"/>
        </w:rPr>
      </w:pPr>
    </w:p>
    <w:p>
      <w:pPr>
        <w:ind w:firstLine="1181"/>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Bankruptcy Code</w:t>
      </w:r>
      <w:r>
        <w:rPr>
          <w:rFonts w:ascii="Times New Roman" w:cs="Times New Roman" w:eastAsia="Times New Roman" w:hAnsi="Times New Roman"/>
          <w:sz w:val="22"/>
          <w:szCs w:val="22"/>
          <w:color w:val="auto"/>
        </w:rPr>
        <w:t>” means Title 11 of the United States Code entitled “Bankruptcy,” as now and hereafter in effect, or any successor statute.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w:t>
      </w:r>
      <w:r>
        <w:rPr>
          <w:rFonts w:ascii="Times New Roman" w:cs="Times New Roman" w:eastAsia="Times New Roman" w:hAnsi="Times New Roman"/>
          <w:sz w:val="22"/>
          <w:szCs w:val="22"/>
          <w:color w:val="auto"/>
        </w:rPr>
        <w:t>” means for any day, a rate per annum equal to the greatest of (a) the Prime Rate in effect on such day,</w:t>
      </w:r>
    </w:p>
    <w:p>
      <w:pPr>
        <w:spacing w:after="0" w:line="24" w:lineRule="exact"/>
        <w:rPr>
          <w:sz w:val="20"/>
          <w:szCs w:val="20"/>
          <w:color w:val="auto"/>
        </w:rPr>
      </w:pPr>
    </w:p>
    <w:p>
      <w:pPr>
        <w:jc w:val="both"/>
        <w:ind w:firstLine="8"/>
        <w:spacing w:after="0" w:line="249" w:lineRule="exact"/>
        <w:tabs>
          <w:tab w:leader="none" w:pos="323"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Federal Funds Rate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½ of 1%, (c) Adjusted Term SOFR for a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month’s tenor in effect on such day plus 1% and (d) 3.0%. Any change in the Base Rate due to a change in the Prime Rate, the Federal Funds Rate or Adjusted Term SOFR shall be effective as of the opening of business on the day of such change in the Prime Rate, Federal Funds Rate or Adjusted Term SOFR, respectively.</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Loan</w:t>
      </w:r>
      <w:r>
        <w:rPr>
          <w:rFonts w:ascii="Times New Roman" w:cs="Times New Roman" w:eastAsia="Times New Roman" w:hAnsi="Times New Roman"/>
          <w:sz w:val="22"/>
          <w:szCs w:val="22"/>
          <w:color w:val="auto"/>
        </w:rPr>
        <w:t>” means a Term Loan that bears interest based on the Base Rate.</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has the meaning specified in the definition of “Term SOFR”.</w:t>
      </w:r>
    </w:p>
    <w:p>
      <w:pPr>
        <w:spacing w:after="0" w:line="206" w:lineRule="exact"/>
        <w:rPr>
          <w:sz w:val="20"/>
          <w:szCs w:val="20"/>
          <w:color w:val="auto"/>
        </w:rPr>
      </w:pPr>
    </w:p>
    <w:p>
      <w:pPr>
        <w:jc w:val="both"/>
        <w:ind w:firstLine="1181"/>
        <w:spacing w:after="0" w:line="258"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w:t>
      </w:r>
      <w:r>
        <w:rPr>
          <w:rFonts w:ascii="Times New Roman" w:cs="Times New Roman" w:eastAsia="Times New Roman" w:hAnsi="Times New Roman"/>
          <w:sz w:val="22"/>
          <w:szCs w:val="22"/>
          <w:color w:val="auto"/>
        </w:rPr>
        <w:t xml:space="preserve">” means, initially, the Term SOFR Reference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has occurred with respect to the Term SOFR Reference Rate or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181"/>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w:t>
      </w:r>
      <w:r>
        <w:rPr>
          <w:rFonts w:ascii="Times New Roman" w:cs="Times New Roman" w:eastAsia="Times New Roman" w:hAnsi="Times New Roman"/>
          <w:sz w:val="22"/>
          <w:szCs w:val="22"/>
          <w:color w:val="auto"/>
        </w:rPr>
        <w:t>” means with respect to any Benchmark Transition Event, the sum of: (a) the alternate benchmark rate that has been selected by Agent, the Blackstone Representative and Borrower giving due consideration to (i) any selection or recommendation of a replacement benchmark rate or the mechanism for determining such a rate by the Relevant Governmental Body or (ii) any evolving or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prevailing market convention for determining a benchmark rate as a replacement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for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denominated syndicated credit facilities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43" w:lineRule="exact"/>
        <w:rPr>
          <w:sz w:val="20"/>
          <w:szCs w:val="20"/>
          <w:color w:val="auto"/>
        </w:rPr>
      </w:pPr>
    </w:p>
    <w:p>
      <w:pPr>
        <w:jc w:val="both"/>
        <w:ind w:firstLine="1181"/>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Replacement Adjustment</w:t>
      </w:r>
      <w:r>
        <w:rPr>
          <w:rFonts w:ascii="Times New Roman" w:cs="Times New Roman" w:eastAsia="Times New Roman" w:hAnsi="Times New Roman"/>
          <w:sz w:val="22"/>
          <w:szCs w:val="22"/>
          <w:color w:val="auto"/>
        </w:rPr>
        <w:t>” means, with respect to any replacement of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 with an Unadjusted Benchmark Replacement, the spread adjustment, or method for calculating or determining such spread adjustment, (which may be a positive or negative value or zero) that has been selected by Agent, the Blackstone Representative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prevailing market convention for determining a spread adjustment, or method for calculating or determining such spread adjustment, for the replacement of such Benchmark with the applicable Unadjusted Benchmark Replacement for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denominated syndicated credit facilities.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ind w:firstLine="1181"/>
        <w:spacing w:after="0" w:line="28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w:t>
      </w:r>
    </w:p>
    <w:p>
      <w:pPr>
        <w:spacing w:after="0" w:line="146" w:lineRule="exact"/>
        <w:rPr>
          <w:sz w:val="20"/>
          <w:szCs w:val="20"/>
          <w:color w:val="auto"/>
        </w:rPr>
      </w:pPr>
    </w:p>
    <w:p>
      <w:pPr>
        <w:jc w:val="both"/>
        <w:ind w:firstLine="757"/>
        <w:spacing w:after="0" w:line="238" w:lineRule="auto"/>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jc w:val="both"/>
        <w:ind w:firstLine="757"/>
        <w:spacing w:after="0" w:line="250" w:lineRule="exact"/>
        <w:tabs>
          <w:tab w:leader="none" w:pos="1181" w:val="left"/>
        </w:tabs>
        <w:numPr>
          <w:ilvl w:val="0"/>
          <w:numId w:val="1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or on behalf of the administrator of such Benchmark (or such component thereof) or the regulatory supervisor for the administrator of such Benchmark (or such component thereof) to be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representativeness will be determined by reference to the most recent statement or publication referenced in such clause (c) and even if any Available Tenor of such Benchmark (or such component thereof) continues to be provided on such date.</w:t>
      </w:r>
    </w:p>
    <w:p>
      <w:pPr>
        <w:spacing w:after="0" w:line="182" w:lineRule="exact"/>
        <w:rPr>
          <w:sz w:val="20"/>
          <w:szCs w:val="20"/>
          <w:color w:val="auto"/>
        </w:rPr>
      </w:pPr>
    </w:p>
    <w:p>
      <w:pPr>
        <w:jc w:val="both"/>
        <w:spacing w:after="0" w:line="257" w:lineRule="exact"/>
        <w:rPr>
          <w:sz w:val="20"/>
          <w:szCs w:val="20"/>
          <w:color w:val="auto"/>
        </w:rPr>
      </w:pPr>
      <w:r>
        <w:rPr>
          <w:rFonts w:ascii="Times New Roman" w:cs="Times New Roman" w:eastAsia="Times New Roman" w:hAnsi="Times New Roman"/>
          <w:sz w:val="22"/>
          <w:szCs w:val="22"/>
          <w:color w:val="auto"/>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Available Tenors of such Benchmark (or the published component used in the calculation thereof).</w:t>
      </w:r>
    </w:p>
    <w:p>
      <w:pPr>
        <w:spacing w:after="0" w:line="173" w:lineRule="exact"/>
        <w:rPr>
          <w:sz w:val="20"/>
          <w:szCs w:val="20"/>
          <w:color w:val="auto"/>
        </w:rPr>
      </w:pPr>
    </w:p>
    <w:p>
      <w:pPr>
        <w:jc w:val="both"/>
        <w:ind w:firstLine="1181"/>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Event</w:t>
      </w:r>
      <w:r>
        <w:rPr>
          <w:rFonts w:ascii="Times New Roman" w:cs="Times New Roman" w:eastAsia="Times New Roman" w:hAnsi="Times New Roman"/>
          <w:sz w:val="22"/>
          <w:szCs w:val="22"/>
          <w:color w:val="auto"/>
        </w:rPr>
        <w:t>” means the occurrence of one or more of the following events with respect to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Benchmark:</w:t>
      </w:r>
    </w:p>
    <w:p>
      <w:pPr>
        <w:spacing w:after="0" w:line="146" w:lineRule="exact"/>
        <w:rPr>
          <w:sz w:val="20"/>
          <w:szCs w:val="20"/>
          <w:color w:val="auto"/>
        </w:rPr>
      </w:pPr>
    </w:p>
    <w:p>
      <w:pPr>
        <w:jc w:val="both"/>
        <w:ind w:firstLine="757"/>
        <w:spacing w:after="0" w:line="236"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6" w:name="page197"/>
    <w:bookmarkEnd w:id="19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73" w:lineRule="exact"/>
        <w:rPr>
          <w:sz w:val="20"/>
          <w:szCs w:val="20"/>
          <w:color w:val="auto"/>
        </w:rPr>
      </w:pPr>
    </w:p>
    <w:p>
      <w:pPr>
        <w:jc w:val="both"/>
        <w:ind w:firstLine="757"/>
        <w:spacing w:after="0" w:line="238" w:lineRule="auto"/>
        <w:tabs>
          <w:tab w:leader="none" w:pos="1181"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such Benchmark (or such component thereof) or, if such Benchmark is a term rate, all Available Tenors of such Benchmark (or such component thereof) are not, or as of a specified future date will not be, representative.</w:t>
      </w:r>
    </w:p>
    <w:p>
      <w:pPr>
        <w:spacing w:after="0" w:line="177" w:lineRule="exact"/>
        <w:rPr>
          <w:sz w:val="20"/>
          <w:szCs w:val="20"/>
          <w:color w:val="auto"/>
        </w:rPr>
      </w:pPr>
    </w:p>
    <w:p>
      <w:pPr>
        <w:jc w:val="both"/>
        <w:spacing w:after="0" w:line="271" w:lineRule="exact"/>
        <w:rPr>
          <w:sz w:val="20"/>
          <w:szCs w:val="20"/>
          <w:color w:val="auto"/>
        </w:rPr>
      </w:pPr>
      <w:r>
        <w:rPr>
          <w:rFonts w:ascii="Times New Roman" w:cs="Times New Roman" w:eastAsia="Times New Roman" w:hAnsi="Times New Roman"/>
          <w:sz w:val="22"/>
          <w:szCs w:val="22"/>
          <w:color w:val="auto"/>
        </w:rPr>
        <w:t>For the avoidance of doubt, such Benchmark is a term rate, a “Benchmark Transition Event” will be deemed to have occurred with respect to any Benchmark if a public statement or publication of information set forth above has occurred with respect to each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current Available Tenor of such Benchmark (or the published component used in the calculation thereof).</w:t>
      </w:r>
    </w:p>
    <w:p>
      <w:pPr>
        <w:spacing w:after="0" w:line="142"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Benchmark Transition Start Date</w:t>
      </w:r>
      <w:r>
        <w:rPr>
          <w:rFonts w:ascii="Times New Roman" w:cs="Times New Roman" w:eastAsia="Times New Roman" w:hAnsi="Times New Roman"/>
          <w:sz w:val="22"/>
          <w:szCs w:val="22"/>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firstLine="1181"/>
        <w:spacing w:after="0" w:line="25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Benchmark Unavailability Period</w:t>
      </w:r>
      <w:r>
        <w:rPr>
          <w:rFonts w:ascii="Times New Roman" w:cs="Times New Roman" w:eastAsia="Times New Roman" w:hAnsi="Times New Roman"/>
          <w:sz w:val="22"/>
          <w:szCs w:val="22"/>
          <w:color w:val="auto"/>
        </w:rPr>
        <w:t>” means, the period (if any) (a) beginning at the time that a Benchmark Replacement Date has occurred if, at such time, no Benchmark Replacement has replaced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xml:space="preserve"> and (b) ending at the time that a Benchmark Replacement has replaced the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current Benchmark for all purposes hereunder and under any Loan Document in accordance with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Beneficial Ownership Regulation</w:t>
      </w:r>
      <w:r>
        <w:rPr>
          <w:rFonts w:ascii="Times New Roman" w:cs="Times New Roman" w:eastAsia="Times New Roman" w:hAnsi="Times New Roman"/>
          <w:sz w:val="22"/>
          <w:szCs w:val="22"/>
          <w:color w:val="auto"/>
        </w:rPr>
        <w:t>” means 31 C.F.R. §1010.230, as amended.</w:t>
      </w:r>
    </w:p>
    <w:p>
      <w:pPr>
        <w:spacing w:after="0" w:line="206" w:lineRule="exact"/>
        <w:rPr>
          <w:sz w:val="20"/>
          <w:szCs w:val="20"/>
          <w:color w:val="auto"/>
        </w:rPr>
      </w:pPr>
    </w:p>
    <w:p>
      <w:pPr>
        <w:ind w:right="20" w:firstLine="1181"/>
        <w:spacing w:after="0" w:line="287"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Credit</w:t>
      </w:r>
      <w:r>
        <w:rPr>
          <w:rFonts w:ascii="Times New Roman" w:cs="Times New Roman" w:eastAsia="Times New Roman" w:hAnsi="Times New Roman"/>
          <w:sz w:val="22"/>
          <w:szCs w:val="22"/>
          <w:color w:val="auto"/>
        </w:rPr>
        <w:t>” means Blackstone Alternative Credit Advisors LP (on behalf of funds, accounts and clients managed, advised or sub</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advised by it or its affiliates).</w:t>
      </w:r>
    </w:p>
    <w:p>
      <w:pPr>
        <w:spacing w:after="0" w:line="14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Entity</w:t>
      </w:r>
      <w:r>
        <w:rPr>
          <w:rFonts w:ascii="Times New Roman" w:cs="Times New Roman" w:eastAsia="Times New Roman" w:hAnsi="Times New Roman"/>
          <w:sz w:val="22"/>
          <w:szCs w:val="22"/>
          <w:color w:val="auto"/>
        </w:rPr>
        <w:t>” means each of (i) Blackstone Finance and (ii) Blackstone Credit and any of its Affiliates, and shall include, without limitation, certain funds, accounts and clients managed, advised, sub-advised or administered by Blackstone Credit or any of their respective Affiliates, as the context may require, and any warehouse entity.</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Finance</w:t>
      </w:r>
      <w:r>
        <w:rPr>
          <w:rFonts w:ascii="Times New Roman" w:cs="Times New Roman" w:eastAsia="Times New Roman" w:hAnsi="Times New Roman"/>
          <w:sz w:val="22"/>
          <w:szCs w:val="22"/>
          <w:color w:val="auto"/>
        </w:rPr>
        <w:t>” means Blackstone Holdings Finance Co. L.L.C.</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Blackstone Representative</w:t>
      </w:r>
      <w:r>
        <w:rPr>
          <w:rFonts w:ascii="Times New Roman" w:cs="Times New Roman" w:eastAsia="Times New Roman" w:hAnsi="Times New Roman"/>
          <w:sz w:val="22"/>
          <w:szCs w:val="22"/>
          <w:color w:val="auto"/>
        </w:rPr>
        <w:t>” means Blackstone Alternative Credit Advisors LP and, after the Closing Date, any successor or assign that is a Blackstone Entity appointed by the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7" w:name="page198"/>
    <w:bookmarkEnd w:id="197"/>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previous Blackstone Entity(ies) that fulfilled the role as Blackstone Representative hereunder, effective upon written notice of such appointment to Borrower and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no Lender under this Agreement is a Blackstone Entity, then “Blackstone Representative” shall mean a Lender appointed by the Required Lenders and notified to Agent and Borrower to fulfill the role as the Blackstone Representative or, in the absence of any such appointment, shall mean the Required Lenders.</w:t>
      </w:r>
    </w:p>
    <w:p>
      <w:pPr>
        <w:spacing w:after="0" w:line="176" w:lineRule="exact"/>
        <w:rPr>
          <w:sz w:val="20"/>
          <w:szCs w:val="20"/>
          <w:color w:val="auto"/>
        </w:rPr>
      </w:pPr>
    </w:p>
    <w:p>
      <w:pPr>
        <w:jc w:val="both"/>
        <w:ind w:firstLine="1181"/>
        <w:spacing w:after="0" w:line="25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Blocked Person</w:t>
      </w:r>
      <w:r>
        <w:rPr>
          <w:rFonts w:ascii="Times New Roman" w:cs="Times New Roman" w:eastAsia="Times New Roman" w:hAnsi="Times New Roman"/>
          <w:sz w:val="22"/>
          <w:szCs w:val="22"/>
          <w:color w:val="auto"/>
        </w:rPr>
        <w:t>” means (a) any Person listed in the annex to, or is otherwise subject to the provisions of, Executive Order No. 13224, (b) a Person fifty percent (50%) or more owned by, or acting for or on behalf of, any Person that is listed in the annex to, or is otherwise subject to the provisions of, Executive Order No. 13224, (c) a Person with which Agent or any Lender is prohibited from dealing or otherwise engaging in any transaction by any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Terrorism Law, (d) a Person that commits, threatens or conspires to commit or supports “terrorism” as defined in Executive Order No. 13224, or (e) a Person that is named a “specially designated national” or “blocked person” on the most current list published by OFAC.</w:t>
      </w:r>
    </w:p>
    <w:p>
      <w:pPr>
        <w:spacing w:after="0" w:line="17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with respect to any Person, (i) in the case of any corporation, the board of directors of such Person, (ii) 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w:t>
      </w:r>
    </w:p>
    <w:p>
      <w:pPr>
        <w:spacing w:after="0" w:line="172"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Board of Governors</w:t>
      </w:r>
      <w:r>
        <w:rPr>
          <w:rFonts w:ascii="Times New Roman" w:cs="Times New Roman" w:eastAsia="Times New Roman" w:hAnsi="Times New Roman"/>
          <w:sz w:val="22"/>
          <w:szCs w:val="22"/>
          <w:color w:val="auto"/>
        </w:rPr>
        <w:t>” means the Board of Governors of the United States Federal Reserve System, or any successor thereto.</w:t>
      </w:r>
    </w:p>
    <w:p>
      <w:pPr>
        <w:spacing w:after="0" w:line="149"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Books</w:t>
      </w:r>
      <w:r>
        <w:rPr>
          <w:rFonts w:ascii="Times New Roman" w:cs="Times New Roman" w:eastAsia="Times New Roman" w:hAnsi="Times New Roman"/>
          <w:sz w:val="22"/>
          <w:szCs w:val="22"/>
          <w:color w:val="auto"/>
        </w:rPr>
        <w:t>” means all books and records including ledgers, records regarding a Credit Party’s and its Subsidiaries’ assets or liabilities, the Collateral, business operations or financial condition, and all computer programs or storage or any equipment containing such information.</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is defined in the preamble hereof.</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 Materials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Borrowing</w:t>
      </w:r>
      <w:r>
        <w:rPr>
          <w:rFonts w:ascii="Times New Roman" w:cs="Times New Roman" w:eastAsia="Times New Roman" w:hAnsi="Times New Roman"/>
          <w:sz w:val="22"/>
          <w:szCs w:val="22"/>
          <w:color w:val="auto"/>
        </w:rPr>
        <w:t>” means a borrowing consisting of simultaneous Term Loans of the same Type and, in the case of SOFR Loans, having the same Interest Period made by the applicable Term Loan Lenders.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Borrowing Resolutions</w:t>
      </w:r>
      <w:r>
        <w:rPr>
          <w:rFonts w:ascii="Times New Roman" w:cs="Times New Roman" w:eastAsia="Times New Roman" w:hAnsi="Times New Roman"/>
          <w:sz w:val="22"/>
          <w:szCs w:val="22"/>
          <w:color w:val="auto"/>
        </w:rPr>
        <w:t xml:space="preserve">” means, with respect to any Person, those resolutions adopted by such Person’s Board of Directors and delivered by such Person to Agent and the Lenders pursuant to </w:t>
      </w:r>
      <w:r>
        <w:rPr>
          <w:rFonts w:ascii="Times New Roman" w:cs="Times New Roman" w:eastAsia="Times New Roman" w:hAnsi="Times New Roman"/>
          <w:sz w:val="22"/>
          <w:szCs w:val="22"/>
          <w:u w:val="single" w:color="auto"/>
          <w:color w:val="auto"/>
        </w:rPr>
        <w:t>Section 3.1</w:t>
      </w:r>
      <w:r>
        <w:rPr>
          <w:rFonts w:ascii="Times New Roman" w:cs="Times New Roman" w:eastAsia="Times New Roman" w:hAnsi="Times New Roman"/>
          <w:sz w:val="22"/>
          <w:szCs w:val="22"/>
          <w:color w:val="auto"/>
        </w:rPr>
        <w:t xml:space="preserve"> approving the Loan Documents to which such Person is a party and the transactions contemplated thereby (including the Term Loans), together with a certificate executed by its Secretary on behalf of such Person certifying that (a) such Person has the authority to execute, deliver, and perform its obligations under each of the Loan Documents to which it is a party, (b) that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such certificate is a true, correct, and complete copy of the resolutions then in full force and effect authorizing and ratifying the execution, delivery, and performance by such Person of the Loan Documents to which it is a party, (c) the name(s) 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8" w:name="page199"/>
    <w:bookmarkEnd w:id="198"/>
    <w:p>
      <w:pPr>
        <w:jc w:val="both"/>
        <w:spacing w:after="0" w:line="239" w:lineRule="auto"/>
        <w:rPr>
          <w:sz w:val="20"/>
          <w:szCs w:val="20"/>
          <w:color w:val="auto"/>
        </w:rPr>
      </w:pPr>
      <w:r>
        <w:rPr>
          <w:rFonts w:ascii="Times New Roman" w:cs="Times New Roman" w:eastAsia="Times New Roman" w:hAnsi="Times New Roman"/>
          <w:sz w:val="22"/>
          <w:szCs w:val="22"/>
          <w:color w:val="auto"/>
        </w:rPr>
        <w:t>title(s) of the officers of such Person authorized to execute the Loan Documents to which such Person is a party on behalf of such Person, together with a sample of the true signature(s) of such Person(s), and (d) that Agent and the Lenders may conclusively rely on such certificate with respect to the authority of such officers unless and until such Person shall have delivered to Agent and the Lenders a further certificate canceling or amending such prior certificate.</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Budget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means any day that is not a Saturday or a Sunday or a day on which banks are authorized or required to be closed in New York,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when used in connection with a SOFR Loan, the term “Business Day” shall also exclude any day which is not a U.S. Government Securities Business Day.</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IT Assets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4.22(a)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Lease</w:t>
      </w:r>
      <w:r>
        <w:rPr>
          <w:rFonts w:ascii="Times New Roman" w:cs="Times New Roman" w:eastAsia="Times New Roman" w:hAnsi="Times New Roman"/>
          <w:sz w:val="22"/>
          <w:szCs w:val="22"/>
          <w:color w:val="auto"/>
        </w:rPr>
        <w:t>” means, as applied to any Person, any lease of any property by that Person as lessee which, in accordance with GAAP, is required to be accounted for as a finance lease on the balance sheet of that Person.</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Equivalents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8" w:lineRule="auto"/>
        <w:tabs>
          <w:tab w:leader="none" w:pos="118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issued or directly and fully guaranteed or insured by the United States government or any agency or instrumentality of the United States government or, in the case of any Subsidiary not organized in the United States, by the government of any other member country of O.E.C.D.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or such other member country of O.E.C.D., as applicable, is pledged in support of those securities), in each case, having maturities of not more than two (2) years from the date of acquisition;</w:t>
      </w:r>
    </w:p>
    <w:p>
      <w:pPr>
        <w:spacing w:after="0" w:line="176" w:lineRule="exact"/>
        <w:rPr>
          <w:rFonts w:ascii="Times New Roman" w:cs="Times New Roman" w:eastAsia="Times New Roman" w:hAnsi="Times New Roman"/>
          <w:sz w:val="22"/>
          <w:szCs w:val="22"/>
          <w:color w:val="auto"/>
        </w:rPr>
      </w:pPr>
    </w:p>
    <w:p>
      <w:pPr>
        <w:jc w:val="both"/>
        <w:ind w:firstLine="757"/>
        <w:spacing w:after="0" w:line="264" w:lineRule="exact"/>
        <w:tabs>
          <w:tab w:leader="none" w:pos="118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U.S. banks;</w:t>
      </w:r>
    </w:p>
    <w:p>
      <w:pPr>
        <w:spacing w:after="0" w:line="112" w:lineRule="exact"/>
        <w:rPr>
          <w:rFonts w:ascii="Times New Roman" w:cs="Times New Roman" w:eastAsia="Times New Roman" w:hAnsi="Times New Roman"/>
          <w:sz w:val="22"/>
          <w:szCs w:val="22"/>
          <w:color w:val="auto"/>
        </w:rPr>
      </w:pPr>
    </w:p>
    <w:p>
      <w:pPr>
        <w:jc w:val="both"/>
        <w:ind w:firstLine="757"/>
        <w:spacing w:after="0" w:line="272" w:lineRule="exact"/>
        <w:tabs>
          <w:tab w:leader="none" w:pos="1181" w:val="left"/>
        </w:tabs>
        <w:numPr>
          <w:ilvl w:val="1"/>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or marketable short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term money market or readily marketable direct obligations and similar securities having one of the two highest ratings obtainable from Moody’s or S&amp;P and, in each case, maturing within two (2) years after the date of acquisition;</w:t>
      </w:r>
    </w:p>
    <w:p>
      <w:pPr>
        <w:spacing w:after="0" w:line="177" w:lineRule="exact"/>
        <w:rPr>
          <w:rFonts w:ascii="Times New Roman" w:cs="Times New Roman" w:eastAsia="Times New Roman" w:hAnsi="Times New Roman"/>
          <w:sz w:val="22"/>
          <w:szCs w:val="22"/>
          <w:color w:val="auto"/>
        </w:rPr>
      </w:pPr>
    </w:p>
    <w:p>
      <w:pPr>
        <w:ind w:right="20" w:firstLine="757"/>
        <w:spacing w:after="0" w:line="282" w:lineRule="auto"/>
        <w:tabs>
          <w:tab w:leader="none" w:pos="1181"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repurchase obligations with a term of not more than seven (7) days for underlying securities of the types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above entered into with any financial institution meeting the qualifications specified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w:t>
      </w:r>
    </w:p>
    <w:p>
      <w:pPr>
        <w:spacing w:after="0" w:line="100" w:lineRule="exact"/>
        <w:rPr>
          <w:rFonts w:ascii="Times New Roman" w:cs="Times New Roman" w:eastAsia="Times New Roman" w:hAnsi="Times New Roman"/>
          <w:sz w:val="21"/>
          <w:szCs w:val="21"/>
          <w:color w:val="auto"/>
        </w:rPr>
      </w:pPr>
    </w:p>
    <w:p>
      <w:pPr>
        <w:ind w:left="1180" w:hanging="423"/>
        <w:spacing w:after="0" w:line="242" w:lineRule="exact"/>
        <w:tabs>
          <w:tab w:leader="none" w:pos="1180" w:val="left"/>
        </w:tabs>
        <w:numPr>
          <w:ilvl w:val="1"/>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 funds investing ninety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five percent (95.0%) of their assets in securities of the types described in </w:t>
      </w:r>
      <w:r>
        <w:rPr>
          <w:rFonts w:ascii="Times New Roman" w:cs="Times New Roman" w:eastAsia="Times New Roman" w:hAnsi="Times New Roman"/>
          <w:sz w:val="21"/>
          <w:szCs w:val="21"/>
          <w:u w:val="single" w:color="auto"/>
          <w:color w:val="auto"/>
        </w:rPr>
        <w:t>clauses</w:t>
      </w:r>
    </w:p>
    <w:p>
      <w:pPr>
        <w:spacing w:after="0" w:line="73"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20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through </w:t>
      </w:r>
      <w:r>
        <w:rPr>
          <w:rFonts w:ascii="Times New Roman" w:cs="Times New Roman" w:eastAsia="Times New Roman" w:hAnsi="Times New Roman"/>
          <w:sz w:val="22"/>
          <w:szCs w:val="22"/>
          <w:u w:val="single" w:color="auto"/>
          <w:color w:val="auto"/>
        </w:rPr>
        <w:t>(d)</w:t>
      </w:r>
      <w:r>
        <w:rPr>
          <w:rFonts w:ascii="Times New Roman" w:cs="Times New Roman" w:eastAsia="Times New Roman" w:hAnsi="Times New Roman"/>
          <w:sz w:val="22"/>
          <w:szCs w:val="22"/>
          <w:color w:val="auto"/>
        </w:rPr>
        <w:t xml:space="preserve"> above and </w:t>
      </w:r>
      <w:r>
        <w:rPr>
          <w:rFonts w:ascii="Times New Roman" w:cs="Times New Roman" w:eastAsia="Times New Roman" w:hAnsi="Times New Roman"/>
          <w:sz w:val="22"/>
          <w:szCs w:val="22"/>
          <w:u w:val="single" w:color="auto"/>
          <w:color w:val="auto"/>
        </w:rPr>
        <w:t>clause (f)</w:t>
      </w:r>
      <w:r>
        <w:rPr>
          <w:rFonts w:ascii="Times New Roman" w:cs="Times New Roman" w:eastAsia="Times New Roman" w:hAnsi="Times New Roman"/>
          <w:sz w:val="22"/>
          <w:szCs w:val="22"/>
          <w:color w:val="auto"/>
        </w:rPr>
        <w:t xml:space="preserve"> below;</w:t>
      </w:r>
    </w:p>
    <w:p>
      <w:pPr>
        <w:spacing w:after="0" w:line="182" w:lineRule="exact"/>
        <w:rPr>
          <w:rFonts w:ascii="Times New Roman" w:cs="Times New Roman" w:eastAsia="Times New Roman" w:hAnsi="Times New Roman"/>
          <w:sz w:val="22"/>
          <w:szCs w:val="22"/>
          <w:u w:val="single" w:color="auto"/>
          <w:color w:val="auto"/>
        </w:rPr>
      </w:pPr>
    </w:p>
    <w:p>
      <w:pPr>
        <w:ind w:right="20" w:firstLine="757"/>
        <w:spacing w:after="0" w:line="258" w:lineRule="auto"/>
        <w:tabs>
          <w:tab w:leader="none" w:pos="1181" w:val="left"/>
        </w:tabs>
        <w:numPr>
          <w:ilvl w:val="1"/>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money market funds rated “AAA” (or the equivalent thereof) or better by S&amp;P or “Aaa” (or the equivalent thereof) or better by Moody’s (or, if at any time neither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ind w:right="20"/>
        <w:spacing w:after="0" w:line="258" w:lineRule="auto"/>
        <w:rPr>
          <w:sz w:val="20"/>
          <w:szCs w:val="20"/>
          <w:color w:val="auto"/>
        </w:rPr>
      </w:pPr>
      <w:r>
        <w:rPr>
          <w:rFonts w:ascii="Times New Roman" w:cs="Times New Roman" w:eastAsia="Times New Roman" w:hAnsi="Times New Roman"/>
          <w:sz w:val="22"/>
          <w:szCs w:val="22"/>
          <w:color w:val="auto"/>
        </w:rPr>
        <w:t>Moody’s nor S&amp;P shall be rating such obligations, an equivalent rating from another rating agency) and that have portfolio assets of at least $1,000,000,000; and</w:t>
      </w:r>
    </w:p>
    <w:p>
      <w:pPr>
        <w:spacing w:after="0" w:line="158" w:lineRule="exact"/>
        <w:rPr>
          <w:sz w:val="20"/>
          <w:szCs w:val="20"/>
          <w:color w:val="auto"/>
        </w:rPr>
      </w:pPr>
    </w:p>
    <w:p>
      <w:pPr>
        <w:jc w:val="both"/>
        <w:ind w:firstLine="757"/>
        <w:spacing w:after="0" w:line="244" w:lineRule="auto"/>
        <w:tabs>
          <w:tab w:leader="none" w:pos="1181"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accordance with Borrower’s investment policy as of the Closing Date or updated thereafter, subject to the Blackstone Representative’s written consent thereof (which such consent shall be in the Blackstone Representative’s sole discretion).</w:t>
      </w:r>
    </w:p>
    <w:p>
      <w:pPr>
        <w:spacing w:after="0" w:line="169" w:lineRule="exact"/>
        <w:rPr>
          <w:sz w:val="20"/>
          <w:szCs w:val="20"/>
          <w:color w:val="auto"/>
        </w:rPr>
      </w:pPr>
    </w:p>
    <w:p>
      <w:pPr>
        <w:jc w:val="both"/>
        <w:ind w:firstLine="1181"/>
        <w:spacing w:after="0" w:line="249"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xml:space="preserve">” means: (a) a transaction or series of transactions (including any merger or consolidation with Borrower) in which any “person” or “group” (within the meaning of </w:t>
      </w:r>
      <w:r>
        <w:rPr>
          <w:rFonts w:ascii="Times New Roman" w:cs="Times New Roman" w:eastAsia="Times New Roman" w:hAnsi="Times New Roman"/>
          <w:sz w:val="21"/>
          <w:szCs w:val="21"/>
          <w:u w:val="single" w:color="auto"/>
          <w:color w:val="auto"/>
        </w:rPr>
        <w:t>Section 13(d)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14(d)(2)</w:t>
      </w:r>
      <w:r>
        <w:rPr>
          <w:rFonts w:ascii="Times New Roman" w:cs="Times New Roman" w:eastAsia="Times New Roman" w:hAnsi="Times New Roman"/>
          <w:sz w:val="21"/>
          <w:szCs w:val="21"/>
          <w:color w:val="auto"/>
        </w:rPr>
        <w:t xml:space="preserve"> of the Securities Exchange Act of 1934, but excluding any employee benefit plan of such Person or its Subsidiaries, and any Person acting in its capacity as trustee, agent or other fiduciary or administrator of any such plan) is or becomes the “beneficial owner” (as defined in Rule 13d</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3 under the Securities Exchange Act of 1934), directly or indirectly, of greater than thirty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five percent (35%) of the shares of the then outstanding capital stock of Borrower ordinarily entitled to vote in the election of directors; (b) a sale of all or substantially all of the consolidated assets of Borrower and its Subsidiaries in one transaction or a series of transactions (whether by way of merger, stock purchase, asset purchase or otherwise); (c) a merger or consolidation involving Borrower in which Borrower is not the surviving Person; or (d) any “change of control”, “fundamental change”, “make-whole fundamental change” or any comparable term under and as defined in any indenture governing any other Indebtedness or Permitted Convertible Bond Indebtedness in each case in an aggregate principal amount equal to or greater than $10,000,000 has occurred.</w:t>
      </w:r>
    </w:p>
    <w:p>
      <w:pPr>
        <w:spacing w:after="0" w:line="182" w:lineRule="exact"/>
        <w:rPr>
          <w:sz w:val="20"/>
          <w:szCs w:val="20"/>
          <w:color w:val="auto"/>
        </w:rPr>
      </w:pPr>
    </w:p>
    <w:p>
      <w:pPr>
        <w:jc w:val="both"/>
        <w:ind w:firstLine="1181"/>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Law</w:t>
      </w:r>
      <w:r>
        <w:rPr>
          <w:rFonts w:ascii="Times New Roman" w:cs="Times New Roman" w:eastAsia="Times New Roman" w:hAnsi="Times New Roman"/>
          <w:sz w:val="22"/>
          <w:szCs w:val="22"/>
          <w:color w:val="auto"/>
        </w:rPr>
        <w:t xml:space="preserve">” means the occurrence, after the date of this Agreement, of any of the following: (a) the adoption or taking into effect of any law, treaty, order, policy, rule or regulation, (b) any change in any law, treaty, order, policy, rule or regulation or in the administration, interpretation or application thereof by any Governmental Authority or (c) the making or issuance of any request, guideline or directive (whether or not having the force of law) by any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notwithstanding anything herein to the contrary, (x) the Dodd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w:t>
      </w:r>
    </w:p>
    <w:p>
      <w:pPr>
        <w:spacing w:after="0" w:line="178"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Class</w:t>
      </w:r>
      <w:r>
        <w:rPr>
          <w:rFonts w:ascii="Times New Roman" w:cs="Times New Roman" w:eastAsia="Times New Roman" w:hAnsi="Times New Roman"/>
          <w:sz w:val="22"/>
          <w:szCs w:val="22"/>
          <w:color w:val="auto"/>
        </w:rPr>
        <w:t>” when used in reference to any Loan or Borrowing, shall refer to whether such Loan, or the Loans comprising such Borrowing, are Initial Term Loans or Delayed Draw Term Loans and (ii) when used in reference to any Commitment, refers to whether such Commitment is an Initial Term Loan Commitment or a Delayed Draw Commitment.</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is defined in the preamble hereto.</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xml:space="preserve">” means the Uniform Commercial Code, as the same may, from time to time, be enacted and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to the extent that the Code is used to define any term herein or in any Loan Document and such term is defined differently in different Articles of the Code, the definition of such term contained in Article 9 of the Code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-341630</wp:posOffset>
            </wp:positionV>
            <wp:extent cx="431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0" w:name="page201"/>
    <w:bookmarkEnd w:id="200"/>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govern;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event that, by reason of mandatory provisions of law, any or all of the attachment, perfection, or priority of, or remedies with respect to, Agent’s Lien in favor and for the benefit of Agent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-801370</wp:posOffset>
            </wp:positionV>
            <wp:extent cx="596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means all property of the Credit Parties, now owned or hereafter acquired, upon which a Lien is created, granted or purported to be created or granted by the Collateral Documents, but in any event excluding all Excluded Property.</w:t>
      </w:r>
    </w:p>
    <w:p>
      <w:pPr>
        <w:spacing w:after="0" w:line="167"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Account</w:t>
      </w:r>
      <w:r>
        <w:rPr>
          <w:rFonts w:ascii="Times New Roman" w:cs="Times New Roman" w:eastAsia="Times New Roman" w:hAnsi="Times New Roman"/>
          <w:sz w:val="22"/>
          <w:szCs w:val="22"/>
          <w:color w:val="auto"/>
        </w:rPr>
        <w:t>” means any Deposit Account of a Credit Party, any Securities Account of a Credit Party, or any Commodity Account of a Credit Party, in each case, other than an Excluded Account.</w:t>
      </w:r>
    </w:p>
    <w:p>
      <w:pPr>
        <w:spacing w:after="0" w:line="149"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Collateral Documents</w:t>
      </w:r>
      <w:r>
        <w:rPr>
          <w:rFonts w:ascii="Times New Roman" w:cs="Times New Roman" w:eastAsia="Times New Roman" w:hAnsi="Times New Roman"/>
          <w:sz w:val="22"/>
          <w:szCs w:val="22"/>
          <w:color w:val="auto"/>
        </w:rPr>
        <w:t>” means the Security Agreement, the Control Agreements, the IP Agreements, any Mortgages, and all other instruments, documents and agreements delivered by any Credit Party pursuant to this Agreement or any of the other Loan Documents, in each case, in order to grant to Agent in favor and for the benefit of Agent and the other Secured Parties or perfect a Lien on any Collateral as security for the Obligations, and all amendments, restatements, modifications or supplements thereof or thereto.</w:t>
      </w:r>
    </w:p>
    <w:p>
      <w:pPr>
        <w:spacing w:after="0" w:line="17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Commitments</w:t>
      </w:r>
      <w:r>
        <w:rPr>
          <w:rFonts w:ascii="Times New Roman" w:cs="Times New Roman" w:eastAsia="Times New Roman" w:hAnsi="Times New Roman"/>
          <w:sz w:val="22"/>
          <w:szCs w:val="22"/>
          <w:color w:val="auto"/>
        </w:rPr>
        <w:t>” shall mean, with respect to each Lender (to the extent applicable), such Lender’s Initial Term Loan Commitment or Delayed Draw Commitment.</w:t>
      </w:r>
    </w:p>
    <w:p>
      <w:pPr>
        <w:spacing w:after="0" w:line="150"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Commodity Account</w:t>
      </w:r>
      <w:r>
        <w:rPr>
          <w:rFonts w:ascii="Times New Roman" w:cs="Times New Roman" w:eastAsia="Times New Roman" w:hAnsi="Times New Roman"/>
          <w:sz w:val="22"/>
          <w:szCs w:val="22"/>
          <w:color w:val="auto"/>
        </w:rPr>
        <w:t>” means any “commodity account” as defined in the Code with such additions to such term as may hereafter be made.</w:t>
      </w:r>
    </w:p>
    <w:p>
      <w:pPr>
        <w:spacing w:after="0" w:line="150"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Competitor</w:t>
      </w:r>
      <w:r>
        <w:rPr>
          <w:rFonts w:ascii="Times New Roman" w:cs="Times New Roman" w:eastAsia="Times New Roman" w:hAnsi="Times New Roman"/>
          <w:sz w:val="21"/>
          <w:szCs w:val="21"/>
          <w:color w:val="auto"/>
        </w:rPr>
        <w:t>” means, at any time of determination, (i) any direct competitor of Borrower or any of its Subsidiaries primarily operating in the same line of business as Borrower or any of its Subsidiaries identified to Agent and the Blackstone Representative in writing prior to the Closing Date or from time to time after the Closing Date and (ii) any of such competitor’s Affiliates that are either clearly identifiable as an Affiliate of any such competitor on the basis of such Person’s name or identified by name in writing by the Borrower to Agent from time to time. Notwithstanding anything to the contrary contained in this Agreement, (a) Agent shall not be responsible or have any liability for, or have any duty to ascertain, inquire into, monitor or enforce, compliance with the provisions hereof relating to Competitor, (b) the Credit Parties acknowledge and agree that Agent shall have no responsibility or obligation to determine whether any Lender or potential Lender is a Competitor and that Agent shall have no liability with respect to any assignment or participation made to a Competitor and (c) no fund or account operating as part of the credit or insurance division of Blackstone Inc. shall be considered a “Competitor” under this Agreement.</w:t>
      </w:r>
    </w:p>
    <w:p>
      <w:pPr>
        <w:spacing w:after="0" w:line="17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xml:space="preserve">” has the meaning set forth in </w:t>
      </w:r>
      <w:r>
        <w:rPr>
          <w:rFonts w:ascii="Times New Roman" w:cs="Times New Roman" w:eastAsia="Times New Roman" w:hAnsi="Times New Roman"/>
          <w:sz w:val="22"/>
          <w:szCs w:val="22"/>
          <w:u w:val="single" w:color="auto"/>
          <w:color w:val="auto"/>
        </w:rPr>
        <w:t>Section 5.2(c)(i)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Conforming Changes</w:t>
      </w:r>
      <w:r>
        <w:rPr>
          <w:rFonts w:ascii="Times New Roman" w:cs="Times New Roman" w:eastAsia="Times New Roman" w:hAnsi="Times New Roman"/>
          <w:sz w:val="22"/>
          <w:szCs w:val="22"/>
          <w:color w:val="auto"/>
        </w:rPr>
        <w:t>” means, with respect to either the use or administration of Term SOFR or the use, administration, adoption or implementation of any Benchmark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1" w:name="page202"/>
    <w:bookmarkEnd w:id="20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and other technical, administrative or operational matters) that Agent (acting at the direction of the Blackstone Representative and in consultation with Borrower) decide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(acting at the direction of the Blackstone Representative and in consultation with Borrower) determines that no market practice for the administration of any such rate exists, in such other manner of administration as Agent and the Blackstone Representative (in consultation with Borrower) decide is reasonably necessary in connection with the administration of this Agreement and the other Loan Documents).</w:t>
      </w:r>
    </w:p>
    <w:p>
      <w:pPr>
        <w:spacing w:after="0" w:line="181"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49"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Consolidated Revenue</w:t>
      </w:r>
      <w:r>
        <w:rPr>
          <w:rFonts w:ascii="Times New Roman" w:cs="Times New Roman" w:eastAsia="Times New Roman" w:hAnsi="Times New Roman"/>
          <w:sz w:val="22"/>
          <w:szCs w:val="22"/>
          <w:color w:val="auto"/>
        </w:rPr>
        <w:t>” means the gross revenue of Borrower and its Subsidiaries for any applicable four fiscal quarter period from the sale of any Product, determined in conformity with GAAP.</w:t>
      </w:r>
    </w:p>
    <w:p>
      <w:pPr>
        <w:spacing w:after="0" w:line="149"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Consolidated Total Indebtedness</w:t>
      </w:r>
      <w:r>
        <w:rPr>
          <w:rFonts w:ascii="Times New Roman" w:cs="Times New Roman" w:eastAsia="Times New Roman" w:hAnsi="Times New Roman"/>
          <w:sz w:val="22"/>
          <w:szCs w:val="22"/>
          <w:color w:val="auto"/>
        </w:rPr>
        <w:t>” means, as of any date of determination, the aggregate principal amount of Indebtedness of the Borrower and its Subsidiaries at such date in an amount that would be reflected on a balance sheet prepared as of such date, determined on a consolidated basis in accordance with GAAP, excluding (a) Indebtedness consisting of obligations under letters of credit to the extent cash collateralized, (b) obligations under that certain Purchase and Sale Agreement, dated as of December 27, 2023, between the Borrower and Sagard Healthcare Partners Funding Borrower SPE 2, LP and that certain Milestone Rights Purchase Agreement, dated as of July 1, 2013, between the Borrower and the Purchasers thereunder, (c) obligations constituting Acquisition Deferred Payments and (d) obligations in respect of Qualified Equity Interests.</w:t>
      </w:r>
    </w:p>
    <w:p>
      <w:pPr>
        <w:spacing w:after="0" w:line="178" w:lineRule="exact"/>
        <w:rPr>
          <w:sz w:val="20"/>
          <w:szCs w:val="20"/>
          <w:color w:val="auto"/>
        </w:rPr>
      </w:pPr>
    </w:p>
    <w:p>
      <w:pPr>
        <w:jc w:val="both"/>
        <w:ind w:firstLine="1181"/>
        <w:spacing w:after="0" w:line="25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means, for any Person, any direct or indirect liability, contingent or not, of that Person for (a) any indebtedness, lease, dividend, letter of credit or other obligation of another Person directly or indirectly guaranteed, endorsed,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made, discounted or sold with recourse by that Person, or for which that Person is directly or indirectly liable; (b) any obligation for undrawn letters of credit for the account of that Person; or (c) any obligation of that Person to pay an earn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 milestone payment, royalties, purchase price adjustments, profit sharing arrangements or similar contingent or deferred consideration to a counterparty incurred or created in connection with an Acquisition, Transfer, Investment or other sale or disposition, including, with respect to any purchase price holdback in respect of a portion of the purchase price of an asset sold to that Person to satisfy unperformed obligations of the seller of such asset, any obligation to pay such seller the excess of such holdback over such obligations. The amount of a Contingent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jc w:val="both"/>
        <w:spacing w:after="0" w:line="244" w:lineRule="auto"/>
        <w:rPr>
          <w:sz w:val="20"/>
          <w:szCs w:val="20"/>
          <w:color w:val="auto"/>
        </w:rPr>
      </w:pPr>
      <w:r>
        <w:rPr>
          <w:rFonts w:ascii="Times New Roman" w:cs="Times New Roman" w:eastAsia="Times New Roman" w:hAnsi="Times New Roman"/>
          <w:sz w:val="22"/>
          <w:szCs w:val="22"/>
          <w:color w:val="auto"/>
        </w:rPr>
        <w:t>Obligation is the stated or determined amount of the primary obligation for which the Contingent Obligation is made or, if not determinable, the maximum reasonably anticipated liability for it reasonably determined by such Person in good faith; but the amount may not exceed the maximum of the obligations under any guarantee or other support arrangement.</w:t>
      </w:r>
    </w:p>
    <w:p>
      <w:pPr>
        <w:spacing w:after="0" w:line="169" w:lineRule="exact"/>
        <w:rPr>
          <w:sz w:val="20"/>
          <w:szCs w:val="20"/>
          <w:color w:val="auto"/>
        </w:rPr>
      </w:pPr>
    </w:p>
    <w:p>
      <w:pPr>
        <w:jc w:val="both"/>
        <w:ind w:firstLine="1181"/>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 Agreement</w:t>
      </w:r>
      <w:r>
        <w:rPr>
          <w:rFonts w:ascii="Times New Roman" w:cs="Times New Roman" w:eastAsia="Times New Roman" w:hAnsi="Times New Roman"/>
          <w:sz w:val="21"/>
          <w:szCs w:val="21"/>
          <w:color w:val="auto"/>
        </w:rPr>
        <w:t>” means, with respect to any Credit Party, any control agreement entered into among such Credit Party, Agent and, in the case of a Deposit Account, the bank or other depository or financial institution at which such Credit Party maintains such Deposit Account, or, in the case of a Securities Account or a Commodity Account, the securities intermediary or commodity intermediary at which such Credit Party maintain such Securities Account or Commodities Account, in either case, pursuant to which Agent obtains control (within the meaning of the Code) over such Collateral Account.</w:t>
      </w:r>
    </w:p>
    <w:p>
      <w:pPr>
        <w:spacing w:after="0" w:line="163" w:lineRule="exact"/>
        <w:rPr>
          <w:sz w:val="20"/>
          <w:szCs w:val="20"/>
          <w:color w:val="auto"/>
        </w:rPr>
      </w:pPr>
    </w:p>
    <w:p>
      <w:pPr>
        <w:jc w:val="both"/>
        <w:ind w:right="20"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Copyrights</w:t>
      </w:r>
      <w:r>
        <w:rPr>
          <w:rFonts w:ascii="Times New Roman" w:cs="Times New Roman" w:eastAsia="Times New Roman" w:hAnsi="Times New Roman"/>
          <w:sz w:val="22"/>
          <w:szCs w:val="22"/>
          <w:color w:val="auto"/>
        </w:rPr>
        <w:t>”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w:t>
      </w:r>
    </w:p>
    <w:p>
      <w:pPr>
        <w:spacing w:after="0" w:line="16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Extension</w:t>
      </w:r>
      <w:r>
        <w:rPr>
          <w:rFonts w:ascii="Times New Roman" w:cs="Times New Roman" w:eastAsia="Times New Roman" w:hAnsi="Times New Roman"/>
          <w:sz w:val="22"/>
          <w:szCs w:val="22"/>
          <w:color w:val="auto"/>
        </w:rPr>
        <w:t>” means the Initial Term Loans, the Delayed Draw Term Loans or any other extension of credit by Lender for Borrower’s benefit pursuant to this Agreement.</w:t>
      </w:r>
    </w:p>
    <w:p>
      <w:pPr>
        <w:spacing w:after="0" w:line="150"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Facilities</w:t>
      </w:r>
      <w:r>
        <w:rPr>
          <w:rFonts w:ascii="Times New Roman" w:cs="Times New Roman" w:eastAsia="Times New Roman" w:hAnsi="Times New Roman"/>
          <w:sz w:val="22"/>
          <w:szCs w:val="22"/>
          <w:color w:val="auto"/>
        </w:rPr>
        <w:t>” means the Initial Term Loans, the Delayed Draw Commitments and the Incremental Delayed Draw Term Facility.</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Party</w:t>
      </w:r>
      <w:r>
        <w:rPr>
          <w:rFonts w:ascii="Times New Roman" w:cs="Times New Roman" w:eastAsia="Times New Roman" w:hAnsi="Times New Roman"/>
          <w:sz w:val="22"/>
          <w:szCs w:val="22"/>
          <w:color w:val="auto"/>
        </w:rPr>
        <w:t>” means Borrower and each Guarantor.</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Credit Party Minimum Coverage Requirement</w:t>
      </w:r>
      <w:r>
        <w:rPr>
          <w:rFonts w:ascii="Times New Roman" w:cs="Times New Roman" w:eastAsia="Times New Roman" w:hAnsi="Times New Roman"/>
          <w:sz w:val="22"/>
          <w:szCs w:val="22"/>
          <w:color w:val="auto"/>
        </w:rPr>
        <w:t xml:space="preserve">” shall have the meaning set forth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any breach of or default under any term, provision, condition, covenant or agreement contained in this Agreement or any other Loan Document or any other event, in each case that, with the giving of notice or the lapse of time or both, would constitute an Event of Default.</w:t>
      </w:r>
    </w:p>
    <w:p>
      <w:pPr>
        <w:spacing w:after="0" w:line="167"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Defaulting Lender</w:t>
      </w:r>
      <w:r>
        <w:rPr>
          <w:rFonts w:ascii="Times New Roman" w:cs="Times New Roman" w:eastAsia="Times New Roman" w:hAnsi="Times New Roman"/>
          <w:sz w:val="22"/>
          <w:szCs w:val="22"/>
          <w:color w:val="auto"/>
        </w:rPr>
        <w:t>” means any Lender that, as reasonably determined by the Blackstone Representative (a) has refused (which refusal may be given verbally or in writing and has not been retracted) or failed to perform any of its funding obligations hereunder, including in respect of its Term Loans, which refusal or failure is not cured within one Business Day after the date of such refusal or failure, (b) has notified Borrower or Agent that it does not intend to comply with its funding obligations or has made a public statement to that effect with respect to its funding obligations hereunder or under other agreements in which it commits to extend credit, (c) has failed, within three (3) Business Days after request by Agent (at the direction of the Blackstone Representative), to confirm in a manner reasonably satisfactory to the Blackstone Representative that it shall comply with its funding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Agent and Borrower), or (d) has, or has a direct or indirect parent company that has, after the date of this Agreement, (i) become the subject of a proceeding under any liquidation, conservatorship, bankruptcy, assignment for the benefit of creditors, moratorium, rearrangement, receivership,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3" w:name="page204"/>
    <w:bookmarkEnd w:id="203"/>
    <w:p>
      <w:pPr>
        <w:jc w:val="both"/>
        <w:spacing w:after="0" w:line="238" w:lineRule="auto"/>
        <w:rPr>
          <w:sz w:val="20"/>
          <w:szCs w:val="20"/>
          <w:color w:val="auto"/>
        </w:rPr>
      </w:pPr>
      <w:r>
        <w:rPr>
          <w:rFonts w:ascii="Times New Roman" w:cs="Times New Roman" w:eastAsia="Times New Roman" w:hAnsi="Times New Roman"/>
          <w:sz w:val="22"/>
          <w:szCs w:val="22"/>
          <w:color w:val="auto"/>
        </w:rPr>
        <w:t>insolvency, reorganization or similar debtor relief Laws of the United States or other applicable jurisdictions from time to time in effect and affecting the rights of creditors generally, (ii) had a receiver, conservator, trustee, administrator, assignee for the benefit of creditors or similar Person charged with reorganization or liquidation of its business or a custodian appointed for it,</w:t>
      </w:r>
    </w:p>
    <w:p>
      <w:pPr>
        <w:jc w:val="both"/>
        <w:ind w:firstLine="8"/>
        <w:spacing w:after="0" w:line="246" w:lineRule="exact"/>
        <w:tabs>
          <w:tab w:leader="none" w:pos="418" w:val="left"/>
        </w:tabs>
        <w:numPr>
          <w:ilvl w:val="0"/>
          <w:numId w:val="2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taken any action in furtherance of, or indicated its consent to, approval of or acquiescence in any such proceeding or appointment or (iv) become the subject of a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Blackstone Representative that a Lender is a Defaulting Lender under any one or more of clauses (a) through (d) above shall be conclusive and binding absent manifest error, and such Lender shall be deemed to be a Defaulting Lender upon delivery of written notice of such determination to Borrower, Agent and each Lender.</w:t>
      </w:r>
    </w:p>
    <w:p>
      <w:pPr>
        <w:spacing w:after="0" w:line="178" w:lineRule="exact"/>
        <w:rPr>
          <w:rFonts w:ascii="Times New Roman" w:cs="Times New Roman" w:eastAsia="Times New Roman" w:hAnsi="Times New Roman"/>
          <w:sz w:val="22"/>
          <w:szCs w:val="22"/>
          <w:color w:val="auto"/>
        </w:rPr>
      </w:pPr>
    </w:p>
    <w:p>
      <w:pPr>
        <w:jc w:val="both"/>
        <w:ind w:firstLine="118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Delayed Draw Commitment</w:t>
      </w:r>
      <w:r>
        <w:rPr>
          <w:rFonts w:ascii="Times New Roman" w:cs="Times New Roman" w:eastAsia="Times New Roman" w:hAnsi="Times New Roman"/>
          <w:sz w:val="22"/>
          <w:szCs w:val="22"/>
          <w:color w:val="auto"/>
        </w:rPr>
        <w:t xml:space="preserve">” with respect to each Delayed Draw Term Lender, the commitment of each such Delayed Draw Term Lender to make the Delayed Draw Term Loans hereunder in an aggregate amount not to exceed the amount set forth opposite such Delayed Draw Term Lender’s name on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The aggregate amount of the Delayed Draw Term Lenders’ Delayed Draw Commitments on the Closing Date is $125,000,000.</w:t>
      </w:r>
    </w:p>
    <w:p>
      <w:pPr>
        <w:spacing w:after="0" w:line="171" w:lineRule="exact"/>
        <w:rPr>
          <w:rFonts w:ascii="Times New Roman" w:cs="Times New Roman" w:eastAsia="Times New Roman" w:hAnsi="Times New Roman"/>
          <w:sz w:val="22"/>
          <w:szCs w:val="22"/>
          <w:color w:val="auto"/>
        </w:rPr>
      </w:pPr>
    </w:p>
    <w:p>
      <w:pPr>
        <w:ind w:left="11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Delayed Draw Commitment Period</w:t>
      </w:r>
      <w:r>
        <w:rPr>
          <w:rFonts w:ascii="Times New Roman" w:cs="Times New Roman" w:eastAsia="Times New Roman" w:hAnsi="Times New Roman"/>
          <w:sz w:val="22"/>
          <w:szCs w:val="22"/>
          <w:color w:val="auto"/>
        </w:rPr>
        <w:t>” means the period from the Closing Date up to and including August 6,</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2027.</w:t>
      </w:r>
    </w:p>
    <w:p>
      <w:pPr>
        <w:spacing w:after="0" w:line="178" w:lineRule="exact"/>
        <w:rPr>
          <w:rFonts w:ascii="Times New Roman" w:cs="Times New Roman" w:eastAsia="Times New Roman" w:hAnsi="Times New Roman"/>
          <w:sz w:val="22"/>
          <w:szCs w:val="22"/>
          <w:color w:val="auto"/>
        </w:rPr>
      </w:pPr>
    </w:p>
    <w:p>
      <w:pPr>
        <w:jc w:val="both"/>
        <w:ind w:firstLine="118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Delayed Draw Term Lender</w:t>
      </w:r>
      <w:r>
        <w:rPr>
          <w:rFonts w:ascii="Times New Roman" w:cs="Times New Roman" w:eastAsia="Times New Roman" w:hAnsi="Times New Roman"/>
          <w:sz w:val="22"/>
          <w:szCs w:val="22"/>
          <w:color w:val="auto"/>
        </w:rPr>
        <w:t>” means the Persons holding Delayed Draw Commitments and/or Delayed Draw Term Loans and any other Person that shall have become party hereto holding Delayed Draw Commitments and/or Delayed Draw Term Loans pursuant to an Assignment and Assumption, other than any such Person that ceases to be a party hereto holding Delayed Draw Commitments and/or Delayed Draw Term Loans pursuant to an Assignment and Assumption.</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Delayed Draw Term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 Account</w:t>
      </w:r>
      <w:r>
        <w:rPr>
          <w:rFonts w:ascii="Times New Roman" w:cs="Times New Roman" w:eastAsia="Times New Roman" w:hAnsi="Times New Roman"/>
          <w:sz w:val="22"/>
          <w:szCs w:val="22"/>
          <w:color w:val="auto"/>
        </w:rPr>
        <w:t>” means any “deposit account” as defined in the Code with such additions to such term as may hereafter be made.</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Letter</w:t>
      </w:r>
      <w:r>
        <w:rPr>
          <w:rFonts w:ascii="Times New Roman" w:cs="Times New Roman" w:eastAsia="Times New Roman" w:hAnsi="Times New Roman"/>
          <w:sz w:val="22"/>
          <w:szCs w:val="22"/>
          <w:color w:val="auto"/>
        </w:rPr>
        <w:t>” means the disclosure letter, dated as of the Closing Date, delivered by the Credit Parties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78" w:lineRule="exact"/>
        <w:rPr>
          <w:sz w:val="20"/>
          <w:szCs w:val="20"/>
          <w:color w:val="auto"/>
        </w:rPr>
      </w:pPr>
    </w:p>
    <w:p>
      <w:pPr>
        <w:jc w:val="both"/>
        <w:ind w:firstLine="1181"/>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Equity Interest</w:t>
      </w:r>
      <w:r>
        <w:rPr>
          <w:rFonts w:ascii="Times New Roman" w:cs="Times New Roman" w:eastAsia="Times New Roman" w:hAnsi="Times New Roman"/>
          <w:sz w:val="21"/>
          <w:szCs w:val="21"/>
          <w:color w:val="auto"/>
        </w:rPr>
        <w:t>” means any Equity Interest that, by its terms (or by the terms of any security or other Equity Interest into which it is convertible or for which it is exchangeable), or upon the happening of any event or condition</w:t>
      </w:r>
    </w:p>
    <w:p>
      <w:pPr>
        <w:jc w:val="both"/>
        <w:ind w:firstLine="8"/>
        <w:spacing w:after="0" w:line="235" w:lineRule="auto"/>
        <w:tabs>
          <w:tab w:leader="none" w:pos="308"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Qualified Equity Interests and cash in lieu of fractional shares), pursuant to a sinking fund obligation or otherwise (except as a result of a change of control, asset sale or similar event so long as any rights of the holders thereof upon the occurrence of a change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4" w:name="page205"/>
    <w:bookmarkEnd w:id="204"/>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of control, asset sale or similar event shall be subject to the prior repayment in full in cash of the Term Loans and all other Obligations that are accrued and payable and the termination of the Commitments), (b) is redeemable at the option of the holder thereof (other than (i) solely for Qualified Equity Interests or (ii) as a result of a change of control, asset sale or similar event so long as any rights of the holders thereof upon the occurrence of a change of control, asset sale or similar event shall be subject to the prior repayment in full in cash of the Term Loans and all other Obligations that are accrued and payable and the termination of the Commitments), in whole or in part, (c) provides for scheduled payments of dividends in cash or other distributions in cash or other assets other than Qualified Equity Interests or (d) is or becomes convertible into or exchangeable for Indebtedness or any other Equity Interests that would constitute Disqualified Equity Interests, in each case, prior to the date that is 181 days after the Term Loan Maturity Date at the time of issuance of such Equity Interests;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such Equity Interests are issued pursuant to a plan for the benefit of employees of Borrower or any Subsidiary or by any such plan to such employees, such Equity Interests shall not constitute Disqualified Equity Interests solely because they may be required to be repurchased by Borrower or its Subsidiaries in order to satisfy applicable statutory or regulatory obligations or as a result of such employee’s termination, death or disability.</w:t>
      </w:r>
    </w:p>
    <w:p>
      <w:pPr>
        <w:spacing w:after="0" w:line="178" w:lineRule="exact"/>
        <w:rPr>
          <w:sz w:val="20"/>
          <w:szCs w:val="20"/>
          <w:color w:val="auto"/>
        </w:rPr>
      </w:pPr>
    </w:p>
    <w:p>
      <w:pPr>
        <w:jc w:val="both"/>
        <w:ind w:firstLine="1181"/>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Institution</w:t>
      </w:r>
      <w:r>
        <w:rPr>
          <w:rFonts w:ascii="Times New Roman" w:cs="Times New Roman" w:eastAsia="Times New Roman" w:hAnsi="Times New Roman"/>
          <w:sz w:val="21"/>
          <w:szCs w:val="21"/>
          <w:color w:val="auto"/>
        </w:rPr>
        <w:t>” means, on any date, (a) certain banks, financial institutions, other institutional lenders and investors and other entities that were designated in writing to Agent and the Lenders by Borrower as a Disqualified Institution on or prior to the Closing Date, (b) certain banks, financial institutions, other institutional lenders and investors and other entities that are from time to time after the Closing Date designated in writing to Agent and the Lenders by Borrower as a Disqualified Institution (with such updates to occur (i) so long as no Event of Default shall have occurred and be continuing and</w:t>
      </w:r>
    </w:p>
    <w:p>
      <w:pPr>
        <w:jc w:val="both"/>
        <w:ind w:firstLine="8"/>
        <w:spacing w:after="0" w:line="231" w:lineRule="auto"/>
        <w:tabs>
          <w:tab w:leader="none" w:pos="329"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consent of the Blackstone Representative, not to be unreasonably withheld, conditioned or delayed) and (c) as to any Disqualified Institution referenced in clause (a) or (b) above, such Disqualified Institution’s Affiliates that are either clearly identifiable as an Affiliate of any such Disqualified Institution on the basis of such Person’s name or identified by name in writing by Borrower to Agent from time to time. Agent shall not (x) be obligated to ascertain, monitor or inquire as to whether any Lender or participant or prospective Lender or participant is a Disqualified Institution or (y) have any liability with respect to or arising out of any assignment or participation of Loans, or disclosure of Confidential Information, to any Disqualified Institution. For the avoidance of doubt, (1) any designation of a Person as a Disqualified Institution after the Closing Date will not apply retroactively to disqualify the transfer of an interest in the Commitments or Loans, as applicable, that was effective prior to the effective date of such designation, and (2) “Disqualified Institutions” shall exclude any person that Borrower has designated as no longer being a “Disqualified Institution” by written notice delivered to Agent. Notwithstanding the foregoing, in no event shall any fund or account operating as part of the credit or insurance division of Blackstone Inc. constitute a Disqualified Institution.</w:t>
      </w:r>
    </w:p>
    <w:p>
      <w:pPr>
        <w:spacing w:after="0" w:line="182" w:lineRule="exact"/>
        <w:rPr>
          <w:rFonts w:ascii="Times New Roman" w:cs="Times New Roman" w:eastAsia="Times New Roman" w:hAnsi="Times New Roman"/>
          <w:sz w:val="22"/>
          <w:szCs w:val="22"/>
          <w:color w:val="auto"/>
        </w:rPr>
      </w:pPr>
    </w:p>
    <w:p>
      <w:pPr>
        <w:jc w:val="both"/>
        <w:ind w:right="20" w:firstLine="118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or use of the sign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only lawful money of the United States and not any other currency, regardless of whether that currency uses the “$” sign to denote its currency or may be readily converted into lawful money of the United States.</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EEA Member Country</w:t>
      </w:r>
      <w:r>
        <w:rPr>
          <w:rFonts w:ascii="Times New Roman" w:cs="Times New Roman" w:eastAsia="Times New Roman" w:hAnsi="Times New Roman"/>
          <w:sz w:val="22"/>
          <w:szCs w:val="22"/>
          <w:color w:val="auto"/>
        </w:rPr>
        <w:t>” means any member state of the European Union, Iceland, Liechtenstein, and Norway.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5" w:name="page206"/>
    <w:bookmarkEnd w:id="205"/>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Employee Benefit Plan</w:t>
      </w:r>
      <w:r>
        <w:rPr>
          <w:rFonts w:ascii="Times New Roman" w:cs="Times New Roman" w:eastAsia="Times New Roman" w:hAnsi="Times New Roman"/>
          <w:sz w:val="22"/>
          <w:szCs w:val="22"/>
          <w:color w:val="auto"/>
        </w:rPr>
        <w:t>” means any employee benefit plan, as defined in Section 3(3) of ERISA, maintained for employees of Borrower or any of its Subsidiaries, or any such plan to which Borrower or any of its Subsidiaries contributes or is required to contribute, or with respect to which Borrower or any of its Subsidiaries has any liability.</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Environmental Claim</w:t>
      </w:r>
      <w:r>
        <w:rPr>
          <w:rFonts w:ascii="Times New Roman" w:cs="Times New Roman" w:eastAsia="Times New Roman" w:hAnsi="Times New Roman"/>
          <w:sz w:val="22"/>
          <w:szCs w:val="22"/>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177"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any and all current or future, foreign or domestic, statutes, ordinances, orders, rules, regulations, judgments, Governmental Approvals, or any other requirements of Governmental Authorities relating to (i) pollution or protection of the environmental matters, including matters relating to any Hazardous Materials Activity; (ii) the generation, use, storage, treatment, transportation or disposal of Hazardous Materials; or (iii) occupational safety and health, industrial hygiene, land use or the protection of human, plant or animal health or welfare, in each case, in any manner applicable to any Credit Party or any of its Subsidiaries or any Facility.</w:t>
      </w:r>
    </w:p>
    <w:p>
      <w:pPr>
        <w:spacing w:after="0" w:line="175"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xml:space="preserve">”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Equity Interests shall not include any Permitted Convertible Bond Indebtedness.</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as amended and regulations issued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thereunder.</w:t>
      </w:r>
    </w:p>
    <w:p>
      <w:pPr>
        <w:spacing w:after="0" w:line="178"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means, with respect to any Person, any trade or business (whether or not incorporated) that, together with such Person, is, or within the last six (6) years was, treated as a single employer under Section 414 of the IRC or Section 4001 of ERISA.</w:t>
      </w:r>
    </w:p>
    <w:p>
      <w:pPr>
        <w:spacing w:after="0" w:line="167" w:lineRule="exact"/>
        <w:rPr>
          <w:sz w:val="20"/>
          <w:szCs w:val="20"/>
          <w:color w:val="auto"/>
        </w:rPr>
      </w:pPr>
    </w:p>
    <w:p>
      <w:pPr>
        <w:jc w:val="both"/>
        <w:ind w:firstLine="1181"/>
        <w:spacing w:after="0" w:line="25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 Event</w:t>
      </w:r>
      <w:r>
        <w:rPr>
          <w:rFonts w:ascii="Times New Roman" w:cs="Times New Roman" w:eastAsia="Times New Roman" w:hAnsi="Times New Roman"/>
          <w:sz w:val="22"/>
          <w:szCs w:val="22"/>
          <w:color w:val="auto"/>
        </w:rPr>
        <w:t xml:space="preserve"> ” means (a) any “reportable event,” as defined in Section 4043 of ERISA or the regulations issued thereunder, with respect to a Plan (other than an event for which the 30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day notice period is waived by regulation); (b) a Plan is in “at risk” status (as defined in Section 430 of the IRC or Section 303 of ERISA); (c) with respect to a Plan, the failure to satisfy the minimum funding standard of Section 412 of the IRC and Section 302 of ERISA, whether or not waived; (d) the failure to make by its due date a required installment under Section 430(j) of the IRC with respect to any Plan or the failure to make any required contribution to a Multiemployer Plan; (e) the filing pursuant to Section 412(c) of the IRC or Section 302(c) of ERISA of an application for a waiver of the minimum funding standard with respect to any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6" w:name="page207"/>
    <w:bookmarkEnd w:id="206"/>
    <w:p>
      <w:pPr>
        <w:jc w:val="both"/>
        <w:ind w:firstLine="8"/>
        <w:spacing w:after="0" w:line="244" w:lineRule="auto"/>
        <w:tabs>
          <w:tab w:leader="none" w:pos="287"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incurrence by Borrower or its Subsidiaries or any of their respective ERISA Affiliates of any liability under Title IV of ERISA with respect to the termination of any Plan; (g) the receipt by Borrower or its Subsidiaries or any of their respective ERISA Affiliates from the Pension Benefit Guaranty Corporation (referred to and defined in ERISA) or a plan administrator of any notice relating to the intention to terminate any Plan or Plans or to appoint a trustee to administer any Plan, or the occurrence of any event or condition which would reasonably be expected to constitute grounds under ERISA for the termination of, or the appointment of a trustee to administer, any Plan; (h) the incurrence, or the reasonable likelihood of incurrence, by Borrower or its Subsidiaries or any of their respective ERISA Affiliates of any liability with respect to the withdrawal from any Plan or Multiemployer Plan; (i) the receipt by Borrower or its Subsidiaries or any of their respective ERISA Affiliates of any notice, concerning the imposition of Withdrawal Liability or a determination that a Multiemployer Plan is, or is expected to be, insolvent, or in endangered, critical or critical and declining status, in each case, within the meaning of Title IV of ERISA; (j) the “substantial cessation of operations” within the meaning of Section 4062(e) of ERISA with respect to a Plan; (k) the imposition on account of any Plan of a lien under the IRC or ERISA on the assets of Borrower or its Subsidiaries or any of their respective ERISA Affiliates, or notification to Borrower or its Subsidiaries or any of their respective ERISA Affiliates that such a lien shall be imposed, or the posting of a bond or other security in lieu thereof; (l) the occurrence of an event, circumstance, transaction or failure which results in, or which would reasonably be expected to result in, material liability to a Credit Party or Subsidiary under Title I of ERISA or a material tax under any of Sections 4971 through 5000 of the IRC.</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Return Deficiency</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Erroneous Payment Subrogation Rights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12.15(d)</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ind w:firstLine="1181"/>
        <w:spacing w:after="0" w:line="287"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EU Bail</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In Legislation Schedule</w:t>
      </w:r>
      <w:r>
        <w:rPr>
          <w:rFonts w:ascii="Times New Roman" w:cs="Times New Roman" w:eastAsia="Times New Roman" w:hAnsi="Times New Roman"/>
          <w:sz w:val="22"/>
          <w:szCs w:val="22"/>
          <w:color w:val="auto"/>
        </w:rPr>
        <w:t>” means the document described as such and published by the Loan Market Association (or any successor person) from time to time.</w:t>
      </w:r>
    </w:p>
    <w:p>
      <w:pPr>
        <w:spacing w:after="0" w:line="17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Loss</w:t>
      </w:r>
      <w:r>
        <w:rPr>
          <w:rFonts w:ascii="Times New Roman" w:cs="Times New Roman" w:eastAsia="Times New Roman" w:hAnsi="Times New Roman"/>
          <w:sz w:val="22"/>
          <w:szCs w:val="22"/>
          <w:color w:val="auto"/>
        </w:rPr>
        <w:t>” means, with respect to any property or asset, any of the following: (a) any loss, destruction or damage of such property or asset; or (b) any condemnation, seizure or taking, by exercise of the power of eminent domain or otherwise, of such property or asset, or confiscation of such property or asset or the requisition of the use of such property or asset.</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Securities Exchange Act of 1934.</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 Documents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Accounts</w:t>
      </w:r>
      <w:r>
        <w:rPr>
          <w:rFonts w:ascii="Times New Roman" w:cs="Times New Roman" w:eastAsia="Times New Roman" w:hAnsi="Times New Roman"/>
          <w:sz w:val="22"/>
          <w:szCs w:val="22"/>
          <w:color w:val="auto"/>
        </w:rPr>
        <w:t xml:space="preserve">” means (i) Deposit Accounts exclusively used for payroll, payroll Taxes and other employee wage and benefit payments to or for the benefit of any Credit Party’s employees;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payroll accounts, the amounts in such accounts shall not exceed the amount necessary for the applicable Credit Party to fully fund its next two complete payroll cycles in the ordinary course and such minimum amount as may be required by any applicable Law or as customary by the applicable financial institution with respect to such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jc w:val="both"/>
        <w:spacing w:after="0" w:line="235" w:lineRule="auto"/>
        <w:rPr>
          <w:sz w:val="20"/>
          <w:szCs w:val="20"/>
          <w:color w:val="auto"/>
        </w:rPr>
      </w:pPr>
      <w:r>
        <w:rPr>
          <w:rFonts w:ascii="Times New Roman" w:cs="Times New Roman" w:eastAsia="Times New Roman" w:hAnsi="Times New Roman"/>
          <w:sz w:val="22"/>
          <w:szCs w:val="22"/>
          <w:color w:val="auto"/>
        </w:rPr>
        <w:t>account, (ii) zero balance accounts swept no less frequently than weekly to Collateral Accounts of the Credit Parties which are subject to a Control Agreement, (iii) accounts (including trust accounts) used exclusively for escrow, customs, insurance or fiduciary purposes, (iv) accounts used exclusively for compliance with any Requirements of Law to the extent such Requirements of Law prohibit the granting of a Lien thereon, (v) accounts which constitute cash collateral in respect of a Permitted Lien (but only to the extent of the Permitted Indebtedness permitted to be secured by such Permitted Lien hereunder), and (vi) any account, the cash balance of which does not exceed $500,000 individually or $1,000,000 in the aggregate with respect to all such accounts under this clause (vi) at any time.</w:t>
      </w:r>
    </w:p>
    <w:p>
      <w:pPr>
        <w:spacing w:after="0" w:line="17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Property</w:t>
      </w:r>
      <w:r>
        <w:rPr>
          <w:rFonts w:ascii="Times New Roman" w:cs="Times New Roman" w:eastAsia="Times New Roman" w:hAnsi="Times New Roman"/>
          <w:sz w:val="22"/>
          <w:szCs w:val="22"/>
          <w:color w:val="auto"/>
        </w:rPr>
        <w:t>” is defined in the Security Agreement.</w:t>
      </w:r>
    </w:p>
    <w:p>
      <w:pPr>
        <w:spacing w:after="0" w:line="206"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Subsidiaries</w:t>
      </w:r>
      <w:r>
        <w:rPr>
          <w:rFonts w:ascii="Times New Roman" w:cs="Times New Roman" w:eastAsia="Times New Roman" w:hAnsi="Times New Roman"/>
          <w:sz w:val="22"/>
          <w:szCs w:val="22"/>
          <w:color w:val="auto"/>
        </w:rPr>
        <w:t xml:space="preserve">” means, collectively, (i) any Subsidiary with respect to which the grant to Agent in favor and for the benefit of Agent and the other Secured Parties of a security interest in and Lien upon, and the pledge to Agent in favor and for the benefit of Agent and the other Secured Parties of, such Subsidiary’s properties and assets subject or purported to be subject from time to time to a Lien under any Collateral Document to secure the Obligations (and any guaranty thereof) are validly prohibited by Requirements of Law; (ii) subject to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 any Immaterial Subsidiary; (iii) any other Subsidiary with respect to which, Borrower and the Blackstone Representative reasonably determine by mutual agreement that the cost of granting Agent in favor and for the benefit of Agent and the other Secured Parties a security interest in and Lien upon, and pledging to Agent in favor and for the benefit of Agent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Subsidiary Conversion</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5.18</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xml:space="preserve">” means any of the following Taxes imposed on or with respect to Agent or a Lender or required to be withheld or deducted from a payment to Agent or a Lender, (a) Taxes imposed on or measured by net income (however denominated), franchise Taxes, and branch profits Taxes, in each case, (i) imposed as a result of Agent or such Lender being organized under the laws of, or having its principal office or other permanent establishment or, in the case of any Lender, its applicable lending office located in or in which it is treated as resident for Tax purposes, the jurisdiction imposing such Tax (or any political subdivision thereof) or (ii) that are Other Connection Taxes, (b) in the case of a Lender, U.S. federal withholding Taxes imposed on amounts payable to or for the account of such Lender with respect to any Obligation pursuant to a law in effect on the date on which (i) such Lender acquires an interest in such Obligation (other than pursuant to an assignment request by the Borrower under </w:t>
      </w:r>
      <w:r>
        <w:rPr>
          <w:rFonts w:ascii="Times New Roman" w:cs="Times New Roman" w:eastAsia="Times New Roman" w:hAnsi="Times New Roman"/>
          <w:sz w:val="21"/>
          <w:szCs w:val="21"/>
          <w:u w:val="single" w:color="auto"/>
          <w:color w:val="auto"/>
        </w:rPr>
        <w:t>Section 2.11(b))</w:t>
      </w:r>
      <w:r>
        <w:rPr>
          <w:rFonts w:ascii="Times New Roman" w:cs="Times New Roman" w:eastAsia="Times New Roman" w:hAnsi="Times New Roman"/>
          <w:sz w:val="21"/>
          <w:szCs w:val="21"/>
          <w:color w:val="auto"/>
        </w:rPr>
        <w:t xml:space="preserve"> or (ii) such Lender changes its lending office, except in each case to the extent that,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Agent’s or a Lender’s failure to comply with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and (d) any withholding Taxes imposed under FATCA.</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8" w:name="page209"/>
    <w:bookmarkEnd w:id="208"/>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Facility</w:t>
      </w:r>
      <w:r>
        <w:rPr>
          <w:rFonts w:ascii="Times New Roman" w:cs="Times New Roman" w:eastAsia="Times New Roman" w:hAnsi="Times New Roman"/>
          <w:sz w:val="22"/>
          <w:szCs w:val="22"/>
          <w:color w:val="auto"/>
        </w:rPr>
        <w:t>”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w:t>
      </w:r>
    </w:p>
    <w:p>
      <w:pPr>
        <w:spacing w:after="0" w:line="167" w:lineRule="exact"/>
        <w:rPr>
          <w:sz w:val="20"/>
          <w:szCs w:val="20"/>
          <w:color w:val="auto"/>
        </w:rPr>
      </w:pPr>
    </w:p>
    <w:p>
      <w:pPr>
        <w:jc w:val="both"/>
        <w:ind w:firstLine="1181"/>
        <w:spacing w:after="0" w:line="25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IRC, as of the date of this Agreement (or any amended or successor version that is substantively comparable and not materially more onerous to comply with), any current or future regulations promulgated thereunder or official interpretations thereof, any agreements entered into pursuant to Section 1471(b)(1) of the IRC, and any fiscal or regulatory legislation, regulations, rules or practices adopted pursuant to any intergovernmental agreement, treaty, or convention among Governmental Authorities and implementing such Sections of the IRC.</w:t>
      </w:r>
    </w:p>
    <w:p>
      <w:pPr>
        <w:spacing w:after="0" w:line="16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FCPA</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United States Food and Drug Administration (and any foreign equivalent, including the European Medicines Agency).</w:t>
      </w:r>
    </w:p>
    <w:p>
      <w:pPr>
        <w:spacing w:after="0" w:line="149"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Federal Funds Rate</w:t>
      </w:r>
      <w:r>
        <w:rPr>
          <w:rFonts w:ascii="Times New Roman" w:cs="Times New Roman" w:eastAsia="Times New Roman" w:hAnsi="Times New Roman"/>
          <w:sz w:val="22"/>
          <w:szCs w:val="22"/>
          <w:color w:val="auto"/>
        </w:rPr>
        <w:t>” means for any day, the rate per annum equal to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Federal Reserve Board</w:t>
      </w:r>
      <w:r>
        <w:rPr>
          <w:rFonts w:ascii="Times New Roman" w:cs="Times New Roman" w:eastAsia="Times New Roman" w:hAnsi="Times New Roman"/>
          <w:sz w:val="22"/>
          <w:szCs w:val="22"/>
          <w:color w:val="auto"/>
        </w:rPr>
        <w:t>” means the Board of Governors of the Federal Reserve System.</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Floor</w:t>
      </w:r>
      <w:r>
        <w:rPr>
          <w:rFonts w:ascii="Times New Roman" w:cs="Times New Roman" w:eastAsia="Times New Roman" w:hAnsi="Times New Roman"/>
          <w:sz w:val="22"/>
          <w:szCs w:val="22"/>
          <w:color w:val="auto"/>
        </w:rPr>
        <w:t>” means a rate of interest equal to 2.00%.</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Lender</w:t>
      </w:r>
      <w:r>
        <w:rPr>
          <w:rFonts w:ascii="Times New Roman" w:cs="Times New Roman" w:eastAsia="Times New Roman" w:hAnsi="Times New Roman"/>
          <w:sz w:val="22"/>
          <w:szCs w:val="22"/>
          <w:color w:val="auto"/>
        </w:rPr>
        <w:t>” means (a Lender that is not a U.S. Person.</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Fraudulent Transfer Laws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Funding Date</w:t>
      </w:r>
      <w:r>
        <w:rPr>
          <w:rFonts w:ascii="Times New Roman" w:cs="Times New Roman" w:eastAsia="Times New Roman" w:hAnsi="Times New Roman"/>
          <w:sz w:val="22"/>
          <w:szCs w:val="22"/>
          <w:color w:val="auto"/>
        </w:rPr>
        <w:t xml:space="preserve">” means, with respect to any Commitment, the date on which the applicable conditions precedent set forth in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have been satisfied or waived in accordance with the terms of this Agreement (or such later date as agreed to by the Blackstone Representative) and a Borrowing is made in respect of such Commitment.</w:t>
      </w:r>
    </w:p>
    <w:p>
      <w:pPr>
        <w:spacing w:after="0" w:line="16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Funding Direction Letter</w:t>
      </w:r>
      <w:r>
        <w:rPr>
          <w:rFonts w:ascii="Times New Roman" w:cs="Times New Roman" w:eastAsia="Times New Roman" w:hAnsi="Times New Roman"/>
          <w:sz w:val="22"/>
          <w:szCs w:val="22"/>
          <w:color w:val="auto"/>
        </w:rPr>
        <w:t>” means that certain Funding Direction Letter, dated as of the date hereof, directing Agent to distribute the proceeds of the Term Loans made on the Closing Date in accordance with the funds flow memorandum attached thereto.</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as in effect from time to time, set forth in the opinions and pronouncements of the Accounting Principles Board and the American Institute of Certified Public Accountants, in the statements and pronouncements of the Financial Accounting Standards Board (or agencies with similar functions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9" w:name="page210"/>
    <w:bookmarkEnd w:id="209"/>
    <w:p>
      <w:pPr>
        <w:spacing w:after="0" w:line="258" w:lineRule="auto"/>
        <w:rPr>
          <w:sz w:val="20"/>
          <w:szCs w:val="20"/>
          <w:color w:val="auto"/>
        </w:rPr>
      </w:pPr>
      <w:r>
        <w:rPr>
          <w:rFonts w:ascii="Times New Roman" w:cs="Times New Roman" w:eastAsia="Times New Roman" w:hAnsi="Times New Roman"/>
          <w:sz w:val="22"/>
          <w:szCs w:val="22"/>
          <w:color w:val="auto"/>
        </w:rPr>
        <w:t>and comparable stature and authority within the accounting profession) that are applicable to the circumstances as of the date of determination.</w:t>
      </w:r>
    </w:p>
    <w:p>
      <w:pPr>
        <w:spacing w:after="0" w:line="154"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Governmental Approval</w:t>
      </w:r>
      <w:r>
        <w:rPr>
          <w:rFonts w:ascii="Times New Roman" w:cs="Times New Roman" w:eastAsia="Times New Roman" w:hAnsi="Times New Roman"/>
          <w:sz w:val="22"/>
          <w:szCs w:val="22"/>
          <w:color w:val="auto"/>
        </w:rPr>
        <w:t>” means any consent, authorization, approval, order, license, franchise, permit, certificate, accreditation, registration, filing or notice, of, issued or required by, from or to, or other act by or in respect of, any Governmental Authority.</w:t>
      </w:r>
    </w:p>
    <w:p>
      <w:pPr>
        <w:spacing w:after="0" w:line="167" w:lineRule="exact"/>
        <w:rPr>
          <w:sz w:val="20"/>
          <w:szCs w:val="20"/>
          <w:color w:val="auto"/>
        </w:rPr>
      </w:pPr>
    </w:p>
    <w:p>
      <w:pPr>
        <w:jc w:val="both"/>
        <w:ind w:firstLine="1181"/>
        <w:spacing w:after="0" w:line="265"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nation or government, any state or other political subdivision thereof, any agency, government department, authority, instrumentality, regulatory body, court, central bank or other entity exercising executive, legislative, judicial, taxing, regulatory or administrative functions of or pertaining to government, any securities exchange and any self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regulatory organization.</w:t>
      </w:r>
    </w:p>
    <w:p>
      <w:pPr>
        <w:spacing w:after="0" w:line="143" w:lineRule="exact"/>
        <w:rPr>
          <w:sz w:val="20"/>
          <w:szCs w:val="20"/>
          <w:color w:val="auto"/>
        </w:rPr>
      </w:pPr>
    </w:p>
    <w:p>
      <w:pPr>
        <w:jc w:val="both"/>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Payor Programs</w:t>
      </w:r>
      <w:r>
        <w:rPr>
          <w:rFonts w:ascii="Times New Roman" w:cs="Times New Roman" w:eastAsia="Times New Roman" w:hAnsi="Times New Roman"/>
          <w:sz w:val="22"/>
          <w:szCs w:val="22"/>
          <w:color w:val="auto"/>
        </w:rPr>
        <w:t>” means all federal health care programs (as defined in 42 USC § 1320a-7b(f)), including Medicare, Medicaid, TRICARE or any other federal or state health care programs.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Guaranteed Obligations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means each Subsidiary of Borrower, other than any Excluded Subsidiary.</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Guaranty</w:t>
      </w:r>
      <w:r>
        <w:rPr>
          <w:rFonts w:ascii="Times New Roman" w:cs="Times New Roman" w:eastAsia="Times New Roman" w:hAnsi="Times New Roman"/>
          <w:sz w:val="21"/>
          <w:szCs w:val="21"/>
          <w:color w:val="auto"/>
        </w:rPr>
        <w:t>” means the guaranty of the Guaranteed Obligations made by Guarantors as set forth in this Agreement.</w:t>
      </w:r>
    </w:p>
    <w:p>
      <w:pPr>
        <w:spacing w:after="0" w:line="218"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Materials</w:t>
      </w:r>
      <w:r>
        <w:rPr>
          <w:rFonts w:ascii="Times New Roman" w:cs="Times New Roman" w:eastAsia="Times New Roman" w:hAnsi="Times New Roman"/>
          <w:sz w:val="22"/>
          <w:szCs w:val="22"/>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Hazardous Materials Activity</w:t>
      </w:r>
      <w:r>
        <w:rPr>
          <w:rFonts w:ascii="Times New Roman" w:cs="Times New Roman" w:eastAsia="Times New Roman" w:hAnsi="Times New Roman"/>
          <w:sz w:val="22"/>
          <w:szCs w:val="22"/>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177" w:lineRule="exact"/>
        <w:rPr>
          <w:sz w:val="20"/>
          <w:szCs w:val="20"/>
          <w:color w:val="auto"/>
        </w:rPr>
      </w:pPr>
    </w:p>
    <w:p>
      <w:pPr>
        <w:jc w:val="both"/>
        <w:ind w:firstLine="1181"/>
        <w:spacing w:after="0" w:line="24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Health Care Laws</w:t>
      </w:r>
      <w:r>
        <w:rPr>
          <w:rFonts w:ascii="Times New Roman" w:cs="Times New Roman" w:eastAsia="Times New Roman" w:hAnsi="Times New Roman"/>
          <w:sz w:val="22"/>
          <w:szCs w:val="22"/>
          <w:color w:val="auto"/>
        </w:rPr>
        <w:t>” means, collectively, all Requirements of Laws relating to the health care activities applicable to any Credit Party, including: (a) the Federal Food, Drug, and Cosmetic Act (21 U.S.C. §§ 301 et seq.), (b) the Public Health Service Act (42 U.S.C. §§ 262 et. seq); (c) Medicare (Title XVIII of the Social Security Act), Medicaid (Title XIX of the Social Security Act) and any and all federal, state or local laws, rules, regulations, orders, ordinances, statutes and requirements issued under or in connection with Medicare, Medicaid or any other Government Payor Program; (d) federal and state laws and regulations governing the confidentiality of patient information, including HIPAA; (e) accreditation standards and requirements of all applicable state laws or regulatory bodies; (f) any and all federal, state and local fraud and abuse, anti-kickback and false claims laws of any Governmental Authority, including the federal Anti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Kickback Statute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7(b)), the civil False Claims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0" w:name="page211"/>
    <w:bookmarkEnd w:id="210"/>
    <w:p>
      <w:pPr>
        <w:jc w:val="both"/>
        <w:spacing w:after="0" w:line="249" w:lineRule="exact"/>
        <w:rPr>
          <w:sz w:val="20"/>
          <w:szCs w:val="20"/>
          <w:color w:val="auto"/>
        </w:rPr>
      </w:pPr>
      <w:r>
        <w:rPr>
          <w:rFonts w:ascii="Times New Roman" w:cs="Times New Roman" w:eastAsia="Times New Roman" w:hAnsi="Times New Roman"/>
          <w:sz w:val="22"/>
          <w:szCs w:val="22"/>
          <w:color w:val="auto"/>
        </w:rPr>
        <w:t>(31 U.S.C. § 3729 et seq.), the criminal False Claims Act (42 U.S.C. § 1320a-7b(a)), the exclusion law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 the civil monetary penalties law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7a), the Program Fraud Civil Remedies Act of 1986 (31 U.S.C. §§ 3801-3812), the Anti-Inducement Law (42 U.S.C. § 1320a-7a(a)(5)), applicable criminal laws relating to health care fraud and abuse, including, 18 U.S.C. §§ 286, 287 and 1001 and the regulations promulgated pursuant to such statutes; (g) the Medicare Prescription Drug, Improvement, and Modernization Act of 2003 (Pub. L. No. 108</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173) and the regulations promulgated thereunder; (h) the Physician Payment Sunshine Act (42 U.S.C. § 1320a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7h); (i) all reporting and disclosure requirements, government contracting, and the processing of any applicable rebate, chargeback or adjustment, including under the Medicaid Drug Rebate Program (e.g., Monthly and Quarterly Average Manufacturer Price, Baseline Average Manufacturer Price, and Rebate Per Unit, as applicable), Medicare Part B (Quarterly Average Sales Price), Section 602 of the Veteran’s Health Care Act (Public Health Service 340B Quarterly Ceiling Price), Section 603 of the Veteran’s Health Care Act (Quarterly and Annual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Federal Average Manufacturer Price and Federal Ceiling Price), Best Price, Federal Supply Schedule Contract Prices and Tricare Retail Pharmacy Refunds, and Medicare Part D and state laws related to price disclosure; (j) the Inflation Reduction Act of 2022 (Public Law 117-169); (k) the Controlled Substances Act (21 U.S.C. § 801, et seq.) and, along with the requirements of the U.S. Drug Enforcement Administration in connection therewith and any similar state laws governing the prescribing or dispensing of controlled substances; (l) all other applicable health care laws, rules, codes, statutes, regulations, manuals, orders, ordinances, policies, administrative guidance and requirements having the effect of law pertaining to Medicare or Medicaid; in each case; (m) any and all federal, state or local laws, rules, regulations, ordinances, statutes and requirements relating to the billing, coding, documentation, reimbursement or payment for, any healthcare products, services and items, including the Product; and (n) any and all state and foreign health care laws, rules, codes, regulations, manuals, orders, ordinances, statutes, guidelines, requirements and policies which, in each case, are analogous to any of the foregoing and applicable to any Credit Party or any of its Subsidiaries in any manner.</w:t>
      </w:r>
    </w:p>
    <w:p>
      <w:pPr>
        <w:spacing w:after="0" w:line="193"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Hedging Agreement</w:t>
      </w:r>
      <w:r>
        <w:rPr>
          <w:rFonts w:ascii="Times New Roman" w:cs="Times New Roman" w:eastAsia="Times New Roman" w:hAnsi="Times New Roman"/>
          <w:sz w:val="22"/>
          <w:szCs w:val="22"/>
          <w:color w:val="auto"/>
        </w:rPr>
        <w: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w:t>
      </w:r>
    </w:p>
    <w:p>
      <w:pPr>
        <w:spacing w:after="0" w:line="17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means the Health Insurance Portability and Accountability Act of 1996, as amended (including by the Health Information Technology for Economic and Clinical Health Act (Title XIII of the American Recovery and Reinvestment Act of 2009)), any and all rules or regulations promulgated from time to time thereunder, and any applicable state laws with regard to the security and privacy of health information which are not preempted by the Health Insurance Portability and Accountability Act of 1996 pursuant to 45 C.F.R. Part 160, Subpart B.</w:t>
      </w:r>
    </w:p>
    <w:p>
      <w:pPr>
        <w:spacing w:after="0" w:line="17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Immaterial Subsidiary</w:t>
      </w:r>
      <w:r>
        <w:rPr>
          <w:rFonts w:ascii="Times New Roman" w:cs="Times New Roman" w:eastAsia="Times New Roman" w:hAnsi="Times New Roman"/>
          <w:sz w:val="22"/>
          <w:szCs w:val="22"/>
          <w:color w:val="auto"/>
        </w:rPr>
        <w:t xml:space="preserve">” means, at any date of calculation, any of Borrower’s Subsidiaries (a) whose total assets for the four fiscal quarter period ending on the date most recently ended for which financial statements have been delivered to Agent and the Blackstone Representative pursuant to </w:t>
      </w:r>
      <w:r>
        <w:rPr>
          <w:rFonts w:ascii="Times New Roman" w:cs="Times New Roman" w:eastAsia="Times New Roman" w:hAnsi="Times New Roman"/>
          <w:sz w:val="22"/>
          <w:szCs w:val="22"/>
          <w:u w:val="single" w:color="auto"/>
          <w:color w:val="auto"/>
        </w:rPr>
        <w:t>Section 5.2(a)(i)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(whichever was most recently delivered to Agent and the Blackstone Representative) was less than 2.50% of the total assets of Borrower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11" w:name="page212"/>
    <w:bookmarkEnd w:id="211"/>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its Subsidiaries, (b) whose contribution to the Consolidated Revenue for such period was less than 2.50% of the Consolidated Revenue of Borrower and its Subsidiaries for such period, in each case, determined in accordance with GAAP and (c) that does not own or hold rights in any Material IP;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at any time and from time to time after the Closing Date, Immaterial Subsidiaries that are not Guarantors solely because they do meet the thresholds set forth in clauses (a) and (b) comprise in the aggregate more than 5.00% of total assets as of the end of the most recently ended fiscal quarter of Borrower for which financial statements have been delivered to Agent and the Blackstone Representative pursuant to </w:t>
      </w:r>
      <w:r>
        <w:rPr>
          <w:rFonts w:ascii="Times New Roman" w:cs="Times New Roman" w:eastAsia="Times New Roman" w:hAnsi="Times New Roman"/>
          <w:sz w:val="22"/>
          <w:szCs w:val="22"/>
          <w:u w:val="single" w:color="auto"/>
          <w:color w:val="auto"/>
        </w:rPr>
        <w:t>Section 5.2(a)(i)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(whichever was most recently delivered to Agent and the Blackstone Representative) or more than 5.00% of the Consolidated Revenue of Borrower and its Subsidiaries for such applicable period, then Borrower shall (i) designate in writing to Agent one or more of such Immaterial Subsidiary(ies) as no longer an Immaterial Subsidiary(ies) to the extent required such that the foregoing condition ceases to be true and (ii) comply with the provisions of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5.13</w:t>
      </w:r>
      <w:r>
        <w:rPr>
          <w:rFonts w:ascii="Times New Roman" w:cs="Times New Roman" w:eastAsia="Times New Roman" w:hAnsi="Times New Roman"/>
          <w:sz w:val="22"/>
          <w:szCs w:val="22"/>
          <w:color w:val="auto"/>
        </w:rPr>
        <w:t xml:space="preserve"> applicable to any such designated Subsidiary (in each case, in the time periods applicable as if such Immaterial Subsidiary(ies) had become Guarantors at such time).</w:t>
      </w:r>
    </w:p>
    <w:p>
      <w:pPr>
        <w:spacing w:after="0" w:line="18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Delayed Draw Term Facilities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Delayed Draw Term Loans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Supplement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w:t>
      </w:r>
      <w:r>
        <w:rPr>
          <w:rFonts w:ascii="Times New Roman" w:cs="Times New Roman" w:eastAsia="Times New Roman" w:hAnsi="Times New Roman"/>
          <w:sz w:val="22"/>
          <w:szCs w:val="22"/>
          <w:color w:val="auto"/>
        </w:rPr>
        <w:t>” means an investigational new drug application filed with FDA.</w:t>
      </w:r>
    </w:p>
    <w:p>
      <w:pPr>
        <w:spacing w:after="0" w:line="206" w:lineRule="exact"/>
        <w:rPr>
          <w:sz w:val="20"/>
          <w:szCs w:val="20"/>
          <w:color w:val="auto"/>
        </w:rPr>
      </w:pPr>
    </w:p>
    <w:p>
      <w:pPr>
        <w:jc w:val="both"/>
        <w:ind w:firstLine="1181"/>
        <w:spacing w:after="0" w:line="246"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accrued expenses and trade payables entered into in the ordinary course of business which are not more than one hundred eighty (180) days past due or are being contested in good faith), including any obligation or liability to pay deferred or contingent purchase price or other consideration for such assets, properties, services or rights; (c) the face amount of all letters of credit issued for the account of such Person (whether or not drawn)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balance sheet loan or similar off balance sheet financing product by such Person; (h) all obligations of such Person, whether or not contingent, to purchase, redeem, retire, defease or otherwise acquire for value any of its own Equity Interest (or Equity Interests of a direct or indirect parent entity thereof); (i) all indebtedness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(h)</w:t>
      </w:r>
      <w:r>
        <w:rPr>
          <w:rFonts w:ascii="Times New Roman" w:cs="Times New Roman" w:eastAsia="Times New Roman" w:hAnsi="Times New Roman"/>
          <w:sz w:val="22"/>
          <w:szCs w:val="22"/>
          <w:color w:val="auto"/>
        </w:rPr>
        <w:t xml:space="preserve"> above of other Persons secured by (or for which the holder of such indebtedness has an existing right, contingent or otherwise, to be secured by) any Lien upon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2" w:name="page213"/>
    <w:bookmarkEnd w:id="212"/>
    <w:p>
      <w:pPr>
        <w:jc w:val="both"/>
        <w:spacing w:after="0" w:line="239" w:lineRule="auto"/>
        <w:rPr>
          <w:sz w:val="20"/>
          <w:szCs w:val="20"/>
          <w:color w:val="auto"/>
        </w:rPr>
      </w:pPr>
      <w:r>
        <w:rPr>
          <w:rFonts w:ascii="Times New Roman" w:cs="Times New Roman" w:eastAsia="Times New Roman" w:hAnsi="Times New Roman"/>
          <w:sz w:val="22"/>
          <w:szCs w:val="22"/>
          <w:color w:val="auto"/>
        </w:rPr>
        <w:t>or in assets or properties (including accounts and contracts rights) owned by such Person, even though such Person has not assumed or become liable for the payment of such indebtedness of such other Persons; and (j) all Contingent Obligations of such Person. For the avoidance of doubt, “Indebtedness” shall include Permitted Convertible Bond Indebtedness, but shall not include obligations in respect of any Permitted Bond Hedge Transaction or any Permitted Warrant Transaction.</w:t>
      </w:r>
    </w:p>
    <w:p>
      <w:pPr>
        <w:spacing w:after="0" w:line="176" w:lineRule="exact"/>
        <w:rPr>
          <w:sz w:val="20"/>
          <w:szCs w:val="20"/>
          <w:color w:val="auto"/>
        </w:rPr>
      </w:pPr>
    </w:p>
    <w:p>
      <w:pPr>
        <w:jc w:val="both"/>
        <w:ind w:firstLine="1181"/>
        <w:spacing w:after="0" w:line="246"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Indemnified Liabilities</w:t>
      </w:r>
      <w:r>
        <w:rPr>
          <w:rFonts w:ascii="Times New Roman" w:cs="Times New Roman" w:eastAsia="Times New Roman" w:hAnsi="Times New Roman"/>
          <w:sz w:val="21"/>
          <w:szCs w:val="21"/>
          <w:color w:val="auto"/>
        </w:rPr>
        <w:t>” means, collectively, any and all liabilities, obligations, losses, damages (including natural resource damages), penalties, claims, actions, judgments, suits, costs,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expenses and disbursements of any kind or nature whatsoever (including the reasonable and documented fees and disbursements of one counsel for Indemnified Persons with respect to Agent and one counsel for Indemnified Persons with respect to the Lenders, plus, if required, one local legal counsel with respect to Agent and one local counsel with respect to the Lenders in each relevant jurisdiction and one specialty counsel with respect to the Lenders, and in the case of an actual or perceived conflict of interest, one additional counsel for such affected Indemnified Persons with respect to Agent and one additional counsel for such affected Indemnified Persons with respect to the Lenders, in connection with any investigative, administrative or judicial proceeding or hearing commenced or threatened in writing by any Person, whether or not any such Indemnified Person shall have commenced such proceeding or hearing or be designated as a party or a potential party thereto and regardless of whether or not any such claim, litigation, investigation or proceeding is brought by Borrower, its equity holders, its affiliates, its creditors or any other Person, and any fees or expenses incurred by Indemnified Persons in enforcing the indemnity hereunder),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relating to or arising out of this Agreement or the other Loan Documents or the transactions contemplated hereby or thereby (including the agreement of the Lenders to make Credit Extensions or the use or intended use of the proceeds thereof, or any enforcement of any of the Loan Documents (including any sale of, collection from, or other realization upon any of the Collateral or the enforcement of any guaranty of the Obligations)).</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Person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11.2(a)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 xml:space="preserve">” means (a) Taxes, other than Excluded Taxes, imposed on or with respect to any payment made by or on account of any obligation of any Credit Party under any Loan Document and (b) to the extent not otherwise described in </w:t>
      </w:r>
      <w:r>
        <w:rPr>
          <w:rFonts w:ascii="Times New Roman" w:cs="Times New Roman" w:eastAsia="Times New Roman" w:hAnsi="Times New Roman"/>
          <w:sz w:val="22"/>
          <w:szCs w:val="22"/>
          <w:u w:val="single" w:color="auto"/>
          <w:color w:val="auto"/>
        </w:rPr>
        <w:t>clause (a)</w:t>
      </w:r>
      <w:r>
        <w:rPr>
          <w:rFonts w:ascii="Times New Roman" w:cs="Times New Roman" w:eastAsia="Times New Roman" w:hAnsi="Times New Roman"/>
          <w:sz w:val="22"/>
          <w:szCs w:val="22"/>
          <w:color w:val="auto"/>
        </w:rPr>
        <w:t xml:space="preserve"> above, Other Taxes.</w:t>
      </w:r>
    </w:p>
    <w:p>
      <w:pPr>
        <w:spacing w:after="0" w:line="167" w:lineRule="exact"/>
        <w:rPr>
          <w:sz w:val="20"/>
          <w:szCs w:val="20"/>
          <w:color w:val="auto"/>
        </w:rPr>
      </w:pPr>
    </w:p>
    <w:p>
      <w:pPr>
        <w:jc w:val="both"/>
        <w:ind w:right="20"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 Privacy or Security Laws</w:t>
      </w:r>
      <w:r>
        <w:rPr>
          <w:rFonts w:ascii="Times New Roman" w:cs="Times New Roman" w:eastAsia="Times New Roman" w:hAnsi="Times New Roman"/>
          <w:sz w:val="21"/>
          <w:szCs w:val="21"/>
          <w:color w:val="auto"/>
        </w:rPr>
        <w:t>” means all applicable Laws governing the privacy or security of Personal Data, including any applicable foreign Laws, state data breach notification Laws, and state health information privacy Laws.</w:t>
      </w:r>
    </w:p>
    <w:p>
      <w:pPr>
        <w:spacing w:after="0" w:line="126" w:lineRule="exact"/>
        <w:rPr>
          <w:sz w:val="20"/>
          <w:szCs w:val="20"/>
          <w:color w:val="auto"/>
        </w:rPr>
      </w:pPr>
    </w:p>
    <w:p>
      <w:pPr>
        <w:jc w:val="both"/>
        <w:ind w:firstLine="118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Initial Term Lender</w:t>
      </w:r>
      <w:r>
        <w:rPr>
          <w:rFonts w:ascii="Times New Roman" w:cs="Times New Roman" w:eastAsia="Times New Roman" w:hAnsi="Times New Roman"/>
          <w:sz w:val="21"/>
          <w:szCs w:val="21"/>
          <w:color w:val="auto"/>
        </w:rPr>
        <w:t>” means the Persons holding Initial Term Loan Commitments or Initial Term Loans and any other Person that shall have become party hereto holding Initial Term Loans pursuant to an Assignment and Assumption, other than any such Person that ceases to be a party hereto holding Initial Term Loans pursuant to an Assignment and Assumption.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3" w:name="page214"/>
    <w:bookmarkEnd w:id="213"/>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Loan</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2.2(a)(i)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Term Loan Commitment</w:t>
      </w:r>
      <w:r>
        <w:rPr>
          <w:rFonts w:ascii="Times New Roman" w:cs="Times New Roman" w:eastAsia="Times New Roman" w:hAnsi="Times New Roman"/>
          <w:sz w:val="22"/>
          <w:szCs w:val="22"/>
          <w:color w:val="auto"/>
        </w:rPr>
        <w:t xml:space="preserve">” with respect to each Initial Term Lender, the commitment of each such Initial Term Lender to make Initial Term Loans hereunder in an aggregate amount not to exceed the amount set forth opposite such Initial Term Lender’s name on </w:t>
      </w:r>
      <w:r>
        <w:rPr>
          <w:rFonts w:ascii="Times New Roman" w:cs="Times New Roman" w:eastAsia="Times New Roman" w:hAnsi="Times New Roman"/>
          <w:sz w:val="22"/>
          <w:szCs w:val="22"/>
          <w:u w:val="single" w:color="auto"/>
          <w:color w:val="auto"/>
        </w:rPr>
        <w:t>Annex 1</w:t>
      </w:r>
      <w:r>
        <w:rPr>
          <w:rFonts w:ascii="Times New Roman" w:cs="Times New Roman" w:eastAsia="Times New Roman" w:hAnsi="Times New Roman"/>
          <w:sz w:val="22"/>
          <w:szCs w:val="22"/>
          <w:color w:val="auto"/>
        </w:rPr>
        <w:t>. The aggregate amount of the Initial Term Lenders’ Initial Term Loan Commitments on the Closing Date is $75,000,000.</w:t>
      </w:r>
    </w:p>
    <w:p>
      <w:pPr>
        <w:spacing w:after="0" w:line="172"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Proceeding</w:t>
      </w:r>
      <w:r>
        <w:rPr>
          <w:rFonts w:ascii="Times New Roman" w:cs="Times New Roman" w:eastAsia="Times New Roman" w:hAnsi="Times New Roman"/>
          <w:sz w:val="22"/>
          <w:szCs w:val="22"/>
          <w:color w:val="auto"/>
        </w:rPr>
        <w:t>” means, with respect to any Person, any proceeding by or against such Person under the United States Bankruptcy Code, or any other bankruptcy or insolvency law in the United States or other applicable jurisdiction, including assignments for the benefit of creditors, compositions, extensions generally with its creditors, or proceedings seeking reorganization, arrangement, court protection or other relief.</w:t>
      </w:r>
    </w:p>
    <w:p>
      <w:pPr>
        <w:spacing w:after="0" w:line="17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Intellectual Property</w:t>
      </w:r>
      <w:r>
        <w:rPr>
          <w:rFonts w:ascii="Times New Roman" w:cs="Times New Roman" w:eastAsia="Times New Roman" w:hAnsi="Times New Roman"/>
          <w:sz w:val="22"/>
          <w:szCs w:val="22"/>
          <w:color w:val="auto"/>
        </w:rPr>
        <w:t>” means all:</w:t>
      </w:r>
    </w:p>
    <w:p>
      <w:pPr>
        <w:spacing w:after="0" w:line="210" w:lineRule="exact"/>
        <w:rPr>
          <w:sz w:val="20"/>
          <w:szCs w:val="20"/>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Copyrights, Trademarks, and Patents;</w:t>
      </w:r>
    </w:p>
    <w:p>
      <w:pPr>
        <w:spacing w:after="0" w:line="171" w:lineRule="exact"/>
        <w:rPr>
          <w:rFonts w:ascii="Times New Roman" w:cs="Times New Roman" w:eastAsia="Times New Roman" w:hAnsi="Times New Roman"/>
          <w:sz w:val="22"/>
          <w:szCs w:val="22"/>
          <w:color w:val="auto"/>
        </w:rPr>
      </w:pPr>
    </w:p>
    <w:p>
      <w:pPr>
        <w:ind w:right="20" w:firstLine="757"/>
        <w:spacing w:after="0" w:line="309" w:lineRule="exact"/>
        <w:tabs>
          <w:tab w:leader="none" w:pos="1181"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secrets and trade secret rights, confidential business information,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data and other information, in each case, including any rights to unpatented inventions,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show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and operating manuals;</w:t>
      </w:r>
    </w:p>
    <w:p>
      <w:pPr>
        <w:spacing w:after="0" w:line="145"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(i) all computer programs, including source code and object code versions, (ii) all technical data, databases and compilations of technical data, whether machine readable or otherwise, and (iii) all documentation, training materials and configurations related to any of the foregoing (collectively, “</w:t>
      </w:r>
      <w:r>
        <w:rPr>
          <w:rFonts w:ascii="Times New Roman" w:cs="Times New Roman" w:eastAsia="Times New Roman" w:hAnsi="Times New Roman"/>
          <w:sz w:val="22"/>
          <w:szCs w:val="22"/>
          <w:b w:val="1"/>
          <w:bCs w:val="1"/>
          <w:color w:val="auto"/>
        </w:rPr>
        <w:t>Software</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arising under any contract or Requirements of Law in or relating to Internet domain</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w:t>
      </w:r>
    </w:p>
    <w:p>
      <w:pPr>
        <w:spacing w:after="0" w:line="182"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 rights;</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IP Ancillary Rights (including all IP Ancillary Rights related to any of the foregoing);</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similar or equivalent rights to any of the foregoing anywhere in the world;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and tangible embodiments of any of the foregoing (in whatever form or medium); and</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improvements, developments, refinements, additions or subtractions to any of the foregoing.</w:t>
      </w:r>
    </w:p>
    <w:p>
      <w:pPr>
        <w:spacing w:after="0" w:line="202" w:lineRule="exact"/>
        <w:rPr>
          <w:rFonts w:ascii="Times New Roman" w:cs="Times New Roman" w:eastAsia="Times New Roman" w:hAnsi="Times New Roman"/>
          <w:sz w:val="22"/>
          <w:szCs w:val="22"/>
          <w:color w:val="auto"/>
        </w:rPr>
      </w:pPr>
    </w:p>
    <w:p>
      <w:pPr>
        <w:jc w:val="both"/>
        <w:ind w:firstLine="1181"/>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Intercompany Subordination Agreement</w:t>
      </w:r>
      <w:r>
        <w:rPr>
          <w:rFonts w:ascii="Times New Roman" w:cs="Times New Roman" w:eastAsia="Times New Roman" w:hAnsi="Times New Roman"/>
          <w:sz w:val="22"/>
          <w:szCs w:val="22"/>
          <w:color w:val="auto"/>
        </w:rPr>
        <w:t>” means an intercompany subordination agreement executed and delivered by each Credit Party, each of its applicable Subsidiaries and Agent, in form and substance reasonably satisfactory to Agent and the Blackstone Representative, as amended, restated, supplemented or otherwise modified and in effect from time to time.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4" w:name="page215"/>
    <w:bookmarkEnd w:id="214"/>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Date</w:t>
      </w:r>
      <w:r>
        <w:rPr>
          <w:rFonts w:ascii="Times New Roman" w:cs="Times New Roman" w:eastAsia="Times New Roman" w:hAnsi="Times New Roman"/>
          <w:sz w:val="22"/>
          <w:szCs w:val="22"/>
          <w:color w:val="auto"/>
        </w:rPr>
        <w:t xml:space="preserve">” means (a) as to any Term Loan other than a Base Rate Loan, the last day of each Interest Period applicable to such Loan and the Term Loan Maturity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Interest Period for a Term SOFR Loan exceeds three (3) months, the respective dates that fall every three (3) months after the beginning of such Interest Period shall also be Interest Dates; and (b) as to any Base Rate Loan, the last Business Day of each December, March, June and September and the Term Loan Maturity Date .</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Election Request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2.3(a)(iii)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Period</w:t>
      </w:r>
      <w:r>
        <w:rPr>
          <w:rFonts w:ascii="Times New Roman" w:cs="Times New Roman" w:eastAsia="Times New Roman" w:hAnsi="Times New Roman"/>
          <w:sz w:val="22"/>
          <w:szCs w:val="22"/>
          <w:color w:val="auto"/>
        </w:rPr>
        <w:t xml:space="preserve">” means, as to each Term SOFR Loan, the period commencing on the date such Term SOFR Loan is disbursed or converted to or continued as a Term SOFR Loan and ending on the date one (1), three (3) or six (6) months thereafter (in each case, subject to availability), as selected by Borrower in its Borrowing Notice or Interest Election Request,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62" w:lineRule="exact"/>
        <w:rPr>
          <w:sz w:val="20"/>
          <w:szCs w:val="20"/>
          <w:color w:val="auto"/>
        </w:rPr>
      </w:pPr>
    </w:p>
    <w:p>
      <w:pPr>
        <w:jc w:val="both"/>
        <w:ind w:left="1500" w:firstLine="754"/>
        <w:spacing w:after="0" w:line="261" w:lineRule="auto"/>
        <w:tabs>
          <w:tab w:leader="none" w:pos="2681"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in the case of a Term SOFR Loan, such Business Day falls in another calendar month, in which case such Interest Period shall end on the next preceding Business Day;</w:t>
      </w:r>
    </w:p>
    <w:p>
      <w:pPr>
        <w:spacing w:after="0" w:line="130" w:lineRule="exact"/>
        <w:rPr>
          <w:rFonts w:ascii="Times New Roman" w:cs="Times New Roman" w:eastAsia="Times New Roman" w:hAnsi="Times New Roman"/>
          <w:sz w:val="21"/>
          <w:szCs w:val="21"/>
          <w:color w:val="auto"/>
        </w:rPr>
      </w:pPr>
    </w:p>
    <w:p>
      <w:pPr>
        <w:jc w:val="both"/>
        <w:ind w:left="1500" w:firstLine="754"/>
        <w:spacing w:after="0" w:line="239" w:lineRule="auto"/>
        <w:tabs>
          <w:tab w:leader="none" w:pos="2681"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pertaining to a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66"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2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Interest Period shall extend beyond the Maturity Date of the Facility under which such Loan</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 made.</w:t>
      </w:r>
    </w:p>
    <w:p>
      <w:pPr>
        <w:spacing w:after="0" w:line="165"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means all “inventory” as defined in the Code in effect on the date hereof with such additions to such term as may hereafter be made, and includes all merchandise, raw materials, parts, supplies, packing and shipping materials, work in process and finished products, including such inventory as is temporarily out of a Credit Party’s or Subsidiary’s custody or possession or in transit and including any returned goods and any documents of title representing any of the above.</w:t>
      </w:r>
    </w:p>
    <w:p>
      <w:pPr>
        <w:spacing w:after="0" w:line="172"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xml:space="preserve">” means (a) any beneficial ownership interest in any Person (including Equity Interests), (b) any Acquisition, (c) the making of any advance, loan, extension of credit or capital contribution in or to, any Person or (d) the guarantee, endorsement or otherwise becoming contingently liable in respect of the Indebtedness of any other Person. The amount of an Investment shall be the amount actually invested (which, in the case of any Investments constituting the contribution of an asset or property, shall be based on the fair market value of such asset or property at the time such Investment is made),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amount of cash received or returned for such Investment, without adjustments for subsequent increases or decreases in the value of such Investment or write-ups, write-downs or write-offs with respect thereto;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no event shall such amount be less than zero or increase any basket or amount set forth in the definition of “Permitted Investments” above the fixed amount set forth therein.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5" w:name="page216"/>
    <w:bookmarkEnd w:id="215"/>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Agreements</w:t>
      </w:r>
      <w:r>
        <w:rPr>
          <w:rFonts w:ascii="Times New Roman" w:cs="Times New Roman" w:eastAsia="Times New Roman" w:hAnsi="Times New Roman"/>
          <w:sz w:val="22"/>
          <w:szCs w:val="22"/>
          <w:color w:val="auto"/>
        </w:rPr>
        <w:t>” means, collectively, (a) those certain Intellectual Property Security Agreements entered into by and between the Credit Parties, as the case may be, and Agent, each dated as of the Closing Date, and (b) any Intellectual Property Security Agreement entered into by and between the Credit Parties, as the case may be, and Agent after the Closing Date in accordance with the Loan Documents.</w:t>
      </w:r>
    </w:p>
    <w:p>
      <w:pPr>
        <w:spacing w:after="0" w:line="171" w:lineRule="exact"/>
        <w:rPr>
          <w:sz w:val="20"/>
          <w:szCs w:val="20"/>
          <w:color w:val="auto"/>
        </w:rPr>
      </w:pPr>
    </w:p>
    <w:p>
      <w:pPr>
        <w:jc w:val="both"/>
        <w:ind w:firstLine="1181"/>
        <w:spacing w:after="0" w:line="252"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Ancillary Rights</w:t>
      </w:r>
      <w:r>
        <w:rPr>
          <w:rFonts w:ascii="Times New Roman" w:cs="Times New Roman" w:eastAsia="Times New Roman" w:hAnsi="Times New Roman"/>
          <w:sz w:val="22"/>
          <w:szCs w:val="22"/>
          <w:color w:val="auto"/>
        </w:rPr>
        <w:t>” means, with respect to any Copyright, Trademark, Patent, Software, trade secrets or trade secret rights, including any rights to unpatented inventions, know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show</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IRC</w:t>
      </w:r>
      <w:r>
        <w:rPr>
          <w:rFonts w:ascii="Times New Roman" w:cs="Times New Roman" w:eastAsia="Times New Roman" w:hAnsi="Times New Roman"/>
          <w:sz w:val="22"/>
          <w:szCs w:val="22"/>
          <w:color w:val="auto"/>
        </w:rPr>
        <w:t>” means the Internal Revenue Code of 1986, as amended.</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U.S. Internal Revenue Service.</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IT Assets</w:t>
      </w:r>
      <w:r>
        <w:rPr>
          <w:rFonts w:ascii="Times New Roman" w:cs="Times New Roman" w:eastAsia="Times New Roman" w:hAnsi="Times New Roman"/>
          <w:sz w:val="22"/>
          <w:szCs w:val="22"/>
          <w:color w:val="auto"/>
        </w:rPr>
        <w:t>” means technology devices, computers, servers, networks, workstations, routers, hubs, circuits, switches, data communications lines, and all firmware embedded therein, and all associated documentation.</w:t>
      </w:r>
    </w:p>
    <w:p>
      <w:pPr>
        <w:spacing w:after="0" w:line="149"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or to the “</w:t>
      </w:r>
      <w:r>
        <w:rPr>
          <w:rFonts w:ascii="Times New Roman" w:cs="Times New Roman" w:eastAsia="Times New Roman" w:hAnsi="Times New Roman"/>
          <w:sz w:val="22"/>
          <w:szCs w:val="22"/>
          <w:b w:val="1"/>
          <w:bCs w:val="1"/>
          <w:color w:val="auto"/>
        </w:rPr>
        <w:t>knowledge</w:t>
      </w:r>
      <w:r>
        <w:rPr>
          <w:rFonts w:ascii="Times New Roman" w:cs="Times New Roman" w:eastAsia="Times New Roman" w:hAnsi="Times New Roman"/>
          <w:sz w:val="22"/>
          <w:szCs w:val="22"/>
          <w:color w:val="auto"/>
        </w:rPr>
        <w:t>” and similar qualifications or phrases means the actual knowledge, after reasonable investigation, of any Responsible Officers of Borrower or such other Credit Party, as the context dictates.</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Lead Arranger</w:t>
      </w:r>
      <w:r>
        <w:rPr>
          <w:rFonts w:ascii="Times New Roman" w:cs="Times New Roman" w:eastAsia="Times New Roman" w:hAnsi="Times New Roman"/>
          <w:sz w:val="22"/>
          <w:szCs w:val="22"/>
          <w:color w:val="auto"/>
        </w:rPr>
        <w:t>” means Blackstone Alternative Credit Advisors LP.</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means each Person signatory hereto as a “Lender” and its successors and assigns.</w:t>
      </w:r>
    </w:p>
    <w:p>
      <w:pPr>
        <w:spacing w:after="0" w:line="176" w:lineRule="exact"/>
        <w:rPr>
          <w:sz w:val="20"/>
          <w:szCs w:val="20"/>
          <w:color w:val="auto"/>
        </w:rPr>
      </w:pPr>
    </w:p>
    <w:p>
      <w:pPr>
        <w:jc w:val="both"/>
        <w:ind w:firstLine="1181"/>
        <w:spacing w:after="0" w:line="251"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Lender and Agent Expenses</w:t>
      </w:r>
      <w:r>
        <w:rPr>
          <w:rFonts w:ascii="Times New Roman" w:cs="Times New Roman" w:eastAsia="Times New Roman" w:hAnsi="Times New Roman"/>
          <w:sz w:val="21"/>
          <w:szCs w:val="21"/>
          <w:color w:val="auto"/>
        </w:rPr>
        <w:t>” means (i) all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and expenses of Agent, the Blackstone Representative, the Lead Arranger, the Lenders and their respective Related Parties for developing, preparing, amending, modifying, negotiating, executing and delivering, and administering the Loan Documents or any other document prepared in connection therewith or the consummation and administration of any transaction contemplated therein or otherwise incurred with respect to the Credit Parties in connection with the Loan Documents, including any filing or recording fees and expenses (including, without limitation, reasonable and documented outside counsel, accountants, consultants, financial advisors and other advisors fees and expenses, but limited to the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and expenses of one outside legal counsel to Agent and its Related Parties (taken as a whole), and one outside legal counsel to the Blackstone Representative, the Lead Arranger, and the Lenders and each of their Related Parties (taken as a whole) (plus, if required, (x) one local outside legal counsel to Agent and its Related Parties (taken as a whole) in each relevant material jurisdiction, and one local outside legal counsel to the Blackstone Representatives, the Lead Arranger, and the Lenders and their Related Parties (taken as a whole) in each relevant material jurisdiction) and (y) one specialty outside counsel to Agent and its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6" w:name="page217"/>
    <w:bookmarkEnd w:id="216"/>
    <w:p>
      <w:pPr>
        <w:jc w:val="both"/>
        <w:spacing w:after="0" w:line="247" w:lineRule="exact"/>
        <w:rPr>
          <w:sz w:val="20"/>
          <w:szCs w:val="20"/>
          <w:color w:val="auto"/>
        </w:rPr>
      </w:pPr>
      <w:r>
        <w:rPr>
          <w:rFonts w:ascii="Times New Roman" w:cs="Times New Roman" w:eastAsia="Times New Roman" w:hAnsi="Times New Roman"/>
          <w:sz w:val="21"/>
          <w:szCs w:val="21"/>
          <w:color w:val="auto"/>
        </w:rPr>
        <w:t>Related Parties (taken as a whole) and one specialty outside counsel to the Blackstone Representative, the Lead Arranger, and the Lenders and each of their Related Parties (taken as a whole)), and (ii) all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costs and expenses incurred by Agent, the Blackstone Representative, the Lead Arranger, the Lenders and their respective Related Parties (including, without limitation, reasonable and documented outside counsel, accountants, consultants, financial advisors and other advisors fees and expenses, but limited, in the case of legal counsel, to the reasonable and documented out</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of</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pocket fees and expenses of one primary outside counsel for Agent and its Related Parties (taken as whole) and one primary outside counsel for the Blackstone Representative, the Lead Arranger, and the Lenders and each of their Related Parties (taken as a whole), one local outside legal counsel to Agent and its Related Parties (taken as a whole) in each relevant material jurisdiction and one local outside legal counsel to the Blackstone Representative, the Lead Arranger, and the Lenders and each of their Related Parties (taken as a whole) in each relevant material jurisdiction, and one specialty outside counsel to Agent and its Related Parties (taken as a whole) and one specialty outside counsel to the Blackstone Representative, the Lead Arranger, and the Lenders and each of their Related Parties (taken as a whole)) (and, in the case of an actual or perceived conflict of interest where the party affected by such conflict informs Borrower of such conflict and thereafter retains its own counsel, of one additional primary firm of counsel for all such affected parties (taken as a whole) and one additional firm of local counsel for all such affected parties (taken as a whole) in each relevant material jurisdiction); in connection with (A) any refinancing or restructuring of the credit arrangements provided hereunder in the nature of a “work</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out”, (B) the enforcement or preservation of any right or remedy under any Loan Document, any Obligation, with respect to the Collateral or any other related right or remedy or (C) the commencement, defense, conduct of, intervention in, or the taking of any other action with respect to, any proceeding (including any Insolvency Proceeding) related to any Credit Party, any Subsidiary of any Credit Party, Loan Document or Obligation (or the response to and preparation for any subpoena or request for document production relating thereto).</w:t>
      </w:r>
    </w:p>
    <w:p>
      <w:pPr>
        <w:spacing w:after="0" w:line="182"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Fee Letter</w:t>
      </w:r>
      <w:r>
        <w:rPr>
          <w:rFonts w:ascii="Times New Roman" w:cs="Times New Roman" w:eastAsia="Times New Roman" w:hAnsi="Times New Roman"/>
          <w:sz w:val="22"/>
          <w:szCs w:val="22"/>
          <w:color w:val="auto"/>
        </w:rPr>
        <w:t>” means that certain closing payments and fee letter, dated the date hereof, by and among the Borrower and the Blackstone Representative.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Transfer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11.1(b)</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(a) a claim, mortgage, lien, deed of trust, levy, charge, pledge, hypothecation, preference, priority, security interest or other encumbrance of any kind or assignment for security purposes, whether voluntarily incurred or arising by operation of law or otherwise against any property or assets and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Code (or equivalent statutes) of any jurisdiction or any preferential arrangement that has the practical effect of creating a security interest and (b) in the case of Equity Interests, any purchase option, call or similar right of a third party with respect to such Equity Interests.</w:t>
      </w:r>
    </w:p>
    <w:p>
      <w:pPr>
        <w:spacing w:after="0" w:line="178"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Liquidity</w:t>
      </w:r>
      <w:r>
        <w:rPr>
          <w:rFonts w:ascii="Times New Roman" w:cs="Times New Roman" w:eastAsia="Times New Roman" w:hAnsi="Times New Roman"/>
          <w:sz w:val="22"/>
          <w:szCs w:val="22"/>
          <w:color w:val="auto"/>
        </w:rPr>
        <w:t>” means, as of any date of determination, the aggregate amount of unrestricted cash and Cash Equivalents held in Collateral Accounts of the Credit Parties which are subject to a Control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7" w:name="page218"/>
    <w:bookmarkEnd w:id="217"/>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means, collectively, this Agreement, the Disclosure Letter, the Term Loan Notes, the Agent Fee Letter, the Lender Fee Letter, the Funding Direction Letter, the Security Agreement, the IP Agreements, the Perfection Certificates, any Control Agreement, any other Collateral Document, any Intercompany Subordination Agreement, any guaranties executed by a Guarantor in favor of Agent for the benefit of the Secured Parties in connection with this Agreement, and any other present or future agreement between or among a Credit Party and Agent or any Lender, as the case may be, in connection with this Agreement, including in each case, for the avoidance of doubt, any annexes, exhibits or schedules thereto.</w:t>
      </w:r>
    </w:p>
    <w:p>
      <w:pPr>
        <w:spacing w:after="0" w:line="175" w:lineRule="exact"/>
        <w:rPr>
          <w:sz w:val="20"/>
          <w:szCs w:val="20"/>
          <w:color w:val="auto"/>
        </w:rPr>
      </w:pPr>
    </w:p>
    <w:p>
      <w:pPr>
        <w:jc w:val="both"/>
        <w:ind w:firstLine="1181"/>
        <w:spacing w:after="0" w:line="23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 Whole Premium</w:t>
      </w:r>
      <w:r>
        <w:rPr>
          <w:rFonts w:ascii="Times New Roman" w:cs="Times New Roman" w:eastAsia="Times New Roman" w:hAnsi="Times New Roman"/>
          <w:sz w:val="22"/>
          <w:szCs w:val="22"/>
          <w:color w:val="auto"/>
        </w:rPr>
        <w:t xml:space="preserve">” means, as of any time of determination with respect to any prepayment (or in the case of a Prepayment Premium Trigger Event occurring under clauses (a)(ii), (b), (c) or (d) of the definition thereof, deemed prepayment) of all or any portion of the outstanding principal amount of the Term Loans, an amount, determined (without duplication) by the Blackstone Representative, equal to the present value on such date of the sum of (x) 3.00% of the principal amount to be prepaid as if that amount would otherwise be prepaid on the first anniversary of the Closing Date, and (y) the amount of all interest which would otherwise have accrued hereunder for the period from the date of such prepayment to the first anniversary of the Closing Date, assuming an interest rate for such period equal to the sum of the Applicable Margin for SOFR Loans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Adjusted Term SOFR as of such date of determination, computed using a discount rate equal to the Treasury Rate as of such date plus 50 basis points;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if Agent (at the direction of the Blackstone Representative) is at any time unable to determine Adjusted Term SOFR, Adjusted Term SOFR shall be deemed to be 2.00%.</w:t>
      </w:r>
    </w:p>
    <w:p>
      <w:pPr>
        <w:spacing w:after="0" w:line="179" w:lineRule="exact"/>
        <w:rPr>
          <w:sz w:val="20"/>
          <w:szCs w:val="20"/>
          <w:color w:val="auto"/>
        </w:rPr>
      </w:pPr>
    </w:p>
    <w:p>
      <w:pPr>
        <w:jc w:val="both"/>
        <w:ind w:firstLine="1181"/>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Malicious Code</w:t>
      </w:r>
      <w:r>
        <w:rPr>
          <w:rFonts w:ascii="Times New Roman" w:cs="Times New Roman" w:eastAsia="Times New Roman" w:hAnsi="Times New Roman"/>
          <w:sz w:val="21"/>
          <w:szCs w:val="21"/>
          <w:color w:val="auto"/>
        </w:rPr>
        <w:t>” means disabling codes or instructions, spyware, malware, Trojan horses, worms, viruses or other software routines that (a) facilitate or cause unauthorized access to, or disruption, impairment, disablement, or destruction of, or</w:t>
      </w:r>
    </w:p>
    <w:p>
      <w:pPr>
        <w:spacing w:after="0" w:line="1" w:lineRule="exact"/>
        <w:rPr>
          <w:sz w:val="20"/>
          <w:szCs w:val="20"/>
          <w:color w:val="auto"/>
        </w:rPr>
      </w:pPr>
    </w:p>
    <w:p>
      <w:pPr>
        <w:jc w:val="both"/>
        <w:ind w:firstLine="8"/>
        <w:spacing w:after="0" w:line="235" w:lineRule="auto"/>
        <w:tabs>
          <w:tab w:leader="none" w:pos="314" w:val="left"/>
        </w:tabs>
        <w:numPr>
          <w:ilvl w:val="0"/>
          <w:numId w:val="2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compromise the privacy or data security of, in each case of (a) and (b), any IT Assets or Personal Data. For the avoidance of doubt, Malicious Code excludes any code intentionally included by the developer or owner of the software in the ordinary course of business to monitor and manage usage, including to disable unauthorized use.</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Margin Stock</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4.14</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 Adverse Change</w:t>
      </w:r>
      <w:r>
        <w:rPr>
          <w:rFonts w:ascii="Times New Roman" w:cs="Times New Roman" w:eastAsia="Times New Roman" w:hAnsi="Times New Roman"/>
          <w:sz w:val="22"/>
          <w:szCs w:val="22"/>
          <w:color w:val="auto"/>
        </w:rPr>
        <w:t>” means any material adverse change in or effect on: (i) the business, financial condition, properties or assets (including all or any portion of Collateral), liabilities (actual or contingent), operations, or performance of the Credit Parties, taken as a whole, since December 31, 2024; (ii) the ability of the Credit Parties, taken as a whole, to fulfill the payment or performance obligations under this Agreement or any other Loan Document; or (iii) the binding nature or validity of, or the ability of Agent or any Lender to enforce, the Loan Documents or any of its rights or remedies under the Loan Documents (other than solely as a direct result of any action or inaction by the Agent or any Lender).</w:t>
      </w:r>
    </w:p>
    <w:p>
      <w:pPr>
        <w:spacing w:after="0" w:line="175"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Material Contract</w:t>
      </w:r>
      <w:r>
        <w:rPr>
          <w:rFonts w:ascii="Times New Roman" w:cs="Times New Roman" w:eastAsia="Times New Roman" w:hAnsi="Times New Roman"/>
          <w:sz w:val="22"/>
          <w:szCs w:val="22"/>
          <w:color w:val="auto"/>
        </w:rPr>
        <w:t>” means (i) each contract which is identified as a “Material Agreement” in the Perfection Certificate and (ii) any other contract or other arrangement to which any Credit Party or any of its Subsidiaries is a party (other than the Loan Documents) or by which any of its assets or properties are bound, in each case, relating to the research, licensing, development, manufacture, production, use, commercialization, marketing, importing, storage,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8" w:name="page219"/>
    <w:bookmarkEnd w:id="218"/>
    <w:p>
      <w:pPr>
        <w:jc w:val="both"/>
        <w:spacing w:after="0" w:line="244" w:lineRule="auto"/>
        <w:rPr>
          <w:sz w:val="20"/>
          <w:szCs w:val="20"/>
          <w:color w:val="auto"/>
        </w:rPr>
      </w:pPr>
      <w:r>
        <w:rPr>
          <w:rFonts w:ascii="Times New Roman" w:cs="Times New Roman" w:eastAsia="Times New Roman" w:hAnsi="Times New Roman"/>
          <w:sz w:val="22"/>
          <w:szCs w:val="22"/>
          <w:color w:val="auto"/>
        </w:rPr>
        <w:t>transport, offer for sale, distribution or sale of any Product in the Territory, for which, individually or in the aggregate, the breach of, default or nonperformance under, cancellation or termination of or the failure to renew would reasonably be expected to result in a Material Adverse Change.</w:t>
      </w:r>
    </w:p>
    <w:p>
      <w:pPr>
        <w:spacing w:after="0" w:line="169" w:lineRule="exact"/>
        <w:rPr>
          <w:sz w:val="20"/>
          <w:szCs w:val="20"/>
          <w:color w:val="auto"/>
        </w:rPr>
      </w:pPr>
    </w:p>
    <w:p>
      <w:pPr>
        <w:jc w:val="both"/>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IP</w:t>
      </w:r>
      <w:r>
        <w:rPr>
          <w:rFonts w:ascii="Times New Roman" w:cs="Times New Roman" w:eastAsia="Times New Roman" w:hAnsi="Times New Roman"/>
          <w:sz w:val="21"/>
          <w:szCs w:val="21"/>
          <w:color w:val="auto"/>
        </w:rPr>
        <w:t>” means any (i) Product IP and (ii) any other Intellectual Property that is material to the conduct of the business of Borrower or its Subsidiaries as conducted or reasonably expected to be conducted, or is otherwise of material value.</w:t>
      </w:r>
    </w:p>
    <w:p>
      <w:pPr>
        <w:spacing w:after="0" w:line="12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Guaranteed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Maximum Incremental Delayed Draw Term Amount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2.10(a)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Medicaid</w:t>
      </w:r>
      <w:r>
        <w:rPr>
          <w:rFonts w:ascii="Times New Roman" w:cs="Times New Roman" w:eastAsia="Times New Roman" w:hAnsi="Times New Roman"/>
          <w:sz w:val="22"/>
          <w:szCs w:val="22"/>
          <w:color w:val="auto"/>
        </w:rPr>
        <w:t>” means, collectively, the health care assistance program established by Title XIX of the SSA (42 U.S.C. 1396 et seq.) and all laws, rules, regulations, manuals,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manuals, orders and administrative, reimbursement, and requirements of all Governmental Authorities promulgated in connection with such program (whether or not having the force of law).</w:t>
      </w:r>
    </w:p>
    <w:p>
      <w:pPr>
        <w:spacing w:after="0" w:line="175"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Medicare</w:t>
      </w:r>
      <w:r>
        <w:rPr>
          <w:rFonts w:ascii="Times New Roman" w:cs="Times New Roman" w:eastAsia="Times New Roman" w:hAnsi="Times New Roman"/>
          <w:sz w:val="22"/>
          <w:szCs w:val="22"/>
          <w:color w:val="auto"/>
        </w:rPr>
        <w:t>” means, collectively, the health insurance program for the aged and disabled established by Title XVIII of the SSA (42 U.S.C. 1395 et seq.) and all laws, rules, regulations, manuals, or orders pertaining to such program including (a) all federal statutes (whether set forth in Title XVIII of the SSA or elsewhere) affecting such program; and (b) all applicable provisions of all rules, regulations, manuals, orders and administrative, reimbursement and requirements of all Governmental Authorities promulgated in connection with such program (whether or not having the force of law).</w:t>
      </w:r>
    </w:p>
    <w:p>
      <w:pPr>
        <w:spacing w:after="0" w:line="177"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Mortgage</w:t>
      </w:r>
      <w:r>
        <w:rPr>
          <w:rFonts w:ascii="Times New Roman" w:cs="Times New Roman" w:eastAsia="Times New Roman" w:hAnsi="Times New Roman"/>
          <w:sz w:val="22"/>
          <w:szCs w:val="22"/>
          <w:color w:val="auto"/>
        </w:rPr>
        <w:t>” means any deed of trust, leasehold deed of trust, mortgage, leasehold mortgage, deed to secure debt, leasehold deed to secure debt or other document creating a Lien on real estate or any interest in real estate.</w:t>
      </w:r>
    </w:p>
    <w:p>
      <w:pPr>
        <w:spacing w:after="0" w:line="150"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 multiemployer plan within the meaning of Section 4001(a)(3) or Section 3(37) of ERISA (a) to which Borrower or its Subsidiaries or any of their respective ERISA Affiliates is then making or accruing an obligation to make contributions; (b) to which Borrower or its Subsidiaries or any of their respective ERISA Affiliates has within the preceding five (5) plan years made contributions; or (c) with respect to which Borrower or its Subsidiaries could incur material liability.</w:t>
      </w:r>
    </w:p>
    <w:p>
      <w:pPr>
        <w:spacing w:after="0" w:line="177" w:lineRule="exact"/>
        <w:rPr>
          <w:sz w:val="20"/>
          <w:szCs w:val="20"/>
          <w:color w:val="auto"/>
        </w:rPr>
      </w:pPr>
    </w:p>
    <w:p>
      <w:pPr>
        <w:jc w:val="both"/>
        <w:ind w:firstLine="1181"/>
        <w:spacing w:after="0" w:line="258"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Net Issuance Proceeds</w:t>
      </w:r>
      <w:r>
        <w:rPr>
          <w:rFonts w:ascii="Times New Roman" w:cs="Times New Roman" w:eastAsia="Times New Roman" w:hAnsi="Times New Roman"/>
          <w:sz w:val="22"/>
          <w:szCs w:val="22"/>
          <w:color w:val="auto"/>
        </w:rPr>
        <w:t xml:space="preserve">” means, in respect of any issuance of Indebtedness, the excess of: (a) the gross cash proceeds received by the issuer of such Indebtedness from such incurrence or issuance,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(b) all underwriting discounts, fees, commissions and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costs and expenses actually paid in connection therewith in favor of any Person not an Affiliate of Borrower.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9" w:name="page220"/>
    <w:bookmarkEnd w:id="219"/>
    <w:p>
      <w:pPr>
        <w:jc w:val="both"/>
        <w:ind w:firstLine="1181"/>
        <w:spacing w:after="0" w:line="246"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Net Proceeds</w:t>
      </w:r>
      <w:r>
        <w:rPr>
          <w:rFonts w:ascii="Times New Roman" w:cs="Times New Roman" w:eastAsia="Times New Roman" w:hAnsi="Times New Roman"/>
          <w:sz w:val="22"/>
          <w:szCs w:val="22"/>
          <w:color w:val="auto"/>
        </w:rPr>
        <w:t>” means proceeds in cash, checks or other cash equivalent financial instruments (including Cash Equivalents) as and when received by the Person making a Transfer and insurance proceeds received on account of an Event of Loss, net of: (a) in the event of a Transfer (i) the transaction costs, fees and expenses relating to such Transfer excluding amounts payable to Borrower or any Affiliate of Borrower, (ii) sale, use, income, withholding or other Taxes paid or reasonably estimated to be payable as a result thereof, (iii) amounts required to be applied to repay principal, interest and prepayment premiums and penalties on Indebtedness secured by a superior Lien on the asset which is the subject of such Transfer, (iv) any reserve reasonably established by Borrower and its Subsidiaries in respect of any liabilities or other obligations associated with such asset or assets and retained by Borrower or any of its Subsidiaries after such sale or other Transfer thereof, including pension and other post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employment benefit liabilities and liabilities related to any indemnification obligations or purchase price adjustments associated with such transaction or commitments or undertakings of Borrower and its Subsidiaries pursuant to the agreement entered into in connection with such Transfer;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upon the reversal (without the satisfaction of any applicable liabilities in cash in a corresponding amount) of any reserve described in this clause (iv), the amount of such reversal shall be included in Net Proceeds and (v) the amount of any cash escrow from the sale price for any relevant Transfer (until released from escrow), and (b) in the event of an Event of Loss, (i) all money actually applied to repair or reconstruct the damaged asset or property affected by the condemnation or taking, (ii) all of the costs and expenses reasonably incurred in connection with the collection of such proceeds, award or other payments, (iii) any Taxes paid or reasonably estimated to be payable as a result thereof, and (iv) any amounts retained by or paid to parties having superior rights to such proceeds, awards or other payments. For the purposes of determining the Net Proceeds received by any Credit Party or Subsidiary thereof in connection with a license arrangement which constitutes an Asset Sale, each payment from time to time received by the Credit Parties and their Subsidiaries in connection with such license arrangement shall be included in the aggregate Net Proceeds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-1574165</wp:posOffset>
            </wp:positionV>
            <wp:extent cx="596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5"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means, collectively, the Credit Parties’ obligations that arise under any Loan Document,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including debts, principal, interest, Lender and Agent Expenses, the Prepayment Premium and any other fees, premiums expenses, indemnities and amounts any Credit Party owes to Agent, the Lenders and the Secured Parties now or later, including interest accruing after Insolvency Proceedings begin (whether or not allowed), and to perform Borrower’s duties under the Loan Documents.</w:t>
      </w:r>
    </w:p>
    <w:p>
      <w:pPr>
        <w:spacing w:after="0" w:line="176"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 Lists</w:t>
      </w:r>
      <w:r>
        <w:rPr>
          <w:rFonts w:ascii="Times New Roman" w:cs="Times New Roman" w:eastAsia="Times New Roman" w:hAnsi="Times New Roman"/>
          <w:sz w:val="22"/>
          <w:szCs w:val="22"/>
          <w:color w:val="auto"/>
        </w:rPr>
        <w:t>” means, collectively, the Specially Designated Nationals and Blocked Persons List maintained by OFAC pursuant to Executive Order No. 13224, 66 Fed. Reg. 49079 (Sept. 25, 2001) or any other list of terrorists or other restricted Persons maintained pursuant to any of the rules and regulations of OFAC or pursuant to any other applicable Executive Orders.</w:t>
      </w:r>
    </w:p>
    <w:p>
      <w:pPr>
        <w:spacing w:after="0" w:line="17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Operating Documents</w:t>
      </w:r>
      <w:r>
        <w:rPr>
          <w:rFonts w:ascii="Times New Roman" w:cs="Times New Roman" w:eastAsia="Times New Roman" w:hAnsi="Times New Roman"/>
          <w:sz w:val="22"/>
          <w:szCs w:val="22"/>
          <w:color w:val="auto"/>
        </w:rPr>
        <w:t>”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0" w:name="page221"/>
    <w:bookmarkEnd w:id="220"/>
    <w:p>
      <w:pPr>
        <w:jc w:val="both"/>
        <w:spacing w:after="0" w:line="239" w:lineRule="auto"/>
        <w:rPr>
          <w:sz w:val="20"/>
          <w:szCs w:val="20"/>
          <w:color w:val="auto"/>
        </w:rPr>
      </w:pPr>
      <w:r>
        <w:rPr>
          <w:rFonts w:ascii="Times New Roman" w:cs="Times New Roman" w:eastAsia="Times New Roman" w:hAnsi="Times New Roman"/>
          <w:sz w:val="22"/>
          <w:szCs w:val="22"/>
          <w:color w:val="auto"/>
        </w:rPr>
        <w:t>Agreement and, (a) if such Person is a corporation, its bylaws (or similar organizational regulations) in current form, (b) if such Person is a limited liability company, its limited liability company agreement (or similar agreement), and (c) if such Person is a partnership, its partnership agreement (or similar agreement), in each case, with all current amendments, restatements, supplements or modifications thereto.</w:t>
      </w:r>
    </w:p>
    <w:p>
      <w:pPr>
        <w:spacing w:after="0" w:line="17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course of business</w:t>
      </w:r>
      <w:r>
        <w:rPr>
          <w:rFonts w:ascii="Times New Roman" w:cs="Times New Roman" w:eastAsia="Times New Roman" w:hAnsi="Times New Roman"/>
          <w:sz w:val="22"/>
          <w:szCs w:val="22"/>
          <w:color w:val="auto"/>
        </w:rPr>
        <w:t>” means, in respect of any transaction involving any Person, the ordinary course of such Person’s business undertaken by such Person in good faith and not for purposes of evading any covenant, prepayment obligation or restriction in any Loan Document.</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 means, with respect to Lender or Agent, Taxes imposed as a result of a present or former connection between Lender or Agent and the jurisdiction imposing such Tax (other than connections arising from Lender having executed, delivered, become a party to, performed its obligations under, received payments under, received or perfected a security interest under, engaged in any other transaction pursuant to or enforced any Loan Document, or sold or assigned an interest in any Obligation or Loan Document).</w:t>
      </w:r>
    </w:p>
    <w:p>
      <w:pPr>
        <w:spacing w:after="0" w:line="176"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 xml:space="preserve">” means all present or future stamp, court or documentary, intangible, recording, filing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2"/>
          <w:szCs w:val="22"/>
          <w:u w:val="single" w:color="auto"/>
          <w:color w:val="auto"/>
        </w:rPr>
        <w:t>Section 2.11(b))</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11.1(d)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 License</w:t>
      </w:r>
      <w:r>
        <w:rPr>
          <w:rFonts w:ascii="Times New Roman" w:cs="Times New Roman" w:eastAsia="Times New Roman" w:hAnsi="Times New Roman"/>
          <w:sz w:val="22"/>
          <w:szCs w:val="22"/>
          <w:color w:val="auto"/>
        </w:rPr>
        <w:t>” means any agreement, whether written or oral, providing for the grant by or to a Person of any right to use any Patent.</w:t>
      </w:r>
    </w:p>
    <w:p>
      <w:pPr>
        <w:spacing w:after="0" w:line="149" w:lineRule="exact"/>
        <w:rPr>
          <w:sz w:val="20"/>
          <w:szCs w:val="20"/>
          <w:color w:val="auto"/>
        </w:rPr>
      </w:pPr>
    </w:p>
    <w:p>
      <w:pPr>
        <w:jc w:val="both"/>
        <w:ind w:firstLine="1181"/>
        <w:spacing w:after="0" w:line="25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all patents and patent applications (including any improvements, continuations, continuations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 divisionals,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counterparts of any of the foregoing. For the avoidance of doubt, patents and patent applications under this definition include all those filed with the U.S. Patent and Trademark Office and the European Patent Office.</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Patriot Act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3.1(k)</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Payment/Advance Form</w:t>
      </w:r>
      <w:r>
        <w:rPr>
          <w:rFonts w:ascii="Times New Roman" w:cs="Times New Roman" w:eastAsia="Times New Roman" w:hAnsi="Times New Roman"/>
          <w:sz w:val="22"/>
          <w:szCs w:val="22"/>
          <w:color w:val="auto"/>
        </w:rPr>
        <w:t xml:space="preserve">” means that certain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Recipient</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12.15(a)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1" w:name="page222"/>
    <w:bookmarkEnd w:id="221"/>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Periodic Term SOFR Determination Date</w:t>
      </w:r>
      <w:r>
        <w:rPr>
          <w:rFonts w:ascii="Times New Roman" w:cs="Times New Roman" w:eastAsia="Times New Roman" w:hAnsi="Times New Roman"/>
          <w:sz w:val="22"/>
          <w:szCs w:val="22"/>
          <w:color w:val="auto"/>
        </w:rPr>
        <w:t>” has the meaning specific in the definition of “Term SOFR”.</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means any Acquisition, so long as:</w:t>
      </w:r>
    </w:p>
    <w:p>
      <w:pPr>
        <w:spacing w:after="0" w:line="210" w:lineRule="exact"/>
        <w:rPr>
          <w:sz w:val="20"/>
          <w:szCs w:val="20"/>
          <w:color w:val="auto"/>
        </w:rPr>
      </w:pPr>
    </w:p>
    <w:p>
      <w:pPr>
        <w:ind w:right="20" w:firstLine="757"/>
        <w:spacing w:after="0" w:line="258" w:lineRule="auto"/>
        <w:tabs>
          <w:tab w:leader="none" w:pos="118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both before and immediately after giving effect to such Acquisition, no Default or Event of Default has occurred and is continuing;</w:t>
      </w:r>
    </w:p>
    <w:p>
      <w:pPr>
        <w:spacing w:after="0" w:line="158" w:lineRule="exact"/>
        <w:rPr>
          <w:rFonts w:ascii="Times New Roman" w:cs="Times New Roman" w:eastAsia="Times New Roman" w:hAnsi="Times New Roman"/>
          <w:sz w:val="22"/>
          <w:szCs w:val="22"/>
          <w:color w:val="auto"/>
        </w:rPr>
      </w:pPr>
    </w:p>
    <w:p>
      <w:pPr>
        <w:jc w:val="both"/>
        <w:ind w:firstLine="757"/>
        <w:spacing w:after="0" w:line="267" w:lineRule="exact"/>
        <w:tabs>
          <w:tab w:leader="none" w:pos="118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properties or assets being acquired or licensed, or the Person whose Equity Interests are being acquired, are useful in or engaged in, as applicable, (i) the same or a related line of business as that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conducted by Borrower or its Subsidiaries, including the treatment, prevention, palliation or diagnosis of any human disease, disorder or condition, or (ii) a line of business that is ancillary or in furtherance of a line of business as that then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conducted by Borrower or its Subsidiaries;</w:t>
      </w:r>
    </w:p>
    <w:p>
      <w:pPr>
        <w:spacing w:after="0" w:line="14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1"/>
          <w:numId w:val="2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Asset Acquisition, the subject assets are being acquired or licensed by Borrower or a Subsidiary of Borrower, and (i) if acquired or licensed by a Credit Party or any of its Subsidiaries, the applicable Person shall have executed and delivered or authorized, as applicable, any and all security agreements, financing statements, fixture filings, and other documentation reasonably requested by the Blackstone Representative in order to include the newly acquired or licensed assets within the Collateral, as applicable, to the extent required by </w:t>
      </w:r>
      <w:r>
        <w:rPr>
          <w:rFonts w:ascii="Times New Roman" w:cs="Times New Roman" w:eastAsia="Times New Roman" w:hAnsi="Times New Roman"/>
          <w:sz w:val="22"/>
          <w:szCs w:val="22"/>
          <w:u w:val="single" w:color="auto"/>
          <w:color w:val="auto"/>
        </w:rPr>
        <w:t>Section 5.12</w:t>
      </w:r>
      <w:r>
        <w:rPr>
          <w:rFonts w:ascii="Times New Roman" w:cs="Times New Roman" w:eastAsia="Times New Roman" w:hAnsi="Times New Roman"/>
          <w:sz w:val="22"/>
          <w:szCs w:val="22"/>
          <w:color w:val="auto"/>
        </w:rPr>
        <w:t>, and (ii) if acquired or licensed by a Subsidiary of Borrower that is not a Credit Party, or if such subject assets do not constitute Collateral, then the total consideration paid or payable (including without limitation, all transaction costs, assumed Indebtedness and the maximum amount of all Acquisition Deferred Payments (other than royalty payments based solely on a percentage of sales or revenue attributable to the assets or Persons being acquired), but disregarding any working capital adjustments) (such amounts, collectively the “</w:t>
      </w:r>
      <w:r>
        <w:rPr>
          <w:rFonts w:ascii="Times New Roman" w:cs="Times New Roman" w:eastAsia="Times New Roman" w:hAnsi="Times New Roman"/>
          <w:sz w:val="22"/>
          <w:szCs w:val="22"/>
          <w:b w:val="1"/>
          <w:bCs w:val="1"/>
          <w:color w:val="auto"/>
        </w:rPr>
        <w:t>Acquisition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Consideration</w:t>
      </w:r>
      <w:r>
        <w:rPr>
          <w:rFonts w:ascii="Times New Roman" w:cs="Times New Roman" w:eastAsia="Times New Roman" w:hAnsi="Times New Roman"/>
          <w:sz w:val="22"/>
          <w:szCs w:val="22"/>
          <w:color w:val="auto"/>
        </w:rPr>
        <w:t>”) for all such assets, together with the Acquisition Consideration paid for Stock Acquisitions described in clauses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(d)(ii)(B) and (C) below and Investments made pursuant to clauses (k) and (p) of the definition of “Permitted Investment”, shall not exceed $5,000,000 in the aggregate;</w:t>
      </w:r>
    </w:p>
    <w:p>
      <w:pPr>
        <w:spacing w:after="0" w:line="184"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2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 Stock Acquisition, (i) 100% of the Equity Interests issued by the target are acquired by Borrower or a Subsidiary and (ii) either (A) the subject Equity Interests are being acquired in such Acquisition directly by a Credit Party and the relevant Credit Party shall have complied with its obligations under </w:t>
      </w:r>
      <w:r>
        <w:rPr>
          <w:rFonts w:ascii="Times New Roman" w:cs="Times New Roman" w:eastAsia="Times New Roman" w:hAnsi="Times New Roman"/>
          <w:sz w:val="21"/>
          <w:szCs w:val="21"/>
          <w:u w:val="single" w:color="auto"/>
          <w:color w:val="auto"/>
        </w:rPr>
        <w:t>Sections 5.12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5.13</w:t>
      </w:r>
      <w:r>
        <w:rPr>
          <w:rFonts w:ascii="Times New Roman" w:cs="Times New Roman" w:eastAsia="Times New Roman" w:hAnsi="Times New Roman"/>
          <w:sz w:val="21"/>
          <w:szCs w:val="21"/>
          <w:color w:val="auto"/>
        </w:rPr>
        <w:t xml:space="preserve"> and caused the target to become a Guarantor, (B) the subject Equity Interests are being acquired in such Acquisition directly by a Credit Party, but the target of the Stock Acquisition does not become a Guarantor and otherwise complies with </w:t>
      </w:r>
      <w:r>
        <w:rPr>
          <w:rFonts w:ascii="Times New Roman" w:cs="Times New Roman" w:eastAsia="Times New Roman" w:hAnsi="Times New Roman"/>
          <w:sz w:val="21"/>
          <w:szCs w:val="21"/>
          <w:u w:val="single" w:color="auto"/>
          <w:color w:val="auto"/>
        </w:rPr>
        <w:t>Sections 5.12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5.13</w:t>
      </w:r>
      <w:r>
        <w:rPr>
          <w:rFonts w:ascii="Times New Roman" w:cs="Times New Roman" w:eastAsia="Times New Roman" w:hAnsi="Times New Roman"/>
          <w:sz w:val="21"/>
          <w:szCs w:val="21"/>
          <w:color w:val="auto"/>
        </w:rPr>
        <w:t xml:space="preserve"> or (C) the subject Equity Interests are not acquired in such acquisition directly by a Credit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aggregate Acquisition Consideration paid or payable in connection with Stock Acquisitions described in subclauses (B) and (C) above, together with the Acquisition Consideration paid or payable for Asset Acquisitions described in clause (c)(ii) above and Investments made pursuant to clauses</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(p) of the definition of “Permitted Investment”, shall not exceed $5,000,000 in the aggregate;</w:t>
      </w:r>
    </w:p>
    <w:p>
      <w:pPr>
        <w:spacing w:after="0" w:line="182"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1"/>
          <w:numId w:val="2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Indebtedness or Liens assumed in connection with such Acquisition are otherwise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-953135</wp:posOffset>
            </wp:positionV>
            <wp:extent cx="431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22" w:name="page223"/>
    <w:bookmarkEnd w:id="222"/>
    <w:p>
      <w:pPr>
        <w:ind w:right="20" w:firstLine="757"/>
        <w:spacing w:after="0" w:line="258" w:lineRule="auto"/>
        <w:tabs>
          <w:tab w:leader="none" w:pos="118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before and immediately after giving effect to such Acquisition, the Credit Parties are in compliance, on a pro forma basis, with the financial covenant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2"/>
          <w:szCs w:val="22"/>
          <w:color w:val="auto"/>
        </w:rPr>
      </w:pPr>
    </w:p>
    <w:p>
      <w:pPr>
        <w:jc w:val="both"/>
        <w:ind w:firstLine="757"/>
        <w:spacing w:after="0" w:line="233" w:lineRule="auto"/>
        <w:tabs>
          <w:tab w:leader="none" w:pos="118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connection with any Acquisition which the Acquisition Consideration paid or payable with respect to such Acquisition is greater than $25,000,000, (1) at least five (5) Business Days prior to the date of the consummation of such Acquisition, Borrower shall have delivered to Agent and the Blackstone Representative (and Agent shall have in turn delivered to the Lenders) notice of such Acquisition, together with historical financial information and analysis with respect to the Person whose stock or assets are being acquired and copies of the acquisition agreement and related documents (including financial information and analysis, Phase I environmental assessments, opinions, certificates and lien searches), a quality of earnings report, prepared by a third party acceptable to the Blackstone Representative and information reasonably requested by Blackstone Representative and (2) Borrower shall have delivered to Agent and the Blackstone Representative (and Agent shall have in turn delivered to the Lenders) all such other materials which have been delivered or presented to the transaction committee of the Borrower (or if no such materials have been presented or delivered to any such transaction committee, those materials which have been presented or delivered to the board of directors of the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Borrower shall not be required to deliver any such materials to the extent it is expressly prohibited from doing so in accordance with the binding confidentiality provisions applicable to such Acquisition;</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total Acquisition Consideration (including any Acquisition Consideration which is (A) paid in the form of Equity Interests in Borrower, or (B) funded with the proceeds of Qualified Equity Interests in Borrower issued after the date hereof) paid for all Permitted Acquisitions shall not exceed $100,000,000 in the aggregate; and</w:t>
      </w:r>
    </w:p>
    <w:p>
      <w:pPr>
        <w:spacing w:after="0" w:line="173"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Acquisition shall not be hostile and shall have been approved by the Board of Directors (or other similar body) and/or the stockholders or other equity holders of the Person being acquired or from whom assets are being acquired.</w:t>
      </w:r>
    </w:p>
    <w:p>
      <w:pPr>
        <w:spacing w:after="0" w:line="154" w:lineRule="exact"/>
        <w:rPr>
          <w:rFonts w:ascii="Times New Roman" w:cs="Times New Roman" w:eastAsia="Times New Roman" w:hAnsi="Times New Roman"/>
          <w:sz w:val="22"/>
          <w:szCs w:val="22"/>
          <w:color w:val="auto"/>
        </w:rPr>
      </w:pPr>
    </w:p>
    <w:p>
      <w:pPr>
        <w:jc w:val="both"/>
        <w:ind w:firstLine="1181"/>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Permitted Bond Hedge Transaction</w:t>
      </w:r>
      <w:r>
        <w:rPr>
          <w:rFonts w:ascii="Times New Roman" w:cs="Times New Roman" w:eastAsia="Times New Roman" w:hAnsi="Times New Roman"/>
          <w:sz w:val="22"/>
          <w:szCs w:val="22"/>
          <w:color w:val="auto"/>
        </w:rPr>
        <w:t xml:space="preserve">” means any unsecured call, call spread or capped call option (or substantively equivalent derivative transaction) relating to Borrower’s common stock (or other securities or property following a fundamental change of Borrower or other change of, or adjustment with respect to, the common stock of Borrower) purchased or otherwise entered into by Borrower in connection with the issuance of any Permitted Convertible Bond Indebtedness on terms and conditions customary for bond hedge transactions in respect of transactions related to public market convertible indebtedness (pursuant to a public offering or an offering under Rule 144A or Regulation S of the Securities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purchase price for such Permitted Bond Hedge Transaction, </w:t>
      </w:r>
      <w:r>
        <w:rPr>
          <w:rFonts w:ascii="Times New Roman" w:cs="Times New Roman" w:eastAsia="Times New Roman" w:hAnsi="Times New Roman"/>
          <w:sz w:val="22"/>
          <w:szCs w:val="22"/>
          <w:i w:val="1"/>
          <w:iCs w:val="1"/>
          <w:color w:val="auto"/>
        </w:rPr>
        <w:t>less</w:t>
      </w:r>
      <w:r>
        <w:rPr>
          <w:rFonts w:ascii="Times New Roman" w:cs="Times New Roman" w:eastAsia="Times New Roman" w:hAnsi="Times New Roman"/>
          <w:sz w:val="22"/>
          <w:szCs w:val="22"/>
          <w:color w:val="auto"/>
        </w:rPr>
        <w:t xml:space="preserve"> the proceeds received by Borrower from the sale of any related Permitted Warrant Transaction, does not exceed 15.0% of the gross proceeds to Borrower from such issuance of Permitted Convertible Bond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-494665</wp:posOffset>
            </wp:positionV>
            <wp:extent cx="342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4" w:lineRule="exact"/>
        <w:rPr>
          <w:sz w:val="20"/>
          <w:szCs w:val="20"/>
          <w:color w:val="auto"/>
        </w:rPr>
      </w:pPr>
    </w:p>
    <w:p>
      <w:pPr>
        <w:jc w:val="both"/>
        <w:ind w:firstLine="1181"/>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Convertible Bond Indebtedness</w:t>
      </w:r>
      <w:r>
        <w:rPr>
          <w:rFonts w:ascii="Times New Roman" w:cs="Times New Roman" w:eastAsia="Times New Roman" w:hAnsi="Times New Roman"/>
          <w:sz w:val="21"/>
          <w:szCs w:val="21"/>
          <w:color w:val="auto"/>
        </w:rPr>
        <w:t xml:space="preserve">” means Indebtedness of Borrower having a feature which entitles the holder thereof to convert or exchange all or a portion of such Indebtedness into Equity Interests of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Permitted Convertible Bond Indebtedness shall be unsecured, (ii) no Subsidiary of Borrower or other Person shall guarantee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6707505</wp:posOffset>
            </wp:positionH>
            <wp:positionV relativeFrom="paragraph">
              <wp:posOffset>-200660</wp:posOffset>
            </wp:positionV>
            <wp:extent cx="431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3" w:name="page224"/>
    <w:bookmarkEnd w:id="223"/>
    <w:p>
      <w:pPr>
        <w:jc w:val="both"/>
        <w:spacing w:after="0" w:line="245" w:lineRule="auto"/>
        <w:rPr>
          <w:sz w:val="20"/>
          <w:szCs w:val="20"/>
          <w:color w:val="auto"/>
        </w:rPr>
      </w:pPr>
      <w:r>
        <w:rPr>
          <w:rFonts w:ascii="Times New Roman" w:cs="Times New Roman" w:eastAsia="Times New Roman" w:hAnsi="Times New Roman"/>
          <w:sz w:val="21"/>
          <w:szCs w:val="21"/>
          <w:color w:val="auto"/>
        </w:rPr>
        <w:t>otherwise be an obligor in respect of Permitted Convertible Bond Indebtedness, (iii) Permitted Convertible Bond Indebtedness shall not include covenants and defaults (other than covenants and defaults customary for public convertible bonds, as determined by Borrower in its good faith judgment) that are, taken as a whole, not more restrictive to the Credit Parties than the provisions of this Agreement (as determined by Borrower in its good faith judgment), (iv) no Default or Event of Default shall have occurred and be continuing at the time of incurrence of such Permitted Convertible Bond Indebtedness or would result therefrom, (v) Permitted Convertible Bond Indebtedness shall have no scheduled amortization or principal payments, mandatory redemptions or other required payments of principal (but, for the avoidance of doubt, may have regularly scheduled cash interest payments and customary obligations to repurchase upon a “fundamental change” or “change of control” or any comparable term, or upon customary events of default, under and as defined in any indenture governing any Permitted Convertible Bond Indebtedness) prior to a date that is at least 181 days following the Term Loan Maturity Date, (vi) the terms of the Permitted Convertible Bond Indebtedness shall be consistent with customary market terms for public convertible bonds, and (vii) Borrower shall have delivered to Agent a certificate of a Responsible Officer of Borrower certifying as to the foregoing.</w:t>
      </w:r>
    </w:p>
    <w:p>
      <w:pPr>
        <w:spacing w:after="0" w:line="17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Distributions</w:t>
      </w:r>
      <w:r>
        <w:rPr>
          <w:rFonts w:ascii="Times New Roman" w:cs="Times New Roman" w:eastAsia="Times New Roman" w:hAnsi="Times New Roman"/>
          <w:sz w:val="22"/>
          <w:szCs w:val="22"/>
          <w:color w:val="auto"/>
        </w:rPr>
        <w:t xml:space="preserve">” means, in each case subject to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 xml:space="preserve"> if applicable:</w:t>
      </w:r>
    </w:p>
    <w:p>
      <w:pPr>
        <w:spacing w:after="0" w:line="176" w:lineRule="exact"/>
        <w:rPr>
          <w:sz w:val="20"/>
          <w:szCs w:val="20"/>
          <w:color w:val="auto"/>
        </w:rPr>
      </w:pPr>
    </w:p>
    <w:p>
      <w:pPr>
        <w:jc w:val="both"/>
        <w:ind w:firstLine="757"/>
        <w:spacing w:after="0" w:line="291" w:lineRule="exact"/>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other payments by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on its Equity Interests to, or the redemption, retirement or purchase by any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its Equity Interests from, Borrower or any other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w:t>
      </w:r>
    </w:p>
    <w:p>
      <w:pPr>
        <w:spacing w:after="0" w:line="112" w:lineRule="exact"/>
        <w:rPr>
          <w:rFonts w:ascii="Times New Roman" w:cs="Times New Roman" w:eastAsia="Times New Roman" w:hAnsi="Times New Roman"/>
          <w:sz w:val="22"/>
          <w:szCs w:val="22"/>
          <w:color w:val="auto"/>
        </w:rPr>
      </w:pPr>
    </w:p>
    <w:p>
      <w:pPr>
        <w:jc w:val="both"/>
        <w:ind w:firstLine="757"/>
        <w:spacing w:after="0" w:line="271" w:lineRule="exact"/>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other payments by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on its Equity Interests to, or the redemption, retirement or purchase by any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its Equity Interests from, Borrower or any other Subsidiary or each other owner of such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Subsidiary’s Equity Interests based on their relative ownership interests of the relevant class of such Equity Interests;</w:t>
      </w:r>
    </w:p>
    <w:p>
      <w:pPr>
        <w:spacing w:after="0" w:line="179"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Non-cash redemptions by Borrower in whole or in part of any of its Qualified Equity Interests for another class of its Qualified Equity Interests or rights to acquire its Qualified Equity Interests or with proceeds from substantially concurrent equity contributions or issuances of new Qualified Equity Interests;</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any payment of premium to a counterparty under a Permitted Bond Hedge Transaction in accordance with the definition thereof, and (ii) any settlement, unwinding or other termination of a Permitted Bond Hedge Transaction and/or Permitted Warrant Transaction;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settlement of any Permitted Warrant Transaction pursuant to this clause (ii), such settlement shall not be in the form of cash but instead in the form of share issuance or offsetting payments on the underlying warrant and/or bond hedge;</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by Borrower of any Permitted Convertible Bond Indebtedness into or in exchange for Qualified Equity Interests of Borrower (and cash in lieu of fractional shares);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4" w:name="page225"/>
    <w:bookmarkEnd w:id="224"/>
    <w:p>
      <w:pPr>
        <w:ind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payments in lieu of the issuance of fractional shares arising out of stock dividends, splits or combinations or in connection with the exercise of warrants, options or other securities convertible into or exchangeable for Equity Interests;</w:t>
      </w:r>
    </w:p>
    <w:p>
      <w:pPr>
        <w:spacing w:after="0" w:line="158"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Acquisition or other Permitted Investment by Borrower or any of its Subsidiaries, (i) the receipt or acceptance of the return to Borrower or any of its Subsidiaries of common Equity Interests of Borrower constituting a portion of the purchase price consideration in settlement of indemnification claims, or as a result of a purchase price adjustment (including earn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outs or similar obligations) and (ii) payments or distributions to equity holders pursuant to appraisal rights required under Requirements of Law;</w:t>
      </w:r>
    </w:p>
    <w:p>
      <w:pPr>
        <w:spacing w:after="0" w:line="179"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distribution of rights to Qualified Equity Interests pursuant to any shareholder rights plan or the redemption of such rights for nominal consideration in accordance with the terms of any shareholder rights plan;</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payments on its Equity Interests by any Subsidiary to any Credit Party;</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distributions or payments on its Equity Interests by any Subsidiary that is not a Credit Party to any other Subsidiary that is not a Credit Party;</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of Equity Interests of Borrower or its Subsidiaries in connection with the exercise of stock options by way of cashless exercise, or in connection with the satisfaction of withholding tax obligations;</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to directors, officers, employees or contractors of Borrower of common stock of Borrower upon the vesting of restricted stock, restricted stock units, or other rights to acquire common stock of Borrower pursuant to plans or agreements approved by Borrower’s Board of Directors or stockholders;</w:t>
      </w:r>
    </w:p>
    <w:p>
      <w:pPr>
        <w:spacing w:after="0" w:line="173" w:lineRule="exact"/>
        <w:rPr>
          <w:rFonts w:ascii="Times New Roman" w:cs="Times New Roman" w:eastAsia="Times New Roman" w:hAnsi="Times New Roman"/>
          <w:sz w:val="22"/>
          <w:szCs w:val="22"/>
          <w:color w:val="auto"/>
        </w:rPr>
      </w:pPr>
    </w:p>
    <w:p>
      <w:pPr>
        <w:jc w:val="both"/>
        <w:ind w:firstLine="757"/>
        <w:spacing w:after="0" w:line="253" w:lineRule="exact"/>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retirement or other acquisition or retirement for value of Equity Interests of the issuer thereof held by any future, present or former employee, consultant, officer or director (or spouse or trust for the benefit of any of the foregoing or any lineal descendants thereof) of such issuer or any of its Subsidiaries pursuant to any management equity plan or stock option plan or any other management or employee benefit plan or agreement, or any stock subscription or shareholder agreement or employment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aggregate payments made under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xml:space="preserve"> do not exceed in any calendar year the sum of (i) $1,000,000 (or such larger amount as agreed to and negotiated in good faith by the Blackstone Representative and Borrower (each in their sole discretion) upon growth in Borrower’s stock price or consolidated employee base) plus (ii) the amount of any payments received in such calendar year under key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man life insurance policies;</w:t>
      </w:r>
    </w:p>
    <w:p>
      <w:pPr>
        <w:spacing w:after="0" w:line="149"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distributions or other payment consisting of and made in Qualified Equity Interests so long as such repurchases, distributions or other payments do not results in a Change in Control;</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repurchase, exchange or repayment of the 2026 Convertible Notes;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with respect to repayment at maturity, both immediately before and after giving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-1407160</wp:posOffset>
            </wp:positionV>
            <wp:extent cx="342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22"/>
          <w:szCs w:val="22"/>
          <w:color w:val="auto"/>
        </w:rPr>
        <w:t>to such repurchase, exchange or repayment, no Event of Default has occurred and is continuing; and</w:t>
      </w:r>
    </w:p>
    <w:p>
      <w:pPr>
        <w:spacing w:after="0" w:line="206" w:lineRule="exact"/>
        <w:rPr>
          <w:sz w:val="20"/>
          <w:szCs w:val="20"/>
          <w:color w:val="auto"/>
        </w:rPr>
      </w:pPr>
    </w:p>
    <w:p>
      <w:pPr>
        <w:jc w:val="both"/>
        <w:ind w:firstLine="757"/>
        <w:spacing w:after="0" w:line="244" w:lineRule="auto"/>
        <w:tabs>
          <w:tab w:leader="none" w:pos="1181" w:val="left"/>
        </w:tabs>
        <w:numPr>
          <w:ilvl w:val="0"/>
          <w:numId w:val="2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Restricted Distributions in an aggregate amount not to exceed $5,000,000 during the term of this Agreement, so long as both immediately before and after giving effect to any such payment in respect to Equity Interests, no Default or Event of Default has occurred and is continuing.</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anything else to the contrary in this Agreement, no Restricted Distributions shall be made by the Credit Parties to Subsidiaries of Borrower that are not Credit Parties.</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Indebtedness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right="40" w:firstLine="757"/>
        <w:spacing w:after="0" w:line="258" w:lineRule="auto"/>
        <w:tabs>
          <w:tab w:leader="none" w:pos="11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the Credit Parties to the Secured Parties under this Agreement and the other Loan Documents (including the Incremental Delayed Draw Term Facility);</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existing on the Closing Date and shown on </w:t>
      </w:r>
      <w:r>
        <w:rPr>
          <w:rFonts w:ascii="Times New Roman" w:cs="Times New Roman" w:eastAsia="Times New Roman" w:hAnsi="Times New Roman"/>
          <w:sz w:val="22"/>
          <w:szCs w:val="22"/>
          <w:u w:val="single" w:color="auto"/>
          <w:color w:val="auto"/>
        </w:rPr>
        <w:t>Schedule 12.1</w:t>
      </w:r>
      <w:r>
        <w:rPr>
          <w:rFonts w:ascii="Times New Roman" w:cs="Times New Roman" w:eastAsia="Times New Roman" w:hAnsi="Times New Roman"/>
          <w:sz w:val="22"/>
          <w:szCs w:val="22"/>
          <w:color w:val="auto"/>
        </w:rPr>
        <w:t xml:space="preserve"> of the Disclosure Letter;</w:t>
      </w:r>
    </w:p>
    <w:p>
      <w:pPr>
        <w:spacing w:after="0" w:line="206"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Subordinated Debt and Permitted Convertible Bond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each case any such Indebtedness is unsecured;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 the aggregate principal amount of Indebtedness incurred in reliance of this clause (c) does not exceed $150,000,000 at any time outstanding, and (ii) any such Indebtedness does not provide for interest payments in cash of greater than 4% of such Indebtedness per annum, at any time prior to the date that is 181 days following the Term Loan Maturity Date;</w:t>
      </w:r>
    </w:p>
    <w:p>
      <w:pPr>
        <w:spacing w:after="0" w:line="176"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not to exceed $5,000,000 in the aggregate at any time outstanding, consisting of (i) Indebtedness incurred to finance the purchase, construction, repair, or improvement of fixed assets and (ii) Capital Lease obligations;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connection with corporate credit cards, purchasing cards or bank card products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61" w:lineRule="auto"/>
        <w:tabs>
          <w:tab w:leader="none" w:pos="1181" w:val="left"/>
        </w:tabs>
        <w:numPr>
          <w:ilvl w:val="0"/>
          <w:numId w:val="2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in the form of an asset based loan (i) on customary terms, (ii) not to exceed $25,000,000 at any time outstanding, (iii) not subject to any Liens other than Liens permitted by clause (o) of the definition of “Permitted Liens” and (iv) subject to an intercreditor agreement in form and substance satisfactory to the Blackstone Representative in its sole discretion;</w:t>
      </w:r>
    </w:p>
    <w:p>
      <w:pPr>
        <w:spacing w:after="0" w:line="157" w:lineRule="exact"/>
        <w:rPr>
          <w:rFonts w:ascii="Times New Roman" w:cs="Times New Roman" w:eastAsia="Times New Roman" w:hAnsi="Times New Roman"/>
          <w:sz w:val="21"/>
          <w:szCs w:val="21"/>
          <w:color w:val="auto"/>
        </w:rPr>
      </w:pPr>
    </w:p>
    <w:p>
      <w:pPr>
        <w:jc w:val="both"/>
        <w:ind w:firstLine="757"/>
        <w:spacing w:after="0" w:line="235" w:lineRule="auto"/>
        <w:tabs>
          <w:tab w:leader="none" w:pos="1181" w:val="left"/>
        </w:tabs>
        <w:numPr>
          <w:ilvl w:val="0"/>
          <w:numId w:val="2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assumed in connection with a Permitted Acquisition or other Permitted Investment (including Indebtedness of a person that becomes a Subsidiary of Borrower in connection with such Permitted Acquisition or Permitted Investment), so long as (i) such Indebtedness was not incurred in connection with, or in anticipation of, such Permitted Acquisition or other Permitted investment, (ii) both immediately before and after giving effect thereto, no Default or Event of Default shall exist and be continuing, (iii) if such Indebtedness is secured, the Lien constitutes a Permitted Lien pursuant to clause (i) of the definition thereof, (iv) such Indebtedness is not guaranteed by any Credit Party (other than a Person acquired in such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-3354705</wp:posOffset>
            </wp:positionV>
            <wp:extent cx="857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-3200400</wp:posOffset>
            </wp:positionV>
            <wp:extent cx="431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6" w:name="page227"/>
    <w:bookmarkEnd w:id="226"/>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Acquisition), (v) both before and after giving effect to the incurrence of such Indebtedness, the Credit Parties are in compliance, on a pro forma basis, with the financial covenant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(vi) the aggregate principal balance of such Indebtedness does not exceed $10,000,000 at any time outstanding;</w:t>
      </w:r>
    </w:p>
    <w:p>
      <w:pPr>
        <w:spacing w:after="0" w:line="173" w:lineRule="exact"/>
        <w:rPr>
          <w:sz w:val="20"/>
          <w:szCs w:val="20"/>
          <w:color w:val="auto"/>
        </w:rPr>
      </w:pPr>
    </w:p>
    <w:p>
      <w:pPr>
        <w:ind w:right="20" w:firstLine="757"/>
        <w:spacing w:after="0" w:line="258"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Borrower or any of its Subsidiaries with respect to letters of credit entered into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unsecured Indebtedness owed (i) by a Credit Party to another Credit Party, (ii) by a Subsidiary of Borrower that is not a Credit Party to another Subsidiary of Borrower that is not a Credit Party, (iii) by a Credit Party to a Subsidiary of Borrower that is not a Credit Party, or (iv) by a Subsidiary of Borrower that is not a Credit Party to a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advance of such Indebtedness under this clause (iv) is permitted under clause (o)(iv) of the definition of Permitted Investments;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from and after the Closing Date, all such Indebtedness shall be subject to the Intercompany Subordination Agreement;</w:t>
      </w:r>
    </w:p>
    <w:p>
      <w:pPr>
        <w:spacing w:after="0" w:line="181"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Contingent Obligations (i) of a Credit Party of Permitted Indebtedness (or obligations that are not Indebtedness) of another Credit Party, (ii) of a Subsidiary of Borrower which is not a Credit Party of Permitted Indebtedness (or obligations that are not Indebtedness) of another Subsidiary of Borrower which is not a Credit Party, (iii) of a Subsidiary of Borrower which is not a Credit Party of Permitted Indebtedness (or obligations that are not Indebtedness) of a Credit Party, or (iv) (A) of a Credit Party of lease obligations of a Subsidiary of Borrower which is not a Credit Party or (B) of a Credit Party of Permitted Indebtedness (or obligations that are not Indebtedness) of a Subsidiary of Borrower which is not a Credit Party, not to exceed, with respect to subclasses (A) and (B), $5,000,000 in the aggregate at any time outstanding;</w:t>
      </w:r>
    </w:p>
    <w:p>
      <w:pPr>
        <w:spacing w:after="0" w:line="183"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obligations of Borrower to purchase, redeem, retire, defease or otherwise acquire for value its own Qualified Equity</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Interests;</w:t>
      </w:r>
    </w:p>
    <w:p>
      <w:pPr>
        <w:spacing w:after="0" w:line="182" w:lineRule="exact"/>
        <w:rPr>
          <w:rFonts w:ascii="Times New Roman" w:cs="Times New Roman" w:eastAsia="Times New Roman" w:hAnsi="Times New Roman"/>
          <w:sz w:val="21"/>
          <w:szCs w:val="21"/>
          <w:color w:val="auto"/>
        </w:rPr>
      </w:pPr>
    </w:p>
    <w:p>
      <w:pPr>
        <w:ind w:left="1180" w:hanging="423"/>
        <w:spacing w:after="0"/>
        <w:tabs>
          <w:tab w:leader="none" w:pos="11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the form of Acquisition Deferred Payments incurred in connection with Permitted Acquisitions;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owed to (including obligations in respect of letters of credit or bank guarantees or similar instruments for the benefit of) any Person providing workers’ compensation, health, disability or other employee benefits or property, casualty or liability insurance to Borrower or any of its Subsidiaries, pursuant to reimbursement or indemnification obligations to such Person, in each case, in the ordinary course of business;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performance bonds, bid bonds, appeal bonds, surety bonds and completion guarantees and similar obligations arising in the ordinary course of business;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netting services or overdraft protection in connection with deposit or securities accounts in the ordinary course of business;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financing of insurance premiums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6659245</wp:posOffset>
            </wp:positionH>
            <wp:positionV relativeFrom="paragraph">
              <wp:posOffset>-4368800</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-4060190</wp:posOffset>
            </wp:positionV>
            <wp:extent cx="342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7" w:name="page228"/>
    <w:bookmarkEnd w:id="227"/>
    <w:p>
      <w:pPr>
        <w:ind w:left="1180" w:hanging="423"/>
        <w:spacing w:after="0"/>
        <w:tabs>
          <w:tab w:leader="none" w:pos="1180" w:val="left"/>
        </w:tabs>
        <w:numPr>
          <w:ilvl w:val="0"/>
          <w:numId w:val="2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arising in connection with endorsement of instruments for deposit in the ordinary course of business;</w:t>
      </w:r>
    </w:p>
    <w:p>
      <w:pPr>
        <w:spacing w:after="0" w:line="217" w:lineRule="exact"/>
        <w:rPr>
          <w:rFonts w:ascii="Times New Roman" w:cs="Times New Roman" w:eastAsia="Times New Roman" w:hAnsi="Times New Roman"/>
          <w:sz w:val="21"/>
          <w:szCs w:val="21"/>
          <w:color w:val="auto"/>
        </w:rPr>
      </w:pPr>
    </w:p>
    <w:p>
      <w:pPr>
        <w:jc w:val="both"/>
        <w:ind w:right="20" w:firstLine="757"/>
        <w:spacing w:after="0" w:line="244" w:lineRule="auto"/>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obligations under Hedging Agreements incurred in the ordinary course of business for the purpose of directly mitigating bona fide risks associated with interest rates or foreign exchange rates and not for speculative purposes;</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unsecured Indebtedness in an aggregate amount outstanding at any time not to exceed $5,000,000,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such Indebtedness does not provide for mandatory cash payments until maturity and (ii) such Indebtedness matures at least 181 days following the Term Loan Maturity Date; and</w:t>
      </w:r>
    </w:p>
    <w:p>
      <w:pPr>
        <w:spacing w:after="0" w:line="173" w:lineRule="exact"/>
        <w:rPr>
          <w:rFonts w:ascii="Times New Roman" w:cs="Times New Roman" w:eastAsia="Times New Roman" w:hAnsi="Times New Roman"/>
          <w:sz w:val="22"/>
          <w:szCs w:val="22"/>
          <w:color w:val="auto"/>
        </w:rPr>
      </w:pPr>
    </w:p>
    <w:p>
      <w:pPr>
        <w:jc w:val="both"/>
        <w:ind w:firstLine="757"/>
        <w:spacing w:after="0" w:line="264" w:lineRule="exact"/>
        <w:tabs>
          <w:tab w:leader="none" w:pos="1181"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Permitted Refinancings of Indebtedness permitted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clarity, the consummation of Permitted Refinancings referred to in this clause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shall not result in Permitted Indebtedness described in </w:t>
      </w:r>
      <w:r>
        <w:rPr>
          <w:rFonts w:ascii="Times New Roman" w:cs="Times New Roman" w:eastAsia="Times New Roman" w:hAnsi="Times New Roman"/>
          <w:sz w:val="22"/>
          <w:szCs w:val="22"/>
          <w:u w:val="single" w:color="auto"/>
          <w:color w:val="auto"/>
        </w:rPr>
        <w:t>clauses (b)</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being reallocated to this clause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 and otherwise providing additional capacity for Permitted Indebtedness under the current dollar</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based baskets.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5978525</wp:posOffset>
            </wp:positionH>
            <wp:positionV relativeFrom="paragraph">
              <wp:posOffset>-522605</wp:posOffset>
            </wp:positionV>
            <wp:extent cx="431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Notwithstanding the foregoing, the aggregate principal balance of Indebtedness incurred by Subsidiaries of Borrower that are not Credit Parties at any time outstanding shall not exceed $5,000,000.</w:t>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(including Investments in Subsidiaries) existing on the Closing Date and shown on </w:t>
      </w:r>
      <w:r>
        <w:rPr>
          <w:rFonts w:ascii="Times New Roman" w:cs="Times New Roman" w:eastAsia="Times New Roman" w:hAnsi="Times New Roman"/>
          <w:sz w:val="22"/>
          <w:szCs w:val="22"/>
          <w:u w:val="single" w:color="auto"/>
          <w:color w:val="auto"/>
        </w:rPr>
        <w:t>Schedule 12.2</w:t>
      </w:r>
      <w:r>
        <w:rPr>
          <w:rFonts w:ascii="Times New Roman" w:cs="Times New Roman" w:eastAsia="Times New Roman" w:hAnsi="Times New Roman"/>
          <w:sz w:val="22"/>
          <w:szCs w:val="22"/>
          <w:color w:val="auto"/>
        </w:rPr>
        <w:t xml:space="preserve"> of the Disclosure Letter;</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cash and Cash Equivalents;</w:t>
      </w:r>
    </w:p>
    <w:p>
      <w:pPr>
        <w:spacing w:after="0" w:line="206"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the endorsement of negotiable instruments for deposit or collection or similar transactions in the ordinary course of business;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5.5</w:t>
      </w:r>
      <w:r>
        <w:rPr>
          <w:rFonts w:ascii="Times New Roman" w:cs="Times New Roman" w:eastAsia="Times New Roman" w:hAnsi="Times New Roman"/>
          <w:sz w:val="22"/>
          <w:szCs w:val="22"/>
          <w:color w:val="auto"/>
        </w:rPr>
        <w:t>, Investments consisting of deposit accounts or securities accounts;</w:t>
      </w:r>
    </w:p>
    <w:p>
      <w:pPr>
        <w:spacing w:after="0" w:line="206"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Investments in the form of Permitted Bond Hedge Transactions and Permitted Warrant Transactions, in each case, entered into in connection with Permitted Convertible Notes;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which are Permitted Transfers (other than pursuant to clause (d) of the definition thereof);</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advances in the ordinary course of business, and (ii) loans to employees, officers or directors in an aggregate principal amount not to exceed $1,000,000 at any one time outstanding relating to the purchase of equity securities of Borrower pursuant to employee stock purchase plans or agreements approved by Borrower’s Board of Directors;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8" w:name="page229"/>
    <w:bookmarkEnd w:id="228"/>
    <w:p>
      <w:pPr>
        <w:jc w:val="both"/>
        <w:ind w:firstLine="757"/>
        <w:spacing w:after="0" w:line="244" w:lineRule="auto"/>
        <w:tabs>
          <w:tab w:leader="none" w:pos="1181"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73"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181"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consisting of notes receivable of, or prepaid royalties and other credit extensions, to customers and suppliers who are not Affiliates,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shall not apply to Investments of any Credit Party in any of its Subsidiaries;</w:t>
      </w:r>
    </w:p>
    <w:p>
      <w:pPr>
        <w:spacing w:after="0" w:line="138" w:lineRule="exact"/>
        <w:rPr>
          <w:rFonts w:ascii="Times New Roman" w:cs="Times New Roman" w:eastAsia="Times New Roman" w:hAnsi="Times New Roman"/>
          <w:sz w:val="22"/>
          <w:szCs w:val="22"/>
          <w:color w:val="auto"/>
        </w:rPr>
      </w:pPr>
    </w:p>
    <w:p>
      <w:pPr>
        <w:ind w:right="40" w:firstLine="757"/>
        <w:spacing w:after="0" w:line="287" w:lineRule="exact"/>
        <w:tabs>
          <w:tab w:leader="none" w:pos="1181"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joint ventures or strategic alliances consisting of the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licensing of technology, the development of technology or the providing of technical support;</w:t>
      </w:r>
    </w:p>
    <w:p>
      <w:pPr>
        <w:spacing w:after="0" w:line="176"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a Subsidiary of Borrower which is not a Credit Party that is required in order to consummate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cash consideration in a Permitted Acquisition), so long as (i) both before and after giving effect to such Investment, the Credit Parties are in compliance, on a pro forma basis, with the financial covenant set forth in </w:t>
      </w:r>
      <w:r>
        <w:rPr>
          <w:rFonts w:ascii="Times New Roman" w:cs="Times New Roman" w:eastAsia="Times New Roman" w:hAnsi="Times New Roman"/>
          <w:sz w:val="21"/>
          <w:szCs w:val="21"/>
          <w:u w:val="single" w:color="auto"/>
          <w:color w:val="auto"/>
        </w:rPr>
        <w:t>Section 6.17</w:t>
      </w:r>
      <w:r>
        <w:rPr>
          <w:rFonts w:ascii="Times New Roman" w:cs="Times New Roman" w:eastAsia="Times New Roman" w:hAnsi="Times New Roman"/>
          <w:sz w:val="21"/>
          <w:szCs w:val="21"/>
          <w:color w:val="auto"/>
        </w:rPr>
        <w:t xml:space="preserve"> and (ii) the aggregate Investments made pursuant to this clause (k), together with the Acquisition Consideration paid or payable for Permitted Acquisitions described in clauses (c)(ii) and (d)(ii)(B) and (C) of the definition thereof, and amounts paid pursuant to clause (p) of the definition “Permitted Investment”, does not exceed $5,000,000 at any time outstanding;</w:t>
      </w:r>
    </w:p>
    <w:p>
      <w:pPr>
        <w:spacing w:after="0" w:line="179"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constituting the formation of any Subsidiary that is a Credit Party for the purpose of consummating a merger or acquisition transaction permitted by </w:t>
      </w:r>
      <w:r>
        <w:rPr>
          <w:rFonts w:ascii="Times New Roman" w:cs="Times New Roman" w:eastAsia="Times New Roman" w:hAnsi="Times New Roman"/>
          <w:sz w:val="22"/>
          <w:szCs w:val="22"/>
          <w:u w:val="single" w:color="auto"/>
          <w:color w:val="auto"/>
        </w:rPr>
        <w:t>Section 6.3(a)(i)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xml:space="preserve"> hereof, which such transaction is otherwise a Permitted Investment;</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Investments of any Person that (i) becomes a Subsidiary of Borrower (or of any Person not previously a Subsidiary of Borrower that is merged or consolidated with or into a Subsidiary of Borrower in a transaction permitted hereunder) after the Closing Date, or (ii) are assumed after the Closing Date by any Subsidiary of Borrower in connection with an acquisition of assets from such Person by such Subsidiary, in either case, in a Permitted Acquisition;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such Investment would not otherwise result in no Default or Event of Default;</w:t>
      </w:r>
    </w:p>
    <w:p>
      <w:pPr>
        <w:spacing w:after="0" w:line="17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1"/>
          <w:numId w:val="2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arising as a result of the Transfer of Intellectual Property to the extent permitted pursuant to clause (j),</w:t>
      </w:r>
    </w:p>
    <w:p>
      <w:pPr>
        <w:spacing w:after="0" w:line="25"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(l) of the definition of “Permitted Transfers”;</w:t>
      </w:r>
    </w:p>
    <w:p>
      <w:pPr>
        <w:spacing w:after="0" w:line="182"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(i) any Credit Party in any other Credit Party, (ii) any Subsidiary of Borrower which is not a Credit Party in another Subsidiary of Borrower which is not a Credit Party, (iii) any Subsidiary of Borrower which is not a Credit Party in any Credit Party;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5535930</wp:posOffset>
            </wp:positionH>
            <wp:positionV relativeFrom="paragraph">
              <wp:posOffset>-1697990</wp:posOffset>
            </wp:positionV>
            <wp:extent cx="514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both"/>
        <w:spacing w:after="0" w:line="251" w:lineRule="exact"/>
        <w:rPr>
          <w:sz w:val="20"/>
          <w:szCs w:val="20"/>
          <w:color w:val="auto"/>
        </w:rPr>
      </w:pPr>
      <w:r>
        <w:rPr>
          <w:rFonts w:ascii="Times New Roman" w:cs="Times New Roman" w:eastAsia="Times New Roman" w:hAnsi="Times New Roman"/>
          <w:sz w:val="22"/>
          <w:szCs w:val="22"/>
          <w:color w:val="auto"/>
        </w:rPr>
        <w:t xml:space="preserve">that (x) after giving effect to such Investment, such non-Credit Party Subsidiary may not own any Equity Interests of such Credit Party and (y) such Investment shall be subordinated to the Obligations pursuant to the Intercompany Subordination Agreement, and (iv) any Credit Party in any Subsidiary of Borrower which is not a Credit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aggregate consideration provided by Credit Parties for Investments after the Closing Date pursuant to this clause (iv) (net of all dividends, distributions, returns of capital and payments on Indebtedness received by the Credit Parties from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Credit Parties) shall not exceed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5308600</wp:posOffset>
            </wp:positionH>
            <wp:positionV relativeFrom="paragraph">
              <wp:posOffset>-500380</wp:posOffset>
            </wp:positionV>
            <wp:extent cx="431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2" w:lineRule="exact"/>
        <w:rPr>
          <w:sz w:val="20"/>
          <w:szCs w:val="20"/>
          <w:color w:val="auto"/>
        </w:rPr>
      </w:pPr>
    </w:p>
    <w:p>
      <w:pPr>
        <w:jc w:val="both"/>
        <w:ind w:firstLine="757"/>
        <w:spacing w:after="0" w:line="253" w:lineRule="auto"/>
        <w:tabs>
          <w:tab w:leader="none" w:pos="1181" w:val="left"/>
        </w:tabs>
        <w:numPr>
          <w:ilvl w:val="1"/>
          <w:numId w:val="2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generality of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above, Investments consisting of earnest money deposits required in connection with a Permitted Acquisition or other acquisition of properties or assets not otherwise prohibited hereunder; so long as</w:t>
      </w:r>
    </w:p>
    <w:p>
      <w:pPr>
        <w:jc w:val="both"/>
        <w:ind w:firstLine="8"/>
        <w:spacing w:after="0" w:line="234" w:lineRule="auto"/>
        <w:tabs>
          <w:tab w:leader="none" w:pos="278" w:val="left"/>
        </w:tabs>
        <w:numPr>
          <w:ilvl w:val="0"/>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both before and after giving effect to such Investment, the Credit Parties are in compliance, on a pro forma basis, with the financial covenant set forth in </w:t>
      </w:r>
      <w:r>
        <w:rPr>
          <w:rFonts w:ascii="Times New Roman" w:cs="Times New Roman" w:eastAsia="Times New Roman" w:hAnsi="Times New Roman"/>
          <w:sz w:val="22"/>
          <w:szCs w:val="22"/>
          <w:u w:val="single" w:color="auto"/>
          <w:color w:val="auto"/>
        </w:rPr>
        <w:t>Section 6.17</w:t>
      </w:r>
      <w:r>
        <w:rPr>
          <w:rFonts w:ascii="Times New Roman" w:cs="Times New Roman" w:eastAsia="Times New Roman" w:hAnsi="Times New Roman"/>
          <w:sz w:val="22"/>
          <w:szCs w:val="22"/>
          <w:color w:val="auto"/>
        </w:rPr>
        <w:t xml:space="preserve"> and (ii) the aggregate Investments made pursuant to this clause (p), together with the Acquisition Consideration paid for Permitted Acquisitions described in clauses (c)(ii), and (d)(ii)(B) and (C) of the definition thereof, does not exceed $5,000,000 at any time outstanding;</w:t>
      </w:r>
    </w:p>
    <w:p>
      <w:pPr>
        <w:spacing w:after="0" w:line="177"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Hedging Agreements permitted under clause (r) of the definition of “Permitted Indebtedness”; and</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2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Investments in an aggregate amount at any time not to exceed $5,000,000, so long as both immediately before and after giving effect to such Investment, no Default or Event of Default has occurred and is continuing;</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none of the foregoing Investments shall be a “Permitted Investment” if any Indebtedness or Liens assumed in connection with such Investment are not otherwise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6.5</w:t>
      </w:r>
      <w:r>
        <w:rPr>
          <w:rFonts w:ascii="Times New Roman" w:cs="Times New Roman" w:eastAsia="Times New Roman" w:hAnsi="Times New Roman"/>
          <w:sz w:val="22"/>
          <w:szCs w:val="22"/>
          <w:color w:val="auto"/>
        </w:rPr>
        <w: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-198755</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and for the benefit of Agent and the other Secured Parties pursuant to any Loan Document;</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existing on the Closing Date and set forth on </w:t>
      </w:r>
      <w:r>
        <w:rPr>
          <w:rFonts w:ascii="Times New Roman" w:cs="Times New Roman" w:eastAsia="Times New Roman" w:hAnsi="Times New Roman"/>
          <w:sz w:val="22"/>
          <w:szCs w:val="22"/>
          <w:u w:val="single" w:color="auto"/>
          <w:color w:val="auto"/>
        </w:rPr>
        <w:t>Schedule 12.3</w:t>
      </w:r>
      <w:r>
        <w:rPr>
          <w:rFonts w:ascii="Times New Roman" w:cs="Times New Roman" w:eastAsia="Times New Roman" w:hAnsi="Times New Roman"/>
          <w:sz w:val="22"/>
          <w:szCs w:val="22"/>
          <w:color w:val="auto"/>
        </w:rPr>
        <w:t xml:space="preserve"> of the Disclosure Letter;</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or governmental charges (i) which are not yet delinquent or (ii) which are being contested in good faith and by appropriate proceedings diligently conducted, if adequate reserves with respect thereto are maintained on the books of the applicable Person to the extent required in accordance with GAAP;</w:t>
      </w:r>
    </w:p>
    <w:p>
      <w:pPr>
        <w:spacing w:after="0" w:line="173" w:lineRule="exact"/>
        <w:rPr>
          <w:rFonts w:ascii="Times New Roman" w:cs="Times New Roman" w:eastAsia="Times New Roman" w:hAnsi="Times New Roman"/>
          <w:sz w:val="22"/>
          <w:szCs w:val="22"/>
          <w:color w:val="auto"/>
        </w:rPr>
      </w:pPr>
    </w:p>
    <w:p>
      <w:pPr>
        <w:jc w:val="both"/>
        <w:ind w:firstLine="757"/>
        <w:spacing w:after="0" w:line="236" w:lineRule="auto"/>
        <w:tabs>
          <w:tab w:leader="none" w:pos="1181" w:val="left"/>
        </w:tabs>
        <w:numPr>
          <w:ilvl w:val="0"/>
          <w:numId w:val="2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pledges, deposits or Liens arising as a matter of law in the ordinary course of business (other than Liens imposed by ERISA) in connection with workers’ compensation, payroll taxes, unemployment insurance and other social security legislation,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pledges and deposits in the ordinary course of business securing liability to</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0" w:name="page231"/>
    <w:bookmarkEnd w:id="230"/>
    <w:p>
      <w:pPr>
        <w:jc w:val="both"/>
        <w:spacing w:after="0" w:line="239" w:lineRule="auto"/>
        <w:rPr>
          <w:sz w:val="20"/>
          <w:szCs w:val="20"/>
          <w:color w:val="auto"/>
        </w:rPr>
      </w:pPr>
      <w:r>
        <w:rPr>
          <w:rFonts w:ascii="Times New Roman" w:cs="Times New Roman" w:eastAsia="Times New Roman" w:hAnsi="Times New Roman"/>
          <w:sz w:val="22"/>
          <w:szCs w:val="22"/>
          <w:color w:val="auto"/>
        </w:rPr>
        <w:t>landlords (including obligations in respect of letters of credit or bank guarantees for the benefit of landlords) or other contractual obligations and (iv) pledges or deposits to secure performance of tenders, statutory obligations, bids, leases or other similar obligations (other than for borrowed money) or to secure obligations on surety and appeal bonds or performance bonds, in each case, entered into in the ordinary course of business;</w:t>
      </w:r>
    </w:p>
    <w:p>
      <w:pPr>
        <w:spacing w:after="0" w:line="180" w:lineRule="exact"/>
        <w:rPr>
          <w:sz w:val="20"/>
          <w:szCs w:val="20"/>
          <w:color w:val="auto"/>
        </w:rPr>
      </w:pPr>
    </w:p>
    <w:p>
      <w:pPr>
        <w:ind w:right="40" w:firstLine="757"/>
        <w:spacing w:after="0" w:line="258" w:lineRule="auto"/>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arising from attachments or judgments, orders, or decrees in circumstances not constituting an Event of Default under either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7.7</w:t>
      </w:r>
      <w:r>
        <w:rPr>
          <w:rFonts w:ascii="Times New Roman" w:cs="Times New Roman" w:eastAsia="Times New Roman" w:hAnsi="Times New Roman"/>
          <w:sz w:val="22"/>
          <w:szCs w:val="22"/>
          <w:color w:val="auto"/>
        </w:rPr>
        <w:t>;</w:t>
      </w:r>
    </w:p>
    <w:p>
      <w:pPr>
        <w:spacing w:after="0" w:line="123" w:lineRule="exact"/>
        <w:rPr>
          <w:rFonts w:ascii="Times New Roman" w:cs="Times New Roman" w:eastAsia="Times New Roman" w:hAnsi="Times New Roman"/>
          <w:sz w:val="22"/>
          <w:szCs w:val="22"/>
          <w:color w:val="auto"/>
        </w:rPr>
      </w:pPr>
    </w:p>
    <w:p>
      <w:pPr>
        <w:jc w:val="both"/>
        <w:ind w:firstLine="757"/>
        <w:spacing w:after="0" w:line="261" w:lineRule="exact"/>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(including the right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off) in favor of banks or other financial institutions arising in connection with deposit or securities accounts held at such institutions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Liens are not given in connection with the incurrence of Indebtedness and relate solely to obligations for administrative and other banking fees and expenses incurred in the ordinary course of business in connection with the establishment or maintenance of such accounts;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such Liens are within the general parameters customary in the banking industry;</w:t>
      </w:r>
    </w:p>
    <w:p>
      <w:pPr>
        <w:spacing w:after="0" w:line="142" w:lineRule="exact"/>
        <w:rPr>
          <w:rFonts w:ascii="Times New Roman" w:cs="Times New Roman" w:eastAsia="Times New Roman" w:hAnsi="Times New Roman"/>
          <w:sz w:val="22"/>
          <w:szCs w:val="22"/>
          <w:color w:val="auto"/>
        </w:rPr>
      </w:pPr>
    </w:p>
    <w:p>
      <w:pPr>
        <w:jc w:val="both"/>
        <w:ind w:firstLine="757"/>
        <w:spacing w:after="0" w:line="265" w:lineRule="exact"/>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w:t>
      </w:r>
    </w:p>
    <w:p>
      <w:pPr>
        <w:spacing w:after="0" w:line="17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1"/>
          <w:numId w:val="2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Borrower or any of its Subsidiaries in connection with any Acquisition, Investment or other acquisition of assets or property not otherwise prohibited under this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9" w:lineRule="exact"/>
        <w:tabs>
          <w:tab w:leader="none" w:pos="1181" w:val="left"/>
        </w:tabs>
        <w:numPr>
          <w:ilvl w:val="1"/>
          <w:numId w:val="2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existing on assets or properties at the time of its acquisition or existing on the assets or properties of any Person at the time such Person becomes a Subsidiary of Borrower, in each case after the date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Lien was not created in contemplation of such acquisition or such Person becoming a Subsidiary of Borrower, (ii) such Lien does not extend to or cover any other assets or properties (other than the proceeds or products thereof and other than after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acquired assets or properties subjected to a Lien securing Indebtedness and other obligations incurred prior to such time and which Indebtedness and other obligations are permitted hereunder that require, pursuant to their terms at such time, a pledge of after</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acquired assets or properties, it being understood that such requirement shall not be permitted to apply to any assets or properties to which such requirement would not have applied but for such acquisition), and (iii) the Indebtedness secured thereby is permitted under </w:t>
      </w:r>
      <w:r>
        <w:rPr>
          <w:rFonts w:ascii="Times New Roman" w:cs="Times New Roman" w:eastAsia="Times New Roman" w:hAnsi="Times New Roman"/>
          <w:sz w:val="21"/>
          <w:szCs w:val="21"/>
          <w:u w:val="single" w:color="auto"/>
          <w:color w:val="auto"/>
        </w:rPr>
        <w:t>clause</w:t>
      </w:r>
    </w:p>
    <w:p>
      <w:pPr>
        <w:spacing w:after="0" w:line="6"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2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of the definition of Permitted Indebtedness;</w:t>
      </w:r>
    </w:p>
    <w:p>
      <w:pPr>
        <w:spacing w:after="0" w:line="182" w:lineRule="exact"/>
        <w:rPr>
          <w:rFonts w:ascii="Times New Roman" w:cs="Times New Roman" w:eastAsia="Times New Roman" w:hAnsi="Times New Roman"/>
          <w:sz w:val="22"/>
          <w:szCs w:val="22"/>
          <w:u w:val="single" w:color="auto"/>
          <w:color w:val="auto"/>
        </w:rPr>
      </w:pPr>
    </w:p>
    <w:p>
      <w:pPr>
        <w:jc w:val="both"/>
        <w:ind w:firstLine="757"/>
        <w:spacing w:after="0" w:line="255" w:lineRule="auto"/>
        <w:tabs>
          <w:tab w:leader="none" w:pos="1181" w:val="left"/>
        </w:tabs>
        <w:numPr>
          <w:ilvl w:val="1"/>
          <w:numId w:val="2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Indebtedness permitted under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(t)</w:t>
      </w:r>
      <w:r>
        <w:rPr>
          <w:rFonts w:ascii="Times New Roman" w:cs="Times New Roman" w:eastAsia="Times New Roman" w:hAnsi="Times New Roman"/>
          <w:sz w:val="21"/>
          <w:szCs w:val="21"/>
          <w:color w:val="auto"/>
        </w:rPr>
        <w:t xml:space="preserve"> (solely with respect to Permitted Refinancings of Indebtedness permitted under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of the definition of “Permitted Indebtedness”) of the definition of “Permitted Indebtedness”, so long as such Liens do not at any time encumber property other than the property financed by such Indebtedness or the subject of the applicable Capital Lease obligations and the proceeds and products thereof and customary security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-3548380</wp:posOffset>
            </wp:positionV>
            <wp:extent cx="342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1" w:name="page232"/>
    <w:bookmarkEnd w:id="231"/>
    <w:p>
      <w:pPr>
        <w:ind w:right="40" w:firstLine="757"/>
        <w:spacing w:after="0" w:line="258"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rights of first refusal, voting, redemption, transfer or other restrictions (including call provisions and buy-sell provisions) with respect to the Equity Interests of any joint venture or other Persons that are not Subsidiaries;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Lien, customary escrow arrangements securing indemnification obligations associated with a Permitted Acquisition or any other Permitted Investment;</w:t>
      </w:r>
    </w:p>
    <w:p>
      <w:pPr>
        <w:spacing w:after="0" w:line="158" w:lineRule="exact"/>
        <w:rPr>
          <w:rFonts w:ascii="Times New Roman" w:cs="Times New Roman" w:eastAsia="Times New Roman" w:hAnsi="Times New Roman"/>
          <w:sz w:val="22"/>
          <w:szCs w:val="22"/>
          <w:color w:val="auto"/>
        </w:rPr>
      </w:pPr>
    </w:p>
    <w:p>
      <w:pPr>
        <w:jc w:val="both"/>
        <w:ind w:right="40" w:firstLine="757"/>
        <w:spacing w:after="0" w:line="282" w:lineRule="auto"/>
        <w:tabs>
          <w:tab w:leader="none" w:pos="1181" w:val="left"/>
        </w:tabs>
        <w:numPr>
          <w:ilvl w:val="0"/>
          <w:numId w:val="2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sublicenses, leases or subleases (other than relating to Intellectual Property) granted to others in the ordinary course of business not interfering in any material respect with the business of any Credit Party or any of its Subsidiaries;</w:t>
      </w:r>
    </w:p>
    <w:p>
      <w:pPr>
        <w:spacing w:after="0" w:line="134" w:lineRule="exact"/>
        <w:rPr>
          <w:rFonts w:ascii="Times New Roman" w:cs="Times New Roman" w:eastAsia="Times New Roman" w:hAnsi="Times New Roman"/>
          <w:sz w:val="21"/>
          <w:szCs w:val="21"/>
          <w:color w:val="auto"/>
        </w:rPr>
      </w:pPr>
    </w:p>
    <w:p>
      <w:pPr>
        <w:jc w:val="both"/>
        <w:ind w:firstLine="757"/>
        <w:spacing w:after="0" w:line="239"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cash or other current assets pledged to secure: (i) Indebtedness in respect of corporate credit cards, purchasing cards or bank card products, (ii) letters of credit or bank guarantees or (iii) obligations under Hedging Agreements permitted under clause (r) of the definition of “Permitted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Liens shall be granted on any Equity Interests or Intellectual Property;</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specific assets comprising the borrowing base of Indebtedness permitted under clause (f) of the definition of “Permitted Indebtedness”;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a Lien, pursuant to any Transfer permitted pursuant to clause (j), (k) or (l) of the definition of “Permitted Transfers”;</w:t>
      </w:r>
    </w:p>
    <w:p>
      <w:pPr>
        <w:spacing w:after="0" w:line="158"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or regulation, such as landlords’, carriers’, warehousemen’s, mechanics’, materialmen’s, contractors’, suppliers of materials, architects’ and repairmen’s Liens;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covenants, conditions, easements, rights-of-way, building codes, restrictions (including zoning restrictions), encroachments, licenses, protrusions and other similar encumbrances and minor title defects or survey matters, in each case affecting real estate owned in fee by any Credit Party and that do not in the aggregate materially interfere with the ordinary conduct of the business on such real estate, taken as a whole;</w:t>
      </w:r>
    </w:p>
    <w:p>
      <w:pPr>
        <w:spacing w:after="0" w:line="180"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Liens,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outstanding amount of Indebtedness secured thereby shall not exceed $5,000,000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no such Liens shall be granted on the Equity Interests of Borrower or Material IP;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5" w:lineRule="auto"/>
        <w:tabs>
          <w:tab w:leader="none" w:pos="1181" w:val="left"/>
        </w:tabs>
        <w:numPr>
          <w:ilvl w:val="0"/>
          <w:numId w:val="2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modification, replacement, extension or renewal of the Liens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(r)</w:t>
      </w:r>
      <w:r>
        <w:rPr>
          <w:rFonts w:ascii="Times New Roman" w:cs="Times New Roman" w:eastAsia="Times New Roman" w:hAnsi="Times New Roman"/>
          <w:sz w:val="22"/>
          <w:szCs w:val="22"/>
          <w:color w:val="auto"/>
        </w:rPr>
        <w:t xml:space="preserve"> above, but any such modification, replacement, extension or renewal must be limited to the assets or properties encumbered by the existing Lien (and any additions, accessions, parts, improvements and attachments thereto and the proceeds thereof) and the principal amount of any Indebtedness secured by such modification, replacement, extension or renewal may not increase other than by any reasonable premium or other reasonable amount paid and fees and expenses reasonably incurred in connection with the same;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to the extent any of the foregoing Liens secure Indebtedness of a Credit Party, such Liens shall constitute Permitted Liens if and only to the extent that such Indebtedness is permitted under </w:t>
      </w:r>
      <w:r>
        <w:rPr>
          <w:rFonts w:ascii="Times New Roman" w:cs="Times New Roman" w:eastAsia="Times New Roman" w:hAnsi="Times New Roman"/>
          <w:sz w:val="22"/>
          <w:szCs w:val="22"/>
          <w:u w:val="single" w:color="auto"/>
          <w:color w:val="auto"/>
        </w:rPr>
        <w:t>Section 6.4</w:t>
      </w:r>
      <w:r>
        <w:rPr>
          <w:rFonts w:ascii="Times New Roman" w:cs="Times New Roman" w:eastAsia="Times New Roman" w:hAnsi="Times New Roman"/>
          <w:sz w:val="22"/>
          <w:szCs w:val="22"/>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4663440</wp:posOffset>
            </wp:positionH>
            <wp:positionV relativeFrom="paragraph">
              <wp:posOffset>-4091940</wp:posOffset>
            </wp:positionV>
            <wp:extent cx="431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1067435</wp:posOffset>
            </wp:positionH>
            <wp:positionV relativeFrom="paragraph">
              <wp:posOffset>-182880</wp:posOffset>
            </wp:positionV>
            <wp:extent cx="342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2" w:name="page233"/>
    <w:bookmarkEnd w:id="232"/>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Negative Pledges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firstLine="757"/>
        <w:spacing w:after="0" w:line="258"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with regard to specific properties or assets encumbered by Permitted Liens, if and only to the extent each such prohibition or limitation applies only to such properties or assets;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set forth in any lease, license or other similar agreement entered into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relating to Permitted Indebtedness, in the case of each such agreement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38"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Requirements of Law;</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prohibitions or limitations that exist as of the Closing Date under Indebtedness existing on the Closing Date and set forth on </w:t>
      </w:r>
      <w:r>
        <w:rPr>
          <w:rFonts w:ascii="Times New Roman" w:cs="Times New Roman" w:eastAsia="Times New Roman" w:hAnsi="Times New Roman"/>
          <w:sz w:val="22"/>
          <w:szCs w:val="22"/>
          <w:u w:val="single" w:color="auto"/>
          <w:color w:val="auto"/>
        </w:rPr>
        <w:t>Schedule 12.1</w:t>
      </w:r>
      <w:r>
        <w:rPr>
          <w:rFonts w:ascii="Times New Roman" w:cs="Times New Roman" w:eastAsia="Times New Roman" w:hAnsi="Times New Roman"/>
          <w:sz w:val="22"/>
          <w:szCs w:val="22"/>
          <w:color w:val="auto"/>
        </w:rPr>
        <w:t xml:space="preserve"> of the Disclosure Letter;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prohibitions or limitations arising in connection with any Permitted Transfer or contained in any agreement relating to any Permitted Transfer pending the consummation of such Permitted Transfer relating solely to the property subject to such Permitted Transfer;</w:t>
      </w:r>
    </w:p>
    <w:p>
      <w:pPr>
        <w:spacing w:after="0" w:line="173"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in shareholders’ agreements, joint venture agreements, organizational documents or similar binding agreements relating to, or any agreement evidencing Indebtedness of, any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applicable solely to such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the Equity Interests issued thereby;</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33" w:name="page234"/>
    <w:bookmarkEnd w:id="233"/>
    <w:p>
      <w:pPr>
        <w:ind w:right="60" w:firstLine="757"/>
        <w:spacing w:after="0" w:line="258"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restrictions on cash or other deposits (including escrowed funds) imposed by agreements entered into in the ordinary course of business that are not otherwise prohibited under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Loan Document;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set forth in joint venture agreements or agreements governing minority investments that are not otherwise prohibited by this Agreement or any other Loan Document, if and only to the extent each such prohibition or limitation applies only to the joint venture entity or minority investment that is the subject of such agreement;</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contractual restriction of the type described in clauses (a)-(n) or (p)-(q) of this definition “Permitted Negative Pledge” assumed in a Permitted Acquisition (provided such restriction was not created in contemplation of this Agreement);</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provisions restricting assignments or other transfer of properties or assets subject thereto set forth in any agreement entered into in the ordinary course of business , if and only to the extent each such restriction applies only to the properties or assets subject to such agreement;</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agreement evidencing any Permitted Indebtedness of the type described in any of clause (d) of the definition of “Permitted Indebtedness” so long as such prohibitions or limitations do not apply to any property other than the property financed by such Indebtedness; and</w:t>
      </w:r>
    </w:p>
    <w:p>
      <w:pPr>
        <w:spacing w:after="0" w:line="173" w:lineRule="exact"/>
        <w:rPr>
          <w:rFonts w:ascii="Times New Roman" w:cs="Times New Roman" w:eastAsia="Times New Roman" w:hAnsi="Times New Roman"/>
          <w:sz w:val="22"/>
          <w:szCs w:val="22"/>
          <w:color w:val="auto"/>
        </w:rPr>
      </w:pPr>
    </w:p>
    <w:p>
      <w:pPr>
        <w:ind w:firstLine="757"/>
        <w:spacing w:after="0" w:line="239" w:lineRule="auto"/>
        <w:tabs>
          <w:tab w:leader="none" w:pos="1181" w:val="left"/>
        </w:tabs>
        <w:numPr>
          <w:ilvl w:val="0"/>
          <w:numId w:val="2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prohibitions or limitations imposed by any amendments, modifications, restatements, renewals, extensions, supplements or replacements of any of the agreements referred to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(q)</w:t>
      </w:r>
      <w:r>
        <w:rPr>
          <w:rFonts w:ascii="Times New Roman" w:cs="Times New Roman" w:eastAsia="Times New Roman" w:hAnsi="Times New Roman"/>
          <w:sz w:val="22"/>
          <w:szCs w:val="22"/>
          <w:color w:val="auto"/>
        </w:rPr>
        <w:t xml:space="preserve"> above, except to the extent that any such amendment, modification, restatement, renewal, extension, supplement or replacement expands the scope of any such prohibition or limitation.</w:t>
      </w:r>
    </w:p>
    <w:p>
      <w:pPr>
        <w:spacing w:after="0" w:line="17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Priority Liens</w:t>
      </w:r>
      <w:r>
        <w:rPr>
          <w:rFonts w:ascii="Times New Roman" w:cs="Times New Roman" w:eastAsia="Times New Roman" w:hAnsi="Times New Roman"/>
          <w:sz w:val="22"/>
          <w:szCs w:val="22"/>
          <w:color w:val="auto"/>
        </w:rPr>
        <w:t>” means Liens described in clauses (b), (c), (d), (e), (f), (g), (h), (i), (j), (n), (o) (solely to the extent expressly permitted to have priority pursuant to the applicable intercreditor agreement described in subclause (iv) of clause (f) of the definition of “Permitted Indebtedness”), and (r) of the definition of “Permitted Liens.”</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Permitted Refinancing</w:t>
      </w:r>
      <w:r>
        <w:rPr>
          <w:rFonts w:ascii="Times New Roman" w:cs="Times New Roman" w:eastAsia="Times New Roman" w:hAnsi="Times New Roman"/>
          <w:sz w:val="22"/>
          <w:szCs w:val="22"/>
          <w:color w:val="auto"/>
        </w:rPr>
        <w:t>” means Indebtedness constituting a refinancing or extension of maturity of Permitted Indebtedness that (a) has an aggregate outstanding principal amount not greater than the aggregate principal amount of the Indebtedness being refinanced or extended (plus interest, fees, premiums and penalties related thereto), (b) has a weighted average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4" w:name="page235"/>
    <w:bookmarkEnd w:id="234"/>
    <w:p>
      <w:pPr>
        <w:jc w:val="both"/>
        <w:spacing w:after="0" w:line="244" w:lineRule="auto"/>
        <w:rPr>
          <w:sz w:val="20"/>
          <w:szCs w:val="20"/>
          <w:color w:val="auto"/>
        </w:rPr>
      </w:pPr>
      <w:r>
        <w:rPr>
          <w:rFonts w:ascii="Times New Roman" w:cs="Times New Roman" w:eastAsia="Times New Roman" w:hAnsi="Times New Roman"/>
          <w:sz w:val="21"/>
          <w:szCs w:val="21"/>
          <w:color w:val="auto"/>
        </w:rPr>
        <w:t>life to maturity (measured as of the date of such refinancing or extension) and maturity no shorter than that of the Indebtedness being refinanced or extended, (c) is not entered into as part of a sale leaseback transaction, (d) is not secured by a Lien on any property or assets other than the collateral securing the Indebtedness being refinanced or extended (and for the avoidance of doubt, if the Indebtedness being refinanced or extended is unsecured, such refinancing or extension Indebtedness shall be unsecured), (e) Borrower of which is the same as Borrower of the Indebtedness being refinanced or extended (with no additional co-borrowers), (f) to the extent guaranteed, the guarantors of which are the same as the guarantors of the Indebtedness being refinanced or extended, (g) if such Indebtedness being modified or extended is secured by Liens that are contractually subordinated in right of security to the Liens securing the Obligations, is contractually subordinated in right of security to the Liens securing the Obligations and subject to an intercreditor agreement reasonably satisfactory to the Blackstone Representative,</w:t>
      </w:r>
    </w:p>
    <w:p>
      <w:pPr>
        <w:spacing w:after="0" w:line="1" w:lineRule="exact"/>
        <w:rPr>
          <w:sz w:val="20"/>
          <w:szCs w:val="20"/>
          <w:color w:val="auto"/>
        </w:rPr>
      </w:pPr>
    </w:p>
    <w:p>
      <w:pPr>
        <w:jc w:val="both"/>
        <w:ind w:firstLine="8"/>
        <w:spacing w:after="0" w:line="234" w:lineRule="auto"/>
        <w:tabs>
          <w:tab w:leader="none" w:pos="340" w:val="left"/>
        </w:tabs>
        <w:numPr>
          <w:ilvl w:val="0"/>
          <w:numId w:val="2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Indebtedness being modified or extended is contractually subordinated in right of payment to the Obligations, is contractually subordinated in right of payment to the Obligations and subject to an intercreditor agreement or subordination agreement reasonably satisfactory to the Blackstone Representative, and (i) is otherwise on terms no less favorable to the Credit Parties and their respective Subsidiaries, taken as a whole, than those of the Indebtedness being refinanced or extended.</w:t>
      </w:r>
    </w:p>
    <w:p>
      <w:pPr>
        <w:spacing w:after="0" w:line="1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Subsidiary Distribution Restrictions</w:t>
      </w:r>
      <w:r>
        <w:rPr>
          <w:rFonts w:ascii="Times New Roman" w:cs="Times New Roman" w:eastAsia="Times New Roman" w:hAnsi="Times New Roman"/>
          <w:sz w:val="22"/>
          <w:szCs w:val="22"/>
          <w:color w:val="auto"/>
        </w:rPr>
        <w:t xml:space="preserve">” means, in each case notwithstanding </w:t>
      </w:r>
      <w:r>
        <w:rPr>
          <w:rFonts w:ascii="Times New Roman" w:cs="Times New Roman" w:eastAsia="Times New Roman" w:hAnsi="Times New Roman"/>
          <w:sz w:val="22"/>
          <w:szCs w:val="22"/>
          <w:u w:val="single" w:color="auto"/>
          <w:color w:val="auto"/>
        </w:rPr>
        <w:t>Section 6.8</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with regard to specific properties or assets encumbered by Permitted Liens, if and only to the extent each such prohibition or limitation applies only to such properties or assets;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set forth in any lease, license or other similar agreement entered into in the ordinary course of business;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relating to Permitted Indebtedness, in the case of each such agreement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w:t>
      </w:r>
    </w:p>
    <w:p>
      <w:pPr>
        <w:spacing w:after="0" w:line="180" w:lineRule="exact"/>
        <w:rPr>
          <w:rFonts w:ascii="Times New Roman" w:cs="Times New Roman" w:eastAsia="Times New Roman" w:hAnsi="Times New Roman"/>
          <w:sz w:val="22"/>
          <w:szCs w:val="22"/>
          <w:color w:val="auto"/>
        </w:rPr>
      </w:pPr>
    </w:p>
    <w:p>
      <w:pPr>
        <w:jc w:val="both"/>
        <w:ind w:right="20" w:firstLine="757"/>
        <w:spacing w:after="0" w:line="238"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5" w:name="page236"/>
    <w:bookmarkEnd w:id="235"/>
    <w:p>
      <w:pPr>
        <w:ind w:left="1180" w:hanging="423"/>
        <w:spacing w:after="0"/>
        <w:tabs>
          <w:tab w:leader="none" w:pos="118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prohibitions or limitations imposed by Requirements of Law;</w:t>
      </w:r>
    </w:p>
    <w:p>
      <w:pPr>
        <w:spacing w:after="0" w:line="206"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prohibitions or limitations that exist as of the Closing Date under Indebtedness existing on the Closing Date and set forth on </w:t>
      </w:r>
      <w:r>
        <w:rPr>
          <w:rFonts w:ascii="Times New Roman" w:cs="Times New Roman" w:eastAsia="Times New Roman" w:hAnsi="Times New Roman"/>
          <w:sz w:val="22"/>
          <w:szCs w:val="22"/>
          <w:u w:val="single" w:color="auto"/>
          <w:color w:val="auto"/>
        </w:rPr>
        <w:t>Schedule 12.1</w:t>
      </w:r>
      <w:r>
        <w:rPr>
          <w:rFonts w:ascii="Times New Roman" w:cs="Times New Roman" w:eastAsia="Times New Roman" w:hAnsi="Times New Roman"/>
          <w:sz w:val="22"/>
          <w:szCs w:val="22"/>
          <w:color w:val="auto"/>
        </w:rPr>
        <w:t xml:space="preserve"> of the Disclosure Letter;</w:t>
      </w:r>
    </w:p>
    <w:p>
      <w:pPr>
        <w:spacing w:after="0" w:line="158" w:lineRule="exact"/>
        <w:rPr>
          <w:rFonts w:ascii="Times New Roman" w:cs="Times New Roman" w:eastAsia="Times New Roman" w:hAnsi="Times New Roman"/>
          <w:sz w:val="22"/>
          <w:szCs w:val="22"/>
          <w:color w:val="auto"/>
        </w:rPr>
      </w:pPr>
    </w:p>
    <w:p>
      <w:pPr>
        <w:ind w:right="60"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prohibitions or limitations arising in connection with any Permitted Transfer or contained in any agreement relating to any Permitted Transfer pending the consummation of such Permitted Transfer;</w:t>
      </w:r>
    </w:p>
    <w:p>
      <w:pPr>
        <w:spacing w:after="0" w:line="158"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in shareholders’ agreements, joint venture agreements, organizational documents or similar binding agreements relating to, or any agreement evidencing Indebtedness of, any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applicable solely to such joint venture entity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and the Equity Interests issued thereby;</w:t>
      </w:r>
    </w:p>
    <w:p>
      <w:pPr>
        <w:spacing w:after="0" w:line="177"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net worth provisions set forth in real property leases entered into by Subsidiaries of Borrower, so long as such net worth provisions would not reasonably be expected to impair the ability of Borrower or its Subsidiaries to meet their ongoing obligations (as reasonably determined by a Responsible Officer of Borrower in good faith);</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net worth provisions set forth in customer agreements entered into in the ordinary course of business that are not otherwise prohibited under this Agreement or any other Loan Document, so long as such net worth provisions would not reasonably be expected to impair the ability of Borrower or its Subsidiaries to meet their ongoing obligations (as reasonably determined by a Responsible Officer of Borrower in good faith);</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restrictions on cash or other deposits (including escrowed funds) imposed by agreements entered into in the ordinary course of business that are not otherwise prohibited under this Agreement or any other Loan Document;</w:t>
      </w:r>
    </w:p>
    <w:p>
      <w:pPr>
        <w:spacing w:after="0" w:line="158" w:lineRule="exact"/>
        <w:rPr>
          <w:rFonts w:ascii="Times New Roman" w:cs="Times New Roman" w:eastAsia="Times New Roman" w:hAnsi="Times New Roman"/>
          <w:sz w:val="22"/>
          <w:szCs w:val="22"/>
          <w:color w:val="auto"/>
        </w:rPr>
      </w:pPr>
    </w:p>
    <w:p>
      <w:pPr>
        <w:jc w:val="both"/>
        <w:ind w:firstLine="757"/>
        <w:spacing w:after="0" w:line="23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prohibitions or limitations set forth in any agreement in effect at the time any Person becomes a Subsidiary (but not any amendment, modification, restatement, renewal, extension, supplement or replacement expanding the scope of any such restriction or condition);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w:t>
      </w:r>
    </w:p>
    <w:p>
      <w:pPr>
        <w:spacing w:after="0" w:line="17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Loan Document;</w:t>
      </w:r>
    </w:p>
    <w:p>
      <w:pPr>
        <w:spacing w:after="0" w:line="20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set forth in joint venture agreements or agreements governing minority investments that are not otherwise prohibited by this Agreement or any other Loan Document, if and only to the extent each such prohibition or limitation applies only to the joint venture entity or minority investment that is the subject of such agreement;</w:t>
      </w:r>
    </w:p>
    <w:p>
      <w:pPr>
        <w:spacing w:after="0" w:line="173"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customary provisions restricting assignments or other transfer of properties or assets subject thereto set forth in any agreement entered into in the ordinary course of business , if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2"/>
          <w:szCs w:val="22"/>
          <w:color w:val="auto"/>
        </w:rPr>
        <w:t>and only to the extent each such restriction applies only to the properties or assets subject to such agreement;</w:t>
      </w:r>
    </w:p>
    <w:p>
      <w:pPr>
        <w:spacing w:after="0" w:line="206" w:lineRule="exact"/>
        <w:rPr>
          <w:sz w:val="20"/>
          <w:szCs w:val="20"/>
          <w:color w:val="auto"/>
        </w:rPr>
      </w:pPr>
    </w:p>
    <w:p>
      <w:pPr>
        <w:ind w:right="20" w:firstLine="757"/>
        <w:spacing w:after="0" w:line="282" w:lineRule="auto"/>
        <w:tabs>
          <w:tab w:leader="none" w:pos="1181" w:val="left"/>
        </w:tabs>
        <w:numPr>
          <w:ilvl w:val="0"/>
          <w:numId w:val="2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prohibitions or limitations imposed by any agreement evidencing any Permitted Indebtedness of the type described in any of clause (d) of the definition of “Permitted Indebtedness” relating solely to the property financed by such Indebtedness;</w:t>
      </w:r>
    </w:p>
    <w:p>
      <w:pPr>
        <w:spacing w:after="0" w:line="134" w:lineRule="exact"/>
        <w:rPr>
          <w:rFonts w:ascii="Times New Roman" w:cs="Times New Roman" w:eastAsia="Times New Roman" w:hAnsi="Times New Roman"/>
          <w:sz w:val="21"/>
          <w:szCs w:val="21"/>
          <w:color w:val="auto"/>
        </w:rPr>
      </w:pPr>
    </w:p>
    <w:p>
      <w:pPr>
        <w:jc w:val="both"/>
        <w:ind w:firstLine="757"/>
        <w:spacing w:after="0" w:line="244"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contractual restriction of the type described in clauses (a)-(q) of this definition “Permitted Subsidiary Distribution Restrictions” assumed in a Permitted Acquisition (provided such restriction was not created in contemplation of this Agreement); and</w:t>
      </w:r>
    </w:p>
    <w:p>
      <w:pPr>
        <w:spacing w:after="0" w:line="173"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prohibitions or limitations imposed by any amendments, modifications, restatements, renewals, extensions, supplements or replacements of any of the agreements referred to in clauses (a) through (r) above, except to the extent that any such amendment, modification, restatement, renewal, extension, supplement or replacement expands the scope of any such prohibition or limitation.</w:t>
      </w:r>
    </w:p>
    <w:p>
      <w:pPr>
        <w:spacing w:after="0" w:line="17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Transfers</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ind w:left="1180" w:hanging="423"/>
        <w:spacing w:after="0"/>
        <w:tabs>
          <w:tab w:leader="none" w:pos="11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Transfers set forth on </w:t>
      </w:r>
      <w:r>
        <w:rPr>
          <w:rFonts w:ascii="Times New Roman" w:cs="Times New Roman" w:eastAsia="Times New Roman" w:hAnsi="Times New Roman"/>
          <w:sz w:val="22"/>
          <w:szCs w:val="22"/>
          <w:u w:val="single" w:color="auto"/>
          <w:color w:val="auto"/>
        </w:rPr>
        <w:t>Schedule 6.1</w:t>
      </w:r>
      <w:r>
        <w:rPr>
          <w:rFonts w:ascii="Times New Roman" w:cs="Times New Roman" w:eastAsia="Times New Roman" w:hAnsi="Times New Roman"/>
          <w:sz w:val="22"/>
          <w:szCs w:val="22"/>
          <w:color w:val="auto"/>
        </w:rPr>
        <w:t xml:space="preserve"> of the Disclosure Letter;</w:t>
      </w:r>
    </w:p>
    <w:p>
      <w:pPr>
        <w:spacing w:after="0" w:line="206"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of Inventory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of surplus, damaged, worn out or obsolete equipment that is, in the reasonable judgment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w:t>
      </w:r>
    </w:p>
    <w:p>
      <w:pPr>
        <w:spacing w:after="0" w:line="180" w:lineRule="exact"/>
        <w:rPr>
          <w:rFonts w:ascii="Times New Roman" w:cs="Times New Roman" w:eastAsia="Times New Roman" w:hAnsi="Times New Roman"/>
          <w:sz w:val="22"/>
          <w:szCs w:val="22"/>
          <w:color w:val="auto"/>
        </w:rPr>
      </w:pPr>
    </w:p>
    <w:p>
      <w:pPr>
        <w:ind w:right="40" w:firstLine="757"/>
        <w:spacing w:after="0" w:line="258" w:lineRule="auto"/>
        <w:tabs>
          <w:tab w:leader="none" w:pos="118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which are Permitted Liens, Permitted Investments (other than pursuant to clause (f) of the definition thereof) or Permitted Distributions;</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of cash and Cash Equivalents in a manner that is not prohibited by the terms of this Agreement or the other Loan Documents;</w:t>
      </w:r>
    </w:p>
    <w:p>
      <w:pPr>
        <w:spacing w:after="0" w:line="158" w:lineRule="exact"/>
        <w:rPr>
          <w:rFonts w:ascii="Times New Roman" w:cs="Times New Roman" w:eastAsia="Times New Roman" w:hAnsi="Times New Roman"/>
          <w:sz w:val="22"/>
          <w:szCs w:val="22"/>
          <w:color w:val="auto"/>
        </w:rPr>
      </w:pPr>
    </w:p>
    <w:p>
      <w:pPr>
        <w:jc w:val="both"/>
        <w:ind w:firstLine="757"/>
        <w:spacing w:after="0" w:line="260" w:lineRule="exact"/>
        <w:tabs>
          <w:tab w:leader="none" w:pos="118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Transfers (i) between or among Credit Parties,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properties or assets constituting Collateral under the Loan Documents, any and all steps as may be required to be taken in order to create and maintain a first priority (subject to Permitted Priority Liens) security interest in and Lien upon such properties and assets in favor and for the benefit of Agent and the other Secured Parties are taken contemporaneously with the completion of any such transfer, and (ii) between or among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Credit Parties;</w:t>
      </w:r>
    </w:p>
    <w:p>
      <w:pPr>
        <w:spacing w:after="0" w:line="147"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the sale or issuance of Equity Interests of any Subsidiary of Borrower to any Credit Party or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sale or issuance by a Credit Party (other than Borrower) shall be to another Credit Party;</w:t>
      </w:r>
    </w:p>
    <w:p>
      <w:pPr>
        <w:spacing w:after="0" w:line="15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sale or discount without recourse of accounts receivable arising in the ordinary course of business in connection with the compromise or collection thereof;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7" w:name="page238"/>
    <w:bookmarkEnd w:id="237"/>
    <w:p>
      <w:pPr>
        <w:jc w:val="both"/>
        <w:ind w:firstLine="757"/>
        <w:spacing w:after="0" w:line="261" w:lineRule="exact"/>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abandonment, cancellation,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renewal or discontinuance of use or maintenance of Intellectual Property (other than in relation to any material Product) that Borrower reasonably determines in good faith (i) is no longer economically practicable to maintain or useful in the ordinary course of business and that (ii) would not reasonably be expected to be adverse to the rights, remedies and benefits available to, or conferred upon, the Secured Parties under any Loan Document in any material respect;</w:t>
      </w:r>
    </w:p>
    <w:p>
      <w:pPr>
        <w:spacing w:after="0" w:line="142" w:lineRule="exact"/>
        <w:rPr>
          <w:rFonts w:ascii="Times New Roman" w:cs="Times New Roman" w:eastAsia="Times New Roman" w:hAnsi="Times New Roman"/>
          <w:sz w:val="22"/>
          <w:szCs w:val="22"/>
          <w:color w:val="auto"/>
        </w:rPr>
      </w:pPr>
    </w:p>
    <w:p>
      <w:pPr>
        <w:jc w:val="both"/>
        <w:ind w:firstLine="757"/>
        <w:spacing w:after="0" w:line="251" w:lineRule="exact"/>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Transfers by Borrower or any of its Subsidiaries pursuant to: (i) a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 license of or other non-exclusive grant of rights in relation to (or grant of a covenant not to sue with respect to) Intellectual Property in the ordinary course of business; (ii) an exclusive license of or other grant of rights in relation to (or grant of a covenant not to sue with respect to) Intellectual Property related to research, development, manufacturing, marketing, distribution, or commercialization by or on behalf of any Credit Party, to third parties, in each case, solely with respect to portions of any jurisdiction outside the United States; (iii) an exclusive license of or other non-exclusive grant of rights in relation to (or grant of a covenant not to sue with respect to) to third parties of discrete products, indications or classes of compounds in respect of any platform, in each case, other than for Afrezza; and (iv) an exclusive license or other non-exclusive grant of rights in relation to (or grant of a covenant not to sue with respect to) to third parties discrete as to a particular field of use, so long as, in each case of clauses (i) through (iv) above, such Transfers (x) do not result in a legal transfer of title to the licensed property and (y) have been granted in exchange for fair consideration;</w:t>
      </w:r>
    </w:p>
    <w:p>
      <w:pPr>
        <w:spacing w:after="0" w:line="142" w:lineRule="exact"/>
        <w:rPr>
          <w:rFonts w:ascii="Times New Roman" w:cs="Times New Roman" w:eastAsia="Times New Roman" w:hAnsi="Times New Roman"/>
          <w:sz w:val="22"/>
          <w:szCs w:val="22"/>
          <w:color w:val="auto"/>
        </w:rPr>
      </w:pPr>
    </w:p>
    <w:p>
      <w:pPr>
        <w:jc w:val="both"/>
        <w:ind w:firstLine="757"/>
        <w:spacing w:after="0" w:line="258" w:lineRule="exact"/>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11.20</w:t>
      </w:r>
      <w:r>
        <w:rPr>
          <w:rFonts w:ascii="Times New Roman" w:cs="Times New Roman" w:eastAsia="Times New Roman" w:hAnsi="Times New Roman"/>
          <w:sz w:val="22"/>
          <w:szCs w:val="22"/>
          <w:color w:val="auto"/>
        </w:rPr>
        <w:t>, intercompany licenses or other grants of rights, including distribution,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promotion or similar commercial rights (or grant of covenant not to sue) (i) between or among the Credit Parties, or (ii) between or among the Credit Parties and Subsidiaries that are not Credit Parties entered into prior to the Closing Date and set forth in the Disclosure Letter, and renewals, replacements and extensions thereof that are on comparable terms and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any such intercompany license or other grant of rights pursuant to clause (ii), such license may only be exclusive with respect to any jurisdiction outside the United States;</w:t>
      </w:r>
    </w:p>
    <w:p>
      <w:pPr>
        <w:spacing w:after="0" w:line="178"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pursuant to the United Therapeutics License (i) as in effect on the Closing Date and (ii) otherwise, to the extent such Transfer is of the type described in any of clauses (a)-(k) or (m) of this definition of “Permitted Transfers”;</w:t>
      </w:r>
    </w:p>
    <w:p>
      <w:pPr>
        <w:spacing w:after="0" w:line="158"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to the extent constituting Transfers, Permitted Investments; and</w:t>
      </w:r>
    </w:p>
    <w:p>
      <w:pPr>
        <w:spacing w:after="0" w:line="20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Transfers,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(x) the aggregate fair market value (reasonably determined in good faith by a Responsible Officer of Borrower) of the properties or assets Transferred pursuant to this </w:t>
      </w:r>
      <w:r>
        <w:rPr>
          <w:rFonts w:ascii="Times New Roman" w:cs="Times New Roman" w:eastAsia="Times New Roman" w:hAnsi="Times New Roman"/>
          <w:sz w:val="22"/>
          <w:szCs w:val="22"/>
          <w:u w:val="single" w:color="auto"/>
          <w:color w:val="auto"/>
        </w:rPr>
        <w:t>clause (n)</w:t>
      </w:r>
      <w:r>
        <w:rPr>
          <w:rFonts w:ascii="Times New Roman" w:cs="Times New Roman" w:eastAsia="Times New Roman" w:hAnsi="Times New Roman"/>
          <w:sz w:val="22"/>
          <w:szCs w:val="22"/>
          <w:color w:val="auto"/>
        </w:rPr>
        <w:t xml:space="preserve"> shall not exceed $10,000,000 in the aggregate; and (y) both immediately before and after giving effect to any such Transfer, no Default or Event of Default has occurred and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1064260</wp:posOffset>
            </wp:positionH>
            <wp:positionV relativeFrom="paragraph">
              <wp:posOffset>-1676400</wp:posOffset>
            </wp:positionV>
            <wp:extent cx="342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Notwithstanding anything else to the contrary in this Agreement, (i) no Credit Party shall make any Transfers to Subsidiaries that are not Credit Parties except for Transfers pursuant to clause (k)(ii) above and Transfers constituting Investments pursuant to clause (o)(iv) of the definition of “Permitted Investments” and (ii) the Borrower shall not, and shall not permit any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its Subsidiaries to, Transfer any Intellectual Property other than pursuant to clauses (j) and (k) above.</w:t>
      </w:r>
    </w:p>
    <w:p>
      <w:pPr>
        <w:spacing w:after="0" w:line="202"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Permitted Warrant Transaction</w:t>
      </w:r>
      <w:r>
        <w:rPr>
          <w:rFonts w:ascii="Times New Roman" w:cs="Times New Roman" w:eastAsia="Times New Roman" w:hAnsi="Times New Roman"/>
          <w:sz w:val="22"/>
          <w:szCs w:val="22"/>
          <w:color w:val="auto"/>
        </w:rPr>
        <w:t>” means any call option, warrant or right to purchase (or substantively equivalent derivative transaction) relating to Borrower’s common stock (or other securities or property following a merger event or other change of the common stock of Borrower) sold by Borrower substantially contemporaneously with any purchase by Borrower of a related Permitted Bond Hedge Transaction, with a strike price higher than the strike price of the Permitted Bond Hedge Transaction; provided that such call option, warrant or right to purchase shall have customary market terms (as determined by the Borrower in good faith) and are classified as equity for GAAP purposes.</w:t>
      </w:r>
    </w:p>
    <w:p>
      <w:pPr>
        <w:spacing w:after="0" w:line="175"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7"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Personal Data</w:t>
      </w:r>
      <w:r>
        <w:rPr>
          <w:rFonts w:ascii="Times New Roman" w:cs="Times New Roman" w:eastAsia="Times New Roman" w:hAnsi="Times New Roman"/>
          <w:sz w:val="22"/>
          <w:szCs w:val="22"/>
          <w:color w:val="auto"/>
        </w:rPr>
        <w:t>” means information, in any form, that constitutes “protected health information,” “personally identifiable information,” “personal information,” “personal data” or similar term under applicable Information Privacy or Security Laws.</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means any employee pension benefit plan subject to the provisions of Title IV of ERISA or Section 412 of the IRC or Section 302 of ERISA which is maintained or contributed to by Borrower or its Subsidiaries or any of their respective ERISA Affiliates or with respect to which Borrower or its Subsidiaries are subject to liability (including under Section 4069 of ERISA).</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Platform</w:t>
      </w:r>
      <w:r>
        <w:rPr>
          <w:rFonts w:ascii="Times New Roman" w:cs="Times New Roman" w:eastAsia="Times New Roman" w:hAnsi="Times New Roman"/>
          <w:sz w:val="22"/>
          <w:szCs w:val="22"/>
          <w:color w:val="auto"/>
        </w:rPr>
        <w:t>” means Debt Domain, Intralinks, Syndtrak, DebtX or a substantially similar electronic transmission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system.</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Premium</w:t>
      </w:r>
      <w:r>
        <w:rPr>
          <w:rFonts w:ascii="Times New Roman" w:cs="Times New Roman" w:eastAsia="Times New Roman" w:hAnsi="Times New Roman"/>
          <w:sz w:val="22"/>
          <w:szCs w:val="22"/>
          <w:color w:val="auto"/>
        </w:rPr>
        <w:t>” means:</w:t>
      </w:r>
    </w:p>
    <w:p>
      <w:pPr>
        <w:spacing w:after="0" w:line="210" w:lineRule="exact"/>
        <w:rPr>
          <w:sz w:val="20"/>
          <w:szCs w:val="20"/>
          <w:color w:val="auto"/>
        </w:rPr>
      </w:pPr>
    </w:p>
    <w:p>
      <w:pPr>
        <w:jc w:val="both"/>
        <w:ind w:firstLine="757"/>
        <w:spacing w:after="0" w:line="238" w:lineRule="auto"/>
        <w:tabs>
          <w:tab w:leader="none" w:pos="118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from and after the Closing Date up to (and including) the date that is the first anniversary of the Closing Date, an amount equal to the greater of (i) the Make Whole Premium and (ii) three percent (3.00%) of the principal amount of the Term Loans prepaid (or in the case of a Prepayment Premium Trigger Event occurring under clauses (a) (ii), (b), (c) or (d) of the definition thereof, deemed to be prepaid) on such date in cash to Agent for the ratable account of the Lenders;</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18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after the date that is the first anniversary of the Closing Date up to (and including) the date that is the second anniversary of the Closing Date, an amount equal to three percent (3.00%) of the principal amount of the Term Loans prepaid (or in the case of a Prepayment Premium Trigger Event occurring under clauses (a)(ii), (b), (c) or (d) of the definition thereof, deemed to be prepaid) on such date in cash to Agent for the ratable account of the Lenders;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81"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time after the date that is the second anniversary of the Closing Date up to (and including) the date that is the third anniversary of the Closing Date, an amount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9" w:name="page240"/>
    <w:bookmarkEnd w:id="239"/>
    <w:p>
      <w:pPr>
        <w:jc w:val="both"/>
        <w:spacing w:after="0" w:line="244" w:lineRule="auto"/>
        <w:rPr>
          <w:sz w:val="20"/>
          <w:szCs w:val="20"/>
          <w:color w:val="auto"/>
        </w:rPr>
      </w:pPr>
      <w:r>
        <w:rPr>
          <w:rFonts w:ascii="Times New Roman" w:cs="Times New Roman" w:eastAsia="Times New Roman" w:hAnsi="Times New Roman"/>
          <w:sz w:val="22"/>
          <w:szCs w:val="22"/>
          <w:color w:val="auto"/>
        </w:rPr>
        <w:t>equal to one percent (1.00%) of the principal amount of the Term Loans prepaid (or in the case of a Prepayment Premium Trigger Event occurring under clauses (a)(ii), (b), (c) or (d) of the definition thereof, deemed to be prepaid) on such date in cash to Agent for the ratable account of the Lenders; and</w:t>
      </w:r>
    </w:p>
    <w:p>
      <w:pPr>
        <w:spacing w:after="0" w:line="173" w:lineRule="exact"/>
        <w:rPr>
          <w:sz w:val="20"/>
          <w:szCs w:val="20"/>
          <w:color w:val="auto"/>
        </w:rPr>
      </w:pPr>
    </w:p>
    <w:p>
      <w:pPr>
        <w:ind w:left="1180" w:right="4240" w:hanging="423"/>
        <w:spacing w:after="0" w:line="435" w:lineRule="auto"/>
        <w:tabs>
          <w:tab w:leader="none" w:pos="1180" w:val="left"/>
        </w:tabs>
        <w:numPr>
          <w:ilvl w:val="0"/>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date that is the third anniversary of the Closing Date, zero. “</w:t>
      </w:r>
      <w:r>
        <w:rPr>
          <w:rFonts w:ascii="Times New Roman" w:cs="Times New Roman" w:eastAsia="Times New Roman" w:hAnsi="Times New Roman"/>
          <w:sz w:val="22"/>
          <w:szCs w:val="22"/>
          <w:b w:val="1"/>
          <w:bCs w:val="1"/>
          <w:color w:val="auto"/>
        </w:rPr>
        <w:t>Prepayment Premium Trigger Event</w:t>
      </w:r>
      <w:r>
        <w:rPr>
          <w:rFonts w:ascii="Times New Roman" w:cs="Times New Roman" w:eastAsia="Times New Roman" w:hAnsi="Times New Roman"/>
          <w:sz w:val="22"/>
          <w:szCs w:val="22"/>
          <w:color w:val="auto"/>
        </w:rPr>
        <w:t>” means:</w:t>
      </w:r>
    </w:p>
    <w:p>
      <w:pPr>
        <w:spacing w:after="0" w:line="1" w:lineRule="exact"/>
        <w:rPr>
          <w:sz w:val="20"/>
          <w:szCs w:val="20"/>
          <w:color w:val="auto"/>
        </w:rPr>
      </w:pPr>
    </w:p>
    <w:p>
      <w:pPr>
        <w:jc w:val="both"/>
        <w:ind w:firstLine="757"/>
        <w:spacing w:after="0" w:line="236" w:lineRule="auto"/>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prepayment or repayment by any Credit Party of all, or any part, of the principal balance of any Term Loans for any reason (including any optional or voluntary prepayment or mandatory prepayment, and distribution in respect thereof, and any refinancing thereof), whether in whole or in part, and whether before or after (i) the occurrence and continuation of an Event of Default, or (ii) the commencement of any Insolvency Proceeding, and notwithstanding any acceleration (for any reason) of the Obligations;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payment required to be made pursuant to </w:t>
      </w:r>
      <w:r>
        <w:rPr>
          <w:rFonts w:ascii="Times New Roman" w:cs="Times New Roman" w:eastAsia="Times New Roman" w:hAnsi="Times New Roman"/>
          <w:sz w:val="22"/>
          <w:szCs w:val="22"/>
          <w:u w:val="single" w:color="auto"/>
          <w:color w:val="auto"/>
        </w:rPr>
        <w:t>Section 2.2(c)(iv)</w:t>
      </w:r>
      <w:r>
        <w:rPr>
          <w:rFonts w:ascii="Times New Roman" w:cs="Times New Roman" w:eastAsia="Times New Roman" w:hAnsi="Times New Roman"/>
          <w:sz w:val="22"/>
          <w:szCs w:val="22"/>
          <w:color w:val="auto"/>
        </w:rPr>
        <w:t xml:space="preserve"> (relating solely to an Event of Loss) shall not constitute a Prepayment Premium Trigger Event;</w:t>
      </w:r>
    </w:p>
    <w:p>
      <w:pPr>
        <w:spacing w:after="0" w:line="181" w:lineRule="exact"/>
        <w:rPr>
          <w:rFonts w:ascii="Times New Roman" w:cs="Times New Roman" w:eastAsia="Times New Roman" w:hAnsi="Times New Roman"/>
          <w:sz w:val="22"/>
          <w:szCs w:val="22"/>
          <w:color w:val="auto"/>
        </w:rPr>
      </w:pPr>
    </w:p>
    <w:p>
      <w:pPr>
        <w:jc w:val="both"/>
        <w:ind w:firstLine="757"/>
        <w:spacing w:after="0" w:line="244" w:lineRule="auto"/>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acceleration of the Obligations pursuant to </w:t>
      </w:r>
      <w:r>
        <w:rPr>
          <w:rFonts w:ascii="Times New Roman" w:cs="Times New Roman" w:eastAsia="Times New Roman" w:hAnsi="Times New Roman"/>
          <w:sz w:val="22"/>
          <w:szCs w:val="22"/>
          <w:u w:val="single" w:color="auto"/>
          <w:color w:val="auto"/>
        </w:rPr>
        <w:t>Section 8.1</w:t>
      </w:r>
      <w:r>
        <w:rPr>
          <w:rFonts w:ascii="Times New Roman" w:cs="Times New Roman" w:eastAsia="Times New Roman" w:hAnsi="Times New Roman"/>
          <w:sz w:val="22"/>
          <w:szCs w:val="22"/>
          <w:color w:val="auto"/>
        </w:rPr>
        <w:t xml:space="preserve">, for any reason, including acceleration as a result of the occurrence of an Event of Default pursuant to </w:t>
      </w:r>
      <w:r>
        <w:rPr>
          <w:rFonts w:ascii="Times New Roman" w:cs="Times New Roman" w:eastAsia="Times New Roman" w:hAnsi="Times New Roman"/>
          <w:sz w:val="22"/>
          <w:szCs w:val="22"/>
          <w:u w:val="single" w:color="auto"/>
          <w:color w:val="auto"/>
        </w:rPr>
        <w:t>Section 7.5</w:t>
      </w:r>
      <w:r>
        <w:rPr>
          <w:rFonts w:ascii="Times New Roman" w:cs="Times New Roman" w:eastAsia="Times New Roman" w:hAnsi="Times New Roman"/>
          <w:sz w:val="22"/>
          <w:szCs w:val="22"/>
          <w:color w:val="auto"/>
        </w:rPr>
        <w:t xml:space="preserve"> including as a result of the commencement of any Insolvency Proceeding;</w:t>
      </w:r>
    </w:p>
    <w:p>
      <w:pPr>
        <w:spacing w:after="0" w:line="173" w:lineRule="exact"/>
        <w:rPr>
          <w:rFonts w:ascii="Times New Roman" w:cs="Times New Roman" w:eastAsia="Times New Roman" w:hAnsi="Times New Roman"/>
          <w:sz w:val="22"/>
          <w:szCs w:val="22"/>
          <w:color w:val="auto"/>
        </w:rPr>
      </w:pPr>
    </w:p>
    <w:p>
      <w:pPr>
        <w:ind w:right="20" w:firstLine="757"/>
        <w:spacing w:after="0" w:line="239" w:lineRule="auto"/>
        <w:tabs>
          <w:tab w:leader="none" w:pos="1181"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satisfaction, release, payment, restructuring, reorganization, replacement, reinstatement, defeasance or compromise of any of the Obligations in any institution of Insolvency Proceeding, foreclosure (whether by power of judicial proceeding or otherwise) or deed in lieu of foreclosure or the making of a distribution of any kind in any institution of any Insolvency Proceeding to Agent, for the account of the Secured Parties, in full or partial satisfaction of the Obligations; or</w:t>
      </w:r>
    </w:p>
    <w:p>
      <w:pPr>
        <w:spacing w:after="0" w:line="180" w:lineRule="exact"/>
        <w:rPr>
          <w:rFonts w:ascii="Times New Roman" w:cs="Times New Roman" w:eastAsia="Times New Roman" w:hAnsi="Times New Roman"/>
          <w:sz w:val="22"/>
          <w:szCs w:val="22"/>
          <w:color w:val="auto"/>
        </w:rPr>
      </w:pPr>
    </w:p>
    <w:p>
      <w:pPr>
        <w:ind w:left="1180" w:hanging="423"/>
        <w:spacing w:after="0"/>
        <w:tabs>
          <w:tab w:leader="none" w:pos="1180"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-1814195</wp:posOffset>
            </wp:positionV>
            <wp:extent cx="342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For purposes of the definition of the term Prepayment Premium, if a Prepayment Premium Trigger Event occurs under and only under clause (a)(ii), (b), (c) or (d) above, the entire outstanding principal amount of the Term Loans shall be deemed to have been prepaid on the date on which such Prepayment Premium Trigger Event occurs.</w:t>
      </w:r>
    </w:p>
    <w:p>
      <w:pPr>
        <w:spacing w:after="0" w:line="169"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Prime Rate</w:t>
      </w:r>
      <w:r>
        <w:rPr>
          <w:rFonts w:ascii="Times New Roman" w:cs="Times New Roman" w:eastAsia="Times New Roman" w:hAnsi="Times New Roman"/>
          <w:sz w:val="22"/>
          <w:szCs w:val="22"/>
          <w:color w:val="auto"/>
        </w:rPr>
        <w:t xml:space="preserve">” means for any day, the rate of interest in effect for such day as published in the “Money Rates” section of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as being the “Prime Rate” (or, if more than one rate is published as the Prime Rate, then the highest of such rates). The Prime Rate will change as of the date of publication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of a Prime Rate that is different from that published on the preceding Business Day. In the event that </w:t>
      </w:r>
      <w:r>
        <w:rPr>
          <w:rFonts w:ascii="Times New Roman" w:cs="Times New Roman" w:eastAsia="Times New Roman" w:hAnsi="Times New Roman"/>
          <w:sz w:val="22"/>
          <w:szCs w:val="22"/>
          <w:i w:val="1"/>
          <w:iCs w:val="1"/>
          <w:color w:val="auto"/>
        </w:rPr>
        <w:t>The Wall Street Journal</w:t>
      </w:r>
      <w:r>
        <w:rPr>
          <w:rFonts w:ascii="Times New Roman" w:cs="Times New Roman" w:eastAsia="Times New Roman" w:hAnsi="Times New Roman"/>
          <w:sz w:val="22"/>
          <w:szCs w:val="22"/>
          <w:color w:val="auto"/>
        </w:rPr>
        <w:t xml:space="preserve"> shall, for any reason, fail or cease to publish the Prime Rate, Agent (at the direction of the Blackstone Representative), with the consent of Borrower (such consent not to be unreasonably withheld), shall choose a reasonable comparable index or source to use as the basis for the Prime Rate.</w:t>
      </w:r>
    </w:p>
    <w:p>
      <w:pPr>
        <w:spacing w:after="0" w:line="17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Product</w:t>
      </w:r>
      <w:r>
        <w:rPr>
          <w:rFonts w:ascii="Times New Roman" w:cs="Times New Roman" w:eastAsia="Times New Roman" w:hAnsi="Times New Roman"/>
          <w:sz w:val="22"/>
          <w:szCs w:val="22"/>
          <w:color w:val="auto"/>
        </w:rPr>
        <w:t>” means, individually or collectively, (a) (i) AFREZZA® (insulin human) inhalation powder (“</w:t>
      </w:r>
      <w:r>
        <w:rPr>
          <w:rFonts w:ascii="Times New Roman" w:cs="Times New Roman" w:eastAsia="Times New Roman" w:hAnsi="Times New Roman"/>
          <w:sz w:val="22"/>
          <w:szCs w:val="22"/>
          <w:b w:val="1"/>
          <w:bCs w:val="1"/>
          <w:color w:val="auto"/>
        </w:rPr>
        <w:t>Afrezza</w:t>
      </w:r>
      <w:r>
        <w:rPr>
          <w:rFonts w:ascii="Times New Roman" w:cs="Times New Roman" w:eastAsia="Times New Roman" w:hAnsi="Times New Roman"/>
          <w:sz w:val="22"/>
          <w:szCs w:val="22"/>
          <w:color w:val="auto"/>
        </w:rPr>
        <w:t>”), (ii) Tyvaso DPI® (treprostinil) inhalation powder (“</w:t>
      </w:r>
      <w:r>
        <w:rPr>
          <w:rFonts w:ascii="Times New Roman" w:cs="Times New Roman" w:eastAsia="Times New Roman" w:hAnsi="Times New Roman"/>
          <w:sz w:val="22"/>
          <w:szCs w:val="22"/>
          <w:b w:val="1"/>
          <w:bCs w:val="1"/>
          <w:color w:val="auto"/>
        </w:rPr>
        <w:t>Tyvaso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0" w:name="page241"/>
    <w:bookmarkEnd w:id="240"/>
    <w:p>
      <w:pPr>
        <w:jc w:val="both"/>
        <w:spacing w:after="0" w:line="249" w:lineRule="exact"/>
        <w:rPr>
          <w:sz w:val="20"/>
          <w:szCs w:val="20"/>
          <w:color w:val="auto"/>
        </w:rPr>
      </w:pPr>
      <w:r>
        <w:rPr>
          <w:rFonts w:ascii="Times New Roman" w:cs="Times New Roman" w:eastAsia="Times New Roman" w:hAnsi="Times New Roman"/>
          <w:sz w:val="22"/>
          <w:szCs w:val="22"/>
          <w:b w:val="1"/>
          <w:bCs w:val="1"/>
          <w:color w:val="auto"/>
        </w:rPr>
        <w:t>DPI</w:t>
      </w:r>
      <w:r>
        <w:rPr>
          <w:rFonts w:ascii="Times New Roman" w:cs="Times New Roman" w:eastAsia="Times New Roman" w:hAnsi="Times New Roman"/>
          <w:sz w:val="22"/>
          <w:szCs w:val="22"/>
          <w:color w:val="auto"/>
        </w:rPr>
        <w:t>”), (iii) V-Go® wearable insulin delivery system (“</w:t>
      </w:r>
      <w:r>
        <w:rPr>
          <w:rFonts w:ascii="Times New Roman" w:cs="Times New Roman" w:eastAsia="Times New Roman" w:hAnsi="Times New Roman"/>
          <w:sz w:val="22"/>
          <w:szCs w:val="22"/>
          <w:b w:val="1"/>
          <w:bCs w:val="1"/>
          <w:color w:val="auto"/>
        </w:rPr>
        <w:t>V-Go</w:t>
      </w:r>
      <w:r>
        <w:rPr>
          <w:rFonts w:ascii="Times New Roman" w:cs="Times New Roman" w:eastAsia="Times New Roman" w:hAnsi="Times New Roman"/>
          <w:sz w:val="22"/>
          <w:szCs w:val="22"/>
          <w:color w:val="auto"/>
        </w:rPr>
        <w:t>”) and (iv) any other product that includes any of clauses (i)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through (iii) and is developed, manufactured, packaged, labeled, commercialized, imported, exported, distributed, promoted, marketed or sold by or on behalf of any Credit Party or any of its Subsidiaries; and (b) any other current or future product that is developed, manufactured, packaged, labeled, commercialized, imported, exported, distributed, promoted, marketed or sold by or on behalf of any Credit Party or any of its Subsidiaries, including marketed products and products under development, and which product has reached (at least) the IND stage, including other pharmaceutical forms thereof, in each case, which product is material to the business of the Borrower and its Subsidiaries taken as a whole;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products of third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parties that are (1) independent of the Credit Parties or any of their Subsidiaries and (2) do not incorporate any Intellectual Property owned or exclusively licensed by the Credit Parties or any of their Subsidiaries, whether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owned (or purported to be so), shall not constitute “Products” pursuant to the foregoing clause (b). For purpose of this definition, “has reached (at least) the IND stage” means that either an IND (or foreign equivalent) has been filed or the applicable data reasonably likely to support the filing of such an IND has been generated.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5490210</wp:posOffset>
            </wp:positionH>
            <wp:positionV relativeFrom="paragraph">
              <wp:posOffset>-812165</wp:posOffset>
            </wp:positionV>
            <wp:extent cx="431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4" w:lineRule="exact"/>
        <w:rPr>
          <w:sz w:val="20"/>
          <w:szCs w:val="20"/>
          <w:color w:val="auto"/>
        </w:rPr>
      </w:pPr>
    </w:p>
    <w:p>
      <w:pPr>
        <w:jc w:val="both"/>
        <w:ind w:firstLine="1181"/>
        <w:spacing w:after="0" w:line="248"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Product IP</w:t>
      </w:r>
      <w:r>
        <w:rPr>
          <w:rFonts w:ascii="Times New Roman" w:cs="Times New Roman" w:eastAsia="Times New Roman" w:hAnsi="Times New Roman"/>
          <w:sz w:val="21"/>
          <w:szCs w:val="21"/>
          <w:color w:val="auto"/>
        </w:rPr>
        <w:t>” means any and all Intellectual Property of the Credit Parties or any of their Subsidiaries, whether owned or co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owned (or purported to be so) or licensed to, related in any material respect to any research, development, manufacture, production, use, commercialization, marketing, importing, storage, transport, offer for sale, distribution or sale of any Product in the Territory, in the United States and throughout the world, including, without limitation: (a) Intellectual Property set forth in </w:t>
      </w:r>
      <w:r>
        <w:rPr>
          <w:rFonts w:ascii="Times New Roman" w:cs="Times New Roman" w:eastAsia="Times New Roman" w:hAnsi="Times New Roman"/>
          <w:sz w:val="21"/>
          <w:szCs w:val="21"/>
          <w:u w:val="single" w:color="auto"/>
          <w:color w:val="auto"/>
        </w:rPr>
        <w:t>Schedule 4.6(c)</w:t>
      </w:r>
      <w:r>
        <w:rPr>
          <w:rFonts w:ascii="Times New Roman" w:cs="Times New Roman" w:eastAsia="Times New Roman" w:hAnsi="Times New Roman"/>
          <w:sz w:val="21"/>
          <w:szCs w:val="21"/>
          <w:color w:val="auto"/>
        </w:rPr>
        <w:t xml:space="preserve"> of the Disclosure Letter, (b) all improvements, applications for letters patent, continuations, continuations</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in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part, divisionals, provisionals or any substitute applications with respect to any such Intellectual Property, any patent issued with respect to any such Intellectual Property, any reissue, reexamination, renewal or patent term extension or adjustment (including any supplementary protection certificate) of any such patent, and any confirmation patent or registration patent or patent of addition based on any such patent, as well as all trademark registrations, applications to register trademarks, copyright registrations, extensions and renewals with respect to any such Intellectual Property; (c) trade secrets or trade secret rights, including any rights to unpatented inventions, know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show</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any Product in the Territory; and (d) any and all IP Ancillary Rights specifically relating to any of the foregoing.</w:t>
      </w:r>
    </w:p>
    <w:p>
      <w:pPr>
        <w:spacing w:after="0" w:line="184" w:lineRule="exact"/>
        <w:rPr>
          <w:sz w:val="20"/>
          <w:szCs w:val="20"/>
          <w:color w:val="auto"/>
        </w:rPr>
      </w:pPr>
    </w:p>
    <w:p>
      <w:pPr>
        <w:jc w:val="both"/>
        <w:ind w:firstLine="1181"/>
        <w:spacing w:after="0" w:line="252"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Public Health Law</w:t>
      </w:r>
      <w:r>
        <w:rPr>
          <w:rFonts w:ascii="Times New Roman" w:cs="Times New Roman" w:eastAsia="Times New Roman" w:hAnsi="Times New Roman"/>
          <w:sz w:val="22"/>
          <w:szCs w:val="22"/>
          <w:color w:val="auto"/>
        </w:rPr>
        <w:t>” means all Requirements of Law relating to the procurement, development, clinical and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clinical evaluation or investigation, product approval or clearance manufacture, production, analysis, distribution, dispensing, importation, exportation, use, handling, quality, reimbursement, sale, labeling, advertising, promotion, or postmarket requirements of any drug, medical device, food, dietary supplement, or other product (including any ingredient or component of, or accessory to, the foregoing products) subject to regulation under the Federal Food, Drug and Cosmetic Act (21 U.S.C. et seq.) and similar state or foreign laws, pharmacy laws, or consumer product safety laws.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1" w:name="page242"/>
    <w:bookmarkEnd w:id="241"/>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Lender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 Official</w:t>
      </w:r>
      <w:r>
        <w:rPr>
          <w:rFonts w:ascii="Times New Roman" w:cs="Times New Roman" w:eastAsia="Times New Roman" w:hAnsi="Times New Roman"/>
          <w:sz w:val="21"/>
          <w:szCs w:val="21"/>
          <w:color w:val="auto"/>
        </w:rPr>
        <w:t>” means (a) any elected or appointed government official, officer, employee or Person acting in an official or public capacity on behalf of a Governmental Authority, (b) any official or employee of a quasi-public or non-governmental international organization, (c) any employee or other Person acting for or on behalf of any entity that is wholly or partially government owned or controlled by a Governmental Authority, (d) any Person exercising legislative, administrative, judicial, executive, or regulatory functions for or pertaining to a Governmental Authority (including any independent regulator),</w:t>
      </w:r>
    </w:p>
    <w:p>
      <w:pPr>
        <w:ind w:right="20" w:firstLine="8"/>
        <w:spacing w:after="0" w:line="237" w:lineRule="auto"/>
        <w:tabs>
          <w:tab w:leader="none" w:pos="299"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political party official, officer, employee, or other Person acting for or on behalf of a political party and (f) any candidate for public office.</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Qualified Equity Interests</w:t>
      </w:r>
      <w:r>
        <w:rPr>
          <w:rFonts w:ascii="Times New Roman" w:cs="Times New Roman" w:eastAsia="Times New Roman" w:hAnsi="Times New Roman"/>
          <w:sz w:val="22"/>
          <w:szCs w:val="22"/>
          <w:color w:val="auto"/>
        </w:rPr>
        <w:t>” means any Equity Interests that that are not Disqualified Equity Interests.</w:t>
      </w:r>
    </w:p>
    <w:p>
      <w:pPr>
        <w:spacing w:after="0" w:line="206"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Redemption Conditions</w:t>
      </w:r>
      <w:r>
        <w:rPr>
          <w:rFonts w:ascii="Times New Roman" w:cs="Times New Roman" w:eastAsia="Times New Roman" w:hAnsi="Times New Roman"/>
          <w:sz w:val="22"/>
          <w:szCs w:val="22"/>
          <w:color w:val="auto"/>
        </w:rPr>
        <w:t>” means, with respect to any redemption or other cash principal payment of any Permitted Convertible Bond Indebtedness, satisfaction of each of the following events both immediately before and after giving effect to such event: (a) no Event of Default shall exist or result therefrom, and (b) both immediately before and after giving effect to such redemption, Borrower’s Liquidity shall be no less than 150% of all Obligations (plus the amount of Prepayment Premium that would apply in the event of a mandatory prepayment).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2.8(a)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Organization</w:t>
      </w:r>
      <w:r>
        <w:rPr>
          <w:rFonts w:ascii="Times New Roman" w:cs="Times New Roman" w:eastAsia="Times New Roman" w:hAnsi="Times New Roman"/>
          <w:sz w:val="22"/>
          <w:szCs w:val="22"/>
          <w:color w:val="auto"/>
        </w:rPr>
        <w:t>” means any “registered organization” as defined in the Code with such additions to such term as may hereafter be made.</w:t>
      </w:r>
    </w:p>
    <w:p>
      <w:pPr>
        <w:spacing w:after="0" w:line="150" w:lineRule="exact"/>
        <w:rPr>
          <w:sz w:val="20"/>
          <w:szCs w:val="20"/>
          <w:color w:val="auto"/>
        </w:rPr>
      </w:pPr>
    </w:p>
    <w:p>
      <w:pPr>
        <w:jc w:val="both"/>
        <w:ind w:firstLine="1181"/>
        <w:spacing w:after="0" w:line="261"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Product IP</w:t>
      </w:r>
      <w:r>
        <w:rPr>
          <w:rFonts w:ascii="Times New Roman" w:cs="Times New Roman" w:eastAsia="Times New Roman" w:hAnsi="Times New Roman"/>
          <w:sz w:val="22"/>
          <w:szCs w:val="22"/>
          <w:color w:val="auto"/>
        </w:rPr>
        <w:t>” means each application for any, pending or issued (a) Patent, (b) registered Copyright, and (c) registered Trademark; in each case ((a), (b) and (c)), that is part of the Product IP and that is owned or co</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by, or exclusively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exclusively licensed to, any Credit Party or any of its Subsidiaries, including, for clarity, all issued Patents, registered Trademarks and Copyrights, and pending applications of any of the foregoing.</w:t>
      </w:r>
    </w:p>
    <w:p>
      <w:pPr>
        <w:spacing w:after="0" w:line="143" w:lineRule="exact"/>
        <w:rPr>
          <w:sz w:val="20"/>
          <w:szCs w:val="20"/>
          <w:color w:val="auto"/>
        </w:rPr>
      </w:pPr>
    </w:p>
    <w:p>
      <w:pPr>
        <w:jc w:val="both"/>
        <w:ind w:firstLine="1181"/>
        <w:spacing w:after="0" w:line="265"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Regulatory Action</w:t>
      </w:r>
      <w:r>
        <w:rPr>
          <w:rFonts w:ascii="Times New Roman" w:cs="Times New Roman" w:eastAsia="Times New Roman" w:hAnsi="Times New Roman"/>
          <w:sz w:val="22"/>
          <w:szCs w:val="22"/>
          <w:color w:val="auto"/>
        </w:rPr>
        <w:t>” means an administrative or regulatory action, proceeding, investigation or non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routine inspection, FDA Form 483 inspectional observation or other formal notice of serious deficiencies, warning letter, untitled letter, notice of violation letter, , seizure, Section 305 notice or other similar communication, or consent decree issued by a Regulatory Agency.</w:t>
      </w:r>
    </w:p>
    <w:p>
      <w:pPr>
        <w:spacing w:after="0" w:line="174" w:lineRule="exact"/>
        <w:rPr>
          <w:sz w:val="20"/>
          <w:szCs w:val="20"/>
          <w:color w:val="auto"/>
        </w:rPr>
      </w:pPr>
    </w:p>
    <w:p>
      <w:pPr>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Regulatory Agency</w:t>
      </w:r>
      <w:r>
        <w:rPr>
          <w:rFonts w:ascii="Times New Roman" w:cs="Times New Roman" w:eastAsia="Times New Roman" w:hAnsi="Times New Roman"/>
          <w:sz w:val="21"/>
          <w:szCs w:val="21"/>
          <w:color w:val="auto"/>
        </w:rPr>
        <w:t>” means a U.S. Governmental Authority with responsibility for the approval of the marketing and sale of pharmaceuticals or other regulation of pharmaceuticals and counterpart foreign Governmental Authorities.</w:t>
      </w:r>
    </w:p>
    <w:p>
      <w:pPr>
        <w:spacing w:after="0" w:line="12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Regulatory Approval</w:t>
      </w:r>
      <w:r>
        <w:rPr>
          <w:rFonts w:ascii="Times New Roman" w:cs="Times New Roman" w:eastAsia="Times New Roman" w:hAnsi="Times New Roman"/>
          <w:sz w:val="22"/>
          <w:szCs w:val="22"/>
          <w:color w:val="auto"/>
        </w:rPr>
        <w:t>” means all approvals, product or establishment licenses, clearances, registrations or authorizations of any Regulatory Agency necessary for the development, testing, manufacture, distribution, storage, import, export, advertising, labeling, promotion, sale and commercialization of any Product.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2" w:name="page243"/>
    <w:bookmarkEnd w:id="242"/>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Rejection Deadline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Rejection Notice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2.2(e)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Related Parties</w:t>
      </w:r>
      <w:r>
        <w:rPr>
          <w:rFonts w:ascii="Times New Roman" w:cs="Times New Roman" w:eastAsia="Times New Roman" w:hAnsi="Times New Roman"/>
          <w:sz w:val="22"/>
          <w:szCs w:val="22"/>
          <w:color w:val="auto"/>
        </w:rPr>
        <w:t>” means, with respect to any Person, such Person’s Affiliates and the current and prospective partners, directors, officers, employees, agents, trustees, administrators, members, managers, advisors and representatives of such Person and of such Person’s Affiliates.</w:t>
      </w:r>
    </w:p>
    <w:p>
      <w:pPr>
        <w:spacing w:after="0" w:line="167"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means any spilling, leaking, pumping, pouring, emitting, emptying, discharging, injecting, escaping, leaching, dumping, or disposing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Governmental Body</w:t>
      </w:r>
      <w:r>
        <w:rPr>
          <w:rFonts w:ascii="Times New Roman" w:cs="Times New Roman" w:eastAsia="Times New Roman" w:hAnsi="Times New Roman"/>
          <w:sz w:val="22"/>
          <w:szCs w:val="22"/>
          <w:color w:val="auto"/>
        </w:rPr>
        <w:t>” means the Federal Reserve Board or the Federal Reserve Bank of New York, or a committee officially endorsed or convened by the Federal Reserve Board or the Federal Reserve Bank of New York, or any successor thereto.</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Removal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Delayed Draw Term Loan Lenders</w:t>
      </w:r>
      <w:r>
        <w:rPr>
          <w:rFonts w:ascii="Times New Roman" w:cs="Times New Roman" w:eastAsia="Times New Roman" w:hAnsi="Times New Roman"/>
          <w:sz w:val="21"/>
          <w:szCs w:val="21"/>
          <w:color w:val="auto"/>
        </w:rPr>
        <w:t xml:space="preserve">” means, at any date of determination, Delayed Draw Term Loan Lenders then holding more than fifty percent (50%) of the aggregate outstanding principal balance of the Delayed Draw Term Loans and unused Delayed Draw Commitments;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any Delayed Draw Term Loan Lender shall be a Defaulting Lender at such time then it shall be excluded from the determination of Required Delayed Draw Term Loan Lenders.</w:t>
      </w:r>
    </w:p>
    <w:p>
      <w:pPr>
        <w:spacing w:after="0" w:line="158"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Initial Term Loan Lenders</w:t>
      </w:r>
      <w:r>
        <w:rPr>
          <w:rFonts w:ascii="Times New Roman" w:cs="Times New Roman" w:eastAsia="Times New Roman" w:hAnsi="Times New Roman"/>
          <w:sz w:val="22"/>
          <w:szCs w:val="22"/>
          <w:color w:val="auto"/>
        </w:rPr>
        <w:t xml:space="preserve">” means, at any date of determination, Lenders then holding more than fifty percent (50%) of the aggregate outstanding principal balance of the Initial Term Loans;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any Initial Term Lender shall be a Defaulting Lender at such time then it shall be excluded from the determination of Required Initial Term Loan Lenders.</w:t>
      </w:r>
    </w:p>
    <w:p>
      <w:pPr>
        <w:spacing w:after="0" w:line="17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xml:space="preserve">” means, at any date of determination, Lenders then holding more than fifty percent (50%) of the aggregate outstanding principal balance of the Term Loans and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any Lender shall be a Defaulting Lender at such time then it shall be excluded from the determination of Required Lenders.</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Requirements of Law</w:t>
      </w:r>
      <w:r>
        <w:rPr>
          <w:rFonts w:ascii="Times New Roman" w:cs="Times New Roman" w:eastAsia="Times New Roman" w:hAnsi="Times New Roman"/>
          <w:sz w:val="22"/>
          <w:szCs w:val="22"/>
          <w:color w:val="auto"/>
        </w:rPr>
        <w:t>” means, as to any Person, the organizational or governing documents of such Person, and any law (statutory or common), treaty, order, policy, rule or regulation or determination of an arbitrator or a court or other Governmental Authority (including Health Care Laws and all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w:t>
      </w:r>
    </w:p>
    <w:p>
      <w:pPr>
        <w:spacing w:after="0" w:line="17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Resignation Effective Date</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12.6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3" w:name="page244"/>
    <w:bookmarkEnd w:id="243"/>
    <w:p>
      <w:pPr>
        <w:ind w:left="1180"/>
        <w:spacing w:after="0" w:line="242"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Resolution Authority</w:t>
      </w:r>
      <w:r>
        <w:rPr>
          <w:rFonts w:ascii="Times New Roman" w:cs="Times New Roman" w:eastAsia="Times New Roman" w:hAnsi="Times New Roman"/>
          <w:sz w:val="21"/>
          <w:szCs w:val="21"/>
          <w:color w:val="auto"/>
        </w:rPr>
        <w:t>” means any body which has authority to exercise any Write</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down and Conversion Powers.</w:t>
      </w:r>
    </w:p>
    <w:p>
      <w:pPr>
        <w:spacing w:after="0" w:line="262"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Responsible Officers</w:t>
      </w:r>
      <w:r>
        <w:rPr>
          <w:rFonts w:ascii="Times New Roman" w:cs="Times New Roman" w:eastAsia="Times New Roman" w:hAnsi="Times New Roman"/>
          <w:sz w:val="22"/>
          <w:szCs w:val="22"/>
          <w:color w:val="auto"/>
        </w:rPr>
        <w:t>” means, with respect to any Person, each of the chief executive officer, chief financial officer, chief operating officer, chief commercial officer, general counsel or any senior vice president of such Person (or, in each case, if no individual holds such title, any individual performing similar functions).</w:t>
      </w:r>
    </w:p>
    <w:p>
      <w:pPr>
        <w:spacing w:after="0" w:line="167"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License</w:t>
      </w:r>
      <w:r>
        <w:rPr>
          <w:rFonts w:ascii="Times New Roman" w:cs="Times New Roman" w:eastAsia="Times New Roman" w:hAnsi="Times New Roman"/>
          <w:sz w:val="22"/>
          <w:szCs w:val="22"/>
          <w:color w:val="auto"/>
        </w:rPr>
        <w:t>” means any material license or other agreement of the kind or nature subject or purported to be subject from time to time to a Lien under any Collateral Document, with respect to which a Credit Party is the licensee, (a) that prohibits or otherwise restricts such Credit Party from granting a security interest in such Credit Party’s interest in such license or agreement in a manner enforceable under Requirements of Law, or (b) for which a breach of or default under could interfere with Agent’s right to sell any Collateral.</w:t>
      </w:r>
    </w:p>
    <w:p>
      <w:pPr>
        <w:spacing w:after="0" w:line="17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Royalty Transaction</w:t>
      </w:r>
      <w:r>
        <w:rPr>
          <w:rFonts w:ascii="Times New Roman" w:cs="Times New Roman" w:eastAsia="Times New Roman" w:hAnsi="Times New Roman"/>
          <w:sz w:val="22"/>
          <w:szCs w:val="22"/>
          <w:color w:val="auto"/>
        </w:rPr>
        <w:t>” means any royalty or revenue interest financing, including any sale of royalty or revenue interests, “synthetic” royalty transactions or any other similar transactions, whether secured or unsecured.</w:t>
      </w:r>
    </w:p>
    <w:p>
      <w:pPr>
        <w:spacing w:after="0" w:line="150"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Sanctioned Country</w:t>
      </w:r>
      <w:r>
        <w:rPr>
          <w:rFonts w:ascii="Times New Roman" w:cs="Times New Roman" w:eastAsia="Times New Roman" w:hAnsi="Times New Roman"/>
          <w:sz w:val="22"/>
          <w:szCs w:val="22"/>
          <w:color w:val="auto"/>
        </w:rPr>
        <w:t>” means, at any time, a country or territory that is itself the target of comprehensive Sanctions (as of the date of this Agreement, Cuba, Iran, North Korea, the Crimea region of Ukraine, the so-called Donetsk People’s Republic, and the so-called Luhansk People’s Republic).</w:t>
      </w:r>
    </w:p>
    <w:p>
      <w:pPr>
        <w:spacing w:after="0" w:line="167"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Sanctioned Person</w:t>
      </w:r>
      <w:r>
        <w:rPr>
          <w:rFonts w:ascii="Times New Roman" w:cs="Times New Roman" w:eastAsia="Times New Roman" w:hAnsi="Times New Roman"/>
          <w:sz w:val="22"/>
          <w:szCs w:val="22"/>
          <w:color w:val="auto"/>
        </w:rPr>
        <w:t>” means any Person that is the target of Sanctions, including (a) any Person listed in any Sanctions-related list of designated Persons maintained by the Office of Foreign Assets Control of the U.S. Department of the Treasury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or the U.S. Department of State, the United Nations Security Council, the European Union, any Member State of the European Union, or the United Kingdom; (b) any Person operating, organized, or resident in a Sanctioned Country;</w:t>
      </w:r>
    </w:p>
    <w:p>
      <w:pPr>
        <w:jc w:val="both"/>
        <w:ind w:firstLine="8"/>
        <w:spacing w:after="0" w:line="235" w:lineRule="auto"/>
        <w:tabs>
          <w:tab w:leader="none" w:pos="305" w:val="left"/>
        </w:tabs>
        <w:numPr>
          <w:ilvl w:val="0"/>
          <w:numId w:val="2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government of a Sanctioned Country or the Government of Venezuela; or (d) any Person 50% or more owned or, where relevant under applicable Sanctions, controlled by any such Person or Persons or acting for or on behalf of such Person or Persons.</w:t>
      </w:r>
    </w:p>
    <w:p>
      <w:pPr>
        <w:spacing w:after="0" w:line="173" w:lineRule="exact"/>
        <w:rPr>
          <w:rFonts w:ascii="Times New Roman" w:cs="Times New Roman" w:eastAsia="Times New Roman" w:hAnsi="Times New Roman"/>
          <w:sz w:val="22"/>
          <w:szCs w:val="22"/>
          <w:color w:val="auto"/>
        </w:rPr>
      </w:pPr>
    </w:p>
    <w:p>
      <w:pPr>
        <w:jc w:val="both"/>
        <w:ind w:firstLine="118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or the United Kingdom.</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shall mean the Securities and Exchange Commission and any analogous Governmental Authority.</w:t>
      </w:r>
    </w:p>
    <w:p>
      <w:pPr>
        <w:spacing w:after="0" w:line="20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Agent, any Lender, the Lead Arranger, each other Indemnified Person and each other holder of any Obligation of a Credit Party.</w:t>
      </w:r>
    </w:p>
    <w:p>
      <w:pPr>
        <w:spacing w:after="0" w:line="149"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Account</w:t>
      </w:r>
      <w:r>
        <w:rPr>
          <w:rFonts w:ascii="Times New Roman" w:cs="Times New Roman" w:eastAsia="Times New Roman" w:hAnsi="Times New Roman"/>
          <w:sz w:val="22"/>
          <w:szCs w:val="22"/>
          <w:color w:val="auto"/>
        </w:rPr>
        <w:t>” means any “securities account” as defined in the Code with such additions to such term as may hereafter be made.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Securities Act of 1933.</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244" w:name="page245"/>
    <w:bookmarkEnd w:id="244"/>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Security Agreement</w:t>
      </w:r>
      <w:r>
        <w:rPr>
          <w:rFonts w:ascii="Times New Roman" w:cs="Times New Roman" w:eastAsia="Times New Roman" w:hAnsi="Times New Roman"/>
          <w:sz w:val="22"/>
          <w:szCs w:val="22"/>
          <w:color w:val="auto"/>
        </w:rPr>
        <w:t xml:space="preserve">” means the Security Agreement, dated as of the Closing Date, by and among the Credit Parties and Agent, in form and substance substantially similar to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attached hereto or in such form or substance as the Credit Parties, Agent and the Blackstone Representative may otherwise agree.</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06"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Borrowing</w:t>
      </w:r>
      <w:r>
        <w:rPr>
          <w:rFonts w:ascii="Times New Roman" w:cs="Times New Roman" w:eastAsia="Times New Roman" w:hAnsi="Times New Roman"/>
          <w:sz w:val="22"/>
          <w:szCs w:val="22"/>
          <w:color w:val="auto"/>
        </w:rPr>
        <w:t>” means, as to any Borrowing, the SOFR Loans comprising such Borrowing.</w:t>
      </w:r>
    </w:p>
    <w:p>
      <w:pPr>
        <w:spacing w:after="0" w:line="206"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SOFR Loan</w:t>
      </w:r>
      <w:r>
        <w:rPr>
          <w:rFonts w:ascii="Times New Roman" w:cs="Times New Roman" w:eastAsia="Times New Roman" w:hAnsi="Times New Roman"/>
          <w:sz w:val="22"/>
          <w:szCs w:val="22"/>
          <w:color w:val="auto"/>
        </w:rPr>
        <w:t>” means a Term Loan that bears interest at a rate based on Adjusted Term SOFR, other than pursuant to clause (c) of the definition of “Base Rate”.</w:t>
      </w:r>
    </w:p>
    <w:p>
      <w:pPr>
        <w:spacing w:after="0" w:line="150"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any Person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7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Disputes</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4.6(i)</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SSA</w:t>
      </w:r>
      <w:r>
        <w:rPr>
          <w:rFonts w:ascii="Times New Roman" w:cs="Times New Roman" w:eastAsia="Times New Roman" w:hAnsi="Times New Roman"/>
          <w:sz w:val="22"/>
          <w:szCs w:val="22"/>
          <w:color w:val="auto"/>
        </w:rPr>
        <w:t>” means the Social Security Act of 1935, codified at Title 42, Chapter 7, of the United States Code.</w:t>
      </w:r>
    </w:p>
    <w:p>
      <w:pPr>
        <w:spacing w:after="0" w:line="206"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Acquisition</w:t>
      </w:r>
      <w:r>
        <w:rPr>
          <w:rFonts w:ascii="Times New Roman" w:cs="Times New Roman" w:eastAsia="Times New Roman" w:hAnsi="Times New Roman"/>
          <w:sz w:val="22"/>
          <w:szCs w:val="22"/>
          <w:color w:val="auto"/>
        </w:rPr>
        <w:t>” means the purchase or other acquisition by Borrower or any of its Subsidiaries of any or all of the Equity Interests (by merger, consolidation, stock or equity purchase or otherwise) of any other Person.</w:t>
      </w:r>
    </w:p>
    <w:p>
      <w:pPr>
        <w:spacing w:after="0" w:line="150" w:lineRule="exact"/>
        <w:rPr>
          <w:sz w:val="20"/>
          <w:szCs w:val="20"/>
          <w:color w:val="auto"/>
        </w:rPr>
      </w:pPr>
    </w:p>
    <w:p>
      <w:pPr>
        <w:jc w:val="both"/>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Subject Subsidiary</w:t>
      </w:r>
      <w:r>
        <w:rPr>
          <w:rFonts w:ascii="Times New Roman" w:cs="Times New Roman" w:eastAsia="Times New Roman" w:hAnsi="Times New Roman"/>
          <w:sz w:val="22"/>
          <w:szCs w:val="22"/>
          <w:color w:val="auto"/>
        </w:rPr>
        <w:t>” means, with respect to any Credit Party, a Subsidiary of such Credit Party that is organized, incorporated or formed under the laws of the jurisdiction of any other Credit Party.</w:t>
      </w:r>
    </w:p>
    <w:p>
      <w:pPr>
        <w:spacing w:after="0" w:line="150" w:lineRule="exact"/>
        <w:rPr>
          <w:sz w:val="20"/>
          <w:szCs w:val="20"/>
          <w:color w:val="auto"/>
        </w:rPr>
      </w:pPr>
    </w:p>
    <w:p>
      <w:pPr>
        <w:jc w:val="both"/>
        <w:ind w:firstLine="1181"/>
        <w:spacing w:after="0" w:line="238"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Subordinated Debt</w:t>
      </w:r>
      <w:r>
        <w:rPr>
          <w:rFonts w:ascii="Times New Roman" w:cs="Times New Roman" w:eastAsia="Times New Roman" w:hAnsi="Times New Roman"/>
          <w:sz w:val="22"/>
          <w:szCs w:val="22"/>
          <w:color w:val="auto"/>
        </w:rPr>
        <w:t>” means any unsecured Indebtedness in the form of or otherwise constituting term debt incurred by any Credit Party (including any Indebtedness incurred in connection with any Permitted Acquisition or other Permitted Investment) that: (a) is subordinated in right of payment to the Obligations at all times until all of the Obligations have been paid, performed or discharged in full, in cash in immediately available funds, and Borrower has no further right to obtain any Credit Extension hereunder pursuant to a subordination or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5" w:name="page246"/>
    <w:bookmarkEnd w:id="245"/>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similar agreement that is in form and substance satisfactory to the Blackstone Representative in its sole discretion (which agreement shall include turnover provisions and other “deep” subordination terms, including with respect to payment, enforcement, and liens, that are satisfactory to the Blackstone Representative in its sole discretion); (b) except as permitted by </w:t>
      </w:r>
      <w:r>
        <w:rPr>
          <w:rFonts w:ascii="Times New Roman" w:cs="Times New Roman" w:eastAsia="Times New Roman" w:hAnsi="Times New Roman"/>
          <w:sz w:val="22"/>
          <w:szCs w:val="22"/>
          <w:u w:val="single" w:color="auto"/>
          <w:color w:val="auto"/>
        </w:rPr>
        <w:t>clause (d)</w:t>
      </w:r>
      <w:r>
        <w:rPr>
          <w:rFonts w:ascii="Times New Roman" w:cs="Times New Roman" w:eastAsia="Times New Roman" w:hAnsi="Times New Roman"/>
          <w:sz w:val="22"/>
          <w:szCs w:val="22"/>
          <w:color w:val="auto"/>
        </w:rPr>
        <w:t xml:space="preserve"> below or otherwise permitted by </w:t>
      </w:r>
      <w:r>
        <w:rPr>
          <w:rFonts w:ascii="Times New Roman" w:cs="Times New Roman" w:eastAsia="Times New Roman" w:hAnsi="Times New Roman"/>
          <w:sz w:val="22"/>
          <w:szCs w:val="22"/>
          <w:u w:val="single" w:color="auto"/>
          <w:color w:val="auto"/>
        </w:rPr>
        <w:t>Section 6.10</w:t>
      </w:r>
      <w:r>
        <w:rPr>
          <w:rFonts w:ascii="Times New Roman" w:cs="Times New Roman" w:eastAsia="Times New Roman" w:hAnsi="Times New Roman"/>
          <w:sz w:val="22"/>
          <w:szCs w:val="22"/>
          <w:color w:val="auto"/>
        </w:rPr>
        <w:t xml:space="preserve">, is not subject to scheduled amortization, redemption (mandatory), sinking fund or similar payment and does not have a final maturity, in each case, before the date that is 181 days following the Term Loan Maturity Date; (c) does not include covenants and agreements (other than with respect to maturity, amortization, pricing and other economic terms) that, taken as a whole, are more restrictive or onerous on the Credit Parties in any material respect than the comparable covenants and agreements in the Loan Documents, taken as a whole (as reasonably determined by a Responsible Officer of Borrower in good faith); (d) is not subject to repayment or prepayment, including pursuant to a put option exercisable by the holder of any such Indebtedness, prior to the final maturity thereof except in the case of an event of default or change of control (or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8.1(a)</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w:t>
      </w:r>
    </w:p>
    <w:p>
      <w:pPr>
        <w:spacing w:after="0" w:line="175" w:lineRule="exact"/>
        <w:rPr>
          <w:sz w:val="20"/>
          <w:szCs w:val="20"/>
          <w:color w:val="auto"/>
        </w:rPr>
      </w:pPr>
    </w:p>
    <w:p>
      <w:pPr>
        <w:jc w:val="both"/>
        <w:ind w:right="20"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w:t>
      </w:r>
      <w:r>
        <w:rPr>
          <w:rFonts w:ascii="Times New Roman" w:cs="Times New Roman" w:eastAsia="Times New Roman" w:hAnsi="Times New Roman"/>
          <w:sz w:val="22"/>
          <w:szCs w:val="22"/>
          <w:color w:val="auto"/>
        </w:rPr>
        <w:t>” means the Initial Term Loans, the Delayed Draw Term Loans and any Incremental Delayed Draw</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Loans.</w:t>
      </w:r>
    </w:p>
    <w:p>
      <w:pPr>
        <w:spacing w:after="0" w:line="17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Maturity Date</w:t>
      </w:r>
      <w:r>
        <w:rPr>
          <w:rFonts w:ascii="Times New Roman" w:cs="Times New Roman" w:eastAsia="Times New Roman" w:hAnsi="Times New Roman"/>
          <w:sz w:val="22"/>
          <w:szCs w:val="22"/>
          <w:color w:val="auto"/>
        </w:rPr>
        <w:t>” means the fifth anniversary of the Closing Date.</w:t>
      </w:r>
    </w:p>
    <w:p>
      <w:pPr>
        <w:spacing w:after="0" w:line="206" w:lineRule="exact"/>
        <w:rPr>
          <w:sz w:val="20"/>
          <w:szCs w:val="20"/>
          <w:color w:val="auto"/>
        </w:rPr>
      </w:pPr>
    </w:p>
    <w:p>
      <w:pPr>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Note</w:t>
      </w:r>
      <w:r>
        <w:rPr>
          <w:rFonts w:ascii="Times New Roman" w:cs="Times New Roman" w:eastAsia="Times New Roman" w:hAnsi="Times New Roman"/>
          <w:sz w:val="22"/>
          <w:szCs w:val="22"/>
          <w:color w:val="auto"/>
        </w:rPr>
        <w:t xml:space="preserve">” means a promissory note in substantially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as it may be amended, restated, supplemented or otherwise modified from time to time.</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w:t>
      </w:r>
      <w:r>
        <w:rPr>
          <w:rFonts w:ascii="Times New Roman" w:cs="Times New Roman" w:eastAsia="Times New Roman" w:hAnsi="Times New Roman"/>
          <w:sz w:val="22"/>
          <w:szCs w:val="22"/>
          <w:color w:val="auto"/>
        </w:rPr>
        <w:t>” means: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6" w:name="page247"/>
    <w:bookmarkEnd w:id="246"/>
    <w:p>
      <w:pPr>
        <w:jc w:val="both"/>
        <w:ind w:firstLine="757"/>
        <w:spacing w:after="0" w:line="234" w:lineRule="auto"/>
        <w:tabs>
          <w:tab w:leader="none" w:pos="118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2"/>
          <w:szCs w:val="22"/>
          <w:b w:val="1"/>
          <w:bCs w:val="1"/>
          <w:color w:val="auto"/>
        </w:rPr>
        <w:t>Periodic Term SOFR Determination Day</w:t>
      </w:r>
      <w:r>
        <w:rPr>
          <w:rFonts w:ascii="Times New Roman" w:cs="Times New Roman" w:eastAsia="Times New Roman" w:hAnsi="Times New Roman"/>
          <w:sz w:val="22"/>
          <w:szCs w:val="22"/>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9" w:lineRule="exact"/>
        <w:rPr>
          <w:rFonts w:ascii="Times New Roman" w:cs="Times New Roman" w:eastAsia="Times New Roman" w:hAnsi="Times New Roman"/>
          <w:sz w:val="22"/>
          <w:szCs w:val="22"/>
          <w:color w:val="auto"/>
        </w:rPr>
      </w:pPr>
    </w:p>
    <w:p>
      <w:pPr>
        <w:jc w:val="both"/>
        <w:ind w:firstLine="757"/>
        <w:spacing w:after="0" w:line="234" w:lineRule="auto"/>
        <w:tabs>
          <w:tab w:leader="none" w:pos="1181" w:val="left"/>
        </w:tabs>
        <w:numPr>
          <w:ilvl w:val="0"/>
          <w:numId w:val="2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an Base Rate Loan on any day, the Term SOFR Reference Rate for a tenor of one month on the day (such day, the “</w:t>
      </w:r>
      <w:r>
        <w:rPr>
          <w:rFonts w:ascii="Times New Roman" w:cs="Times New Roman" w:eastAsia="Times New Roman" w:hAnsi="Times New Roman"/>
          <w:sz w:val="22"/>
          <w:szCs w:val="22"/>
          <w:b w:val="1"/>
          <w:bCs w:val="1"/>
          <w:color w:val="auto"/>
        </w:rPr>
        <w:t>Base Rate Term SOFR Determination Day</w:t>
      </w:r>
      <w:r>
        <w:rPr>
          <w:rFonts w:ascii="Times New Roman" w:cs="Times New Roman" w:eastAsia="Times New Roman" w:hAnsi="Times New Roman"/>
          <w:sz w:val="22"/>
          <w:szCs w:val="22"/>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shall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1909445</wp:posOffset>
            </wp:positionH>
            <wp:positionV relativeFrom="paragraph">
              <wp:posOffset>-2637155</wp:posOffset>
            </wp:positionV>
            <wp:extent cx="342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6200140</wp:posOffset>
            </wp:positionH>
            <wp:positionV relativeFrom="paragraph">
              <wp:posOffset>-1111250</wp:posOffset>
            </wp:positionV>
            <wp:extent cx="3429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Term SOFR determined as provided above (including pursuant to the proviso under clause (a) or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-6985</wp:posOffset>
            </wp:positionV>
            <wp:extent cx="3429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6" w:lineRule="exact"/>
        <w:rPr>
          <w:sz w:val="20"/>
          <w:szCs w:val="20"/>
          <w:color w:val="auto"/>
        </w:rPr>
      </w:pPr>
    </w:p>
    <w:p>
      <w:pPr>
        <w:ind w:left="320" w:hanging="312"/>
        <w:spacing w:after="0"/>
        <w:tabs>
          <w:tab w:leader="none" w:pos="320" w:val="left"/>
        </w:tabs>
        <w:numPr>
          <w:ilvl w:val="0"/>
          <w:numId w:val="2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above) shall ever be less than the Floor, then Term SOFR shall be deemed to be the Floor.</w:t>
      </w:r>
    </w:p>
    <w:p>
      <w:pPr>
        <w:spacing w:after="0" w:line="178" w:lineRule="exact"/>
        <w:rPr>
          <w:rFonts w:ascii="Times New Roman" w:cs="Times New Roman" w:eastAsia="Times New Roman" w:hAnsi="Times New Roman"/>
          <w:sz w:val="22"/>
          <w:szCs w:val="22"/>
          <w:color w:val="auto"/>
        </w:rPr>
      </w:pPr>
    </w:p>
    <w:p>
      <w:pPr>
        <w:jc w:val="both"/>
        <w:ind w:firstLine="1181"/>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Term SOFR Administrator</w:t>
      </w:r>
      <w:r>
        <w:rPr>
          <w:rFonts w:ascii="Times New Roman" w:cs="Times New Roman" w:eastAsia="Times New Roman" w:hAnsi="Times New Roman"/>
          <w:sz w:val="22"/>
          <w:szCs w:val="22"/>
          <w:color w:val="auto"/>
        </w:rPr>
        <w:t>” means CME Group Benchmark Administration Limited (CBA) (or a successor administrator of the Term SOFR Reference Rate selected by Agent (at the direction of the Blackstone Representative) in its reasonable discretion).</w:t>
      </w:r>
    </w:p>
    <w:p>
      <w:pPr>
        <w:spacing w:after="0" w:line="137"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SOFR Reference Rate</w:t>
      </w:r>
      <w:r>
        <w:rPr>
          <w:rFonts w:ascii="Times New Roman" w:cs="Times New Roman" w:eastAsia="Times New Roman" w:hAnsi="Times New Roman"/>
          <w:sz w:val="22"/>
          <w:szCs w:val="22"/>
          <w:color w:val="auto"/>
        </w:rPr>
        <w:t>” means the forward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looking term rate based on SOFR.</w:t>
      </w:r>
    </w:p>
    <w:p>
      <w:pPr>
        <w:spacing w:after="0" w:line="250" w:lineRule="exact"/>
        <w:rPr>
          <w:sz w:val="20"/>
          <w:szCs w:val="20"/>
          <w:color w:val="auto"/>
        </w:rPr>
      </w:pPr>
    </w:p>
    <w:p>
      <w:pPr>
        <w:jc w:val="both"/>
        <w:ind w:firstLine="1181"/>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Territory</w:t>
      </w:r>
      <w:r>
        <w:rPr>
          <w:rFonts w:ascii="Times New Roman" w:cs="Times New Roman" w:eastAsia="Times New Roman" w:hAnsi="Times New Roman"/>
          <w:sz w:val="22"/>
          <w:szCs w:val="22"/>
          <w:color w:val="auto"/>
        </w:rPr>
        <w:t>” means, with respect to any Product, anywhere in the world in which any Product has been approved, or which approval is being sought, by the relevant Governmental Authority, or in which any activities have been undertaken with respect to the commercialization of any Product, including (a) advertising, promoting, marketing, offering, selling, importing, exporting, transporting, and distributing any Product, (b) strategic marketing or sales force detailing, educating, and liaising with the medical community, (c) obtaining necessary licenses and authorization from applicable Governmental Authorities, (d) interacting with the FDA and other Governmental Authorities regarding any of the foregoing, (e) producing, manufacturing or supplying any Product, and (f) activities relating to prosecution and maintenance of Product IP.</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7" w:name="page248"/>
    <w:bookmarkEnd w:id="247"/>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Party IP</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4.6(l)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Total Leverage Ratio</w:t>
      </w:r>
      <w:r>
        <w:rPr>
          <w:rFonts w:ascii="Times New Roman" w:cs="Times New Roman" w:eastAsia="Times New Roman" w:hAnsi="Times New Roman"/>
          <w:sz w:val="22"/>
          <w:szCs w:val="22"/>
          <w:color w:val="auto"/>
        </w:rPr>
        <w:t xml:space="preserve">” means, as of any date of determination, the ratio of (a) Consolidated Total Indebtedness as of such date, to (b) Adjusted EBITDA as of the most recent Compliance Certificate required to be delivered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5.2(a)(ii)</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5.2(c)(i)</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right="20"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 License</w:t>
      </w:r>
      <w:r>
        <w:rPr>
          <w:rFonts w:ascii="Times New Roman" w:cs="Times New Roman" w:eastAsia="Times New Roman" w:hAnsi="Times New Roman"/>
          <w:sz w:val="22"/>
          <w:szCs w:val="22"/>
          <w:color w:val="auto"/>
        </w:rPr>
        <w:t>” means any agreement, whether written or oral, providing for the grant by or to a Person of any right to use any Trademark.</w:t>
      </w:r>
    </w:p>
    <w:p>
      <w:pPr>
        <w:spacing w:after="0" w:line="150" w:lineRule="exact"/>
        <w:rPr>
          <w:sz w:val="20"/>
          <w:szCs w:val="20"/>
          <w:color w:val="auto"/>
        </w:rPr>
      </w:pPr>
    </w:p>
    <w:p>
      <w:pPr>
        <w:jc w:val="both"/>
        <w:ind w:firstLine="1181"/>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w:t>
      </w:r>
    </w:p>
    <w:p>
      <w:pPr>
        <w:spacing w:after="0" w:line="17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is defined in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181"/>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Rate</w:t>
      </w:r>
      <w:r>
        <w:rPr>
          <w:rFonts w:ascii="Times New Roman" w:cs="Times New Roman" w:eastAsia="Times New Roman" w:hAnsi="Times New Roman"/>
          <w:sz w:val="22"/>
          <w:szCs w:val="22"/>
          <w:color w:val="auto"/>
        </w:rPr>
        <w:t xml:space="preserve">” means, as of the date any Term Loan is prepaid (or in the case of a Prepayment Premium Trigger Event occurring under clauses (a)(ii), (b), (c) or (d) of the definition thereof, deemed to be prepaid), the yield to maturity as of such prepayment date of United States Treasury securities with a constant maturity (as compiled and published in the most recent Federal Reserve Statistical Release H.15 (519) that has become publicly available at least two (2) Business Days prior to such prepayment (or deemed prepayment) date (or, if such Statistical Release is no longer published, any publicly available source of similar market data)) most nearly equal to the period from the prepayment date to the first anniversary of the Closing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period from the prepayment (or deemed prepayment) date to the first anniversary of the Closing Date is less than one year, the weekly average yield on actually traded United States Treasury securities adjusted to a constant maturity of one year will be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-340360</wp:posOffset>
            </wp:positionV>
            <wp:extent cx="431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Treasury Regulations</w:t>
      </w:r>
      <w:r>
        <w:rPr>
          <w:rFonts w:ascii="Times New Roman" w:cs="Times New Roman" w:eastAsia="Times New Roman" w:hAnsi="Times New Roman"/>
          <w:sz w:val="22"/>
          <w:szCs w:val="22"/>
          <w:color w:val="auto"/>
        </w:rPr>
        <w:t>” means the regulations promulgated pursuant to the IRC.</w:t>
      </w:r>
    </w:p>
    <w:p>
      <w:pPr>
        <w:spacing w:after="0" w:line="206" w:lineRule="exact"/>
        <w:rPr>
          <w:sz w:val="20"/>
          <w:szCs w:val="20"/>
          <w:color w:val="auto"/>
        </w:rPr>
      </w:pPr>
    </w:p>
    <w:p>
      <w:pPr>
        <w:jc w:val="both"/>
        <w:ind w:right="20" w:firstLine="1181"/>
        <w:spacing w:after="0" w:line="246"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TRICARE</w:t>
      </w:r>
      <w:r>
        <w:rPr>
          <w:rFonts w:ascii="Times New Roman" w:cs="Times New Roman" w:eastAsia="Times New Roman" w:hAnsi="Times New Roman"/>
          <w:sz w:val="22"/>
          <w:szCs w:val="22"/>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67" w:lineRule="exact"/>
        <w:rPr>
          <w:sz w:val="20"/>
          <w:szCs w:val="20"/>
          <w:color w:val="auto"/>
        </w:rPr>
      </w:pPr>
    </w:p>
    <w:p>
      <w:pPr>
        <w:ind w:firstLine="1181"/>
        <w:spacing w:after="0" w:line="28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Type</w:t>
      </w:r>
      <w:r>
        <w:rPr>
          <w:rFonts w:ascii="Times New Roman" w:cs="Times New Roman" w:eastAsia="Times New Roman" w:hAnsi="Times New Roman"/>
          <w:sz w:val="21"/>
          <w:szCs w:val="21"/>
          <w:color w:val="auto"/>
        </w:rPr>
        <w:t>”, when used in reference to any Term Loan or Borrowing, refers to whether the rate of interest on such Term Loan, or on the Term Loans comprising such Borrowing, is determined by reference to Adjusted Term SOFR or Base Rate.</w:t>
      </w:r>
    </w:p>
    <w:p>
      <w:pPr>
        <w:spacing w:after="0" w:line="126"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U.S.</w:t>
      </w:r>
      <w:r>
        <w:rPr>
          <w:rFonts w:ascii="Times New Roman" w:cs="Times New Roman" w:eastAsia="Times New Roman" w:hAnsi="Times New Roman"/>
          <w:sz w:val="22"/>
          <w:szCs w:val="22"/>
          <w:color w:val="auto"/>
        </w:rPr>
        <w:t>” means the United States of America, its fifty (50) states and the District of Columbia.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8" w:name="page249"/>
    <w:bookmarkEnd w:id="248"/>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Therapeutics License</w:t>
      </w:r>
      <w:r>
        <w:rPr>
          <w:rFonts w:ascii="Times New Roman" w:cs="Times New Roman" w:eastAsia="Times New Roman" w:hAnsi="Times New Roman"/>
          <w:sz w:val="22"/>
          <w:szCs w:val="22"/>
          <w:color w:val="auto"/>
        </w:rPr>
        <w:t>” means that certain License and Collaboration Agreement, dated as of September 3, 2018, between MannKind and United Therapeutics Corporation, a Delaware corporation, as amended, restated, supplemented or otherwise modified prior to the Closing Date or thereafter in accordance with the terms of this Agreement.</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Borrower</w:t>
      </w:r>
      <w:r>
        <w:rPr>
          <w:rFonts w:ascii="Times New Roman" w:cs="Times New Roman" w:eastAsia="Times New Roman" w:hAnsi="Times New Roman"/>
          <w:sz w:val="22"/>
          <w:szCs w:val="22"/>
          <w:color w:val="auto"/>
        </w:rPr>
        <w:t>” means any Borrower that is a U.S. Person.</w:t>
      </w:r>
    </w:p>
    <w:p>
      <w:pPr>
        <w:spacing w:after="0" w:line="206"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Government Securities Business Day</w:t>
      </w:r>
      <w:r>
        <w:rPr>
          <w:rFonts w:ascii="Times New Roman" w:cs="Times New Roman" w:eastAsia="Times New Roman" w:hAnsi="Times New Roman"/>
          <w:sz w:val="22"/>
          <w:szCs w:val="22"/>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means any Person that is a “United States person” as defined in Section 7701(a)(30) of the IRC.</w:t>
      </w:r>
    </w:p>
    <w:p>
      <w:pPr>
        <w:spacing w:after="0" w:line="176" w:lineRule="exact"/>
        <w:rPr>
          <w:sz w:val="20"/>
          <w:szCs w:val="20"/>
          <w:color w:val="auto"/>
        </w:rPr>
      </w:pPr>
    </w:p>
    <w:p>
      <w:pPr>
        <w:jc w:val="both"/>
        <w:ind w:firstLine="1181"/>
        <w:spacing w:after="0" w:line="280"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Wholly</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Owned Subsidiary</w:t>
      </w:r>
      <w:r>
        <w:rPr>
          <w:rFonts w:ascii="Times New Roman" w:cs="Times New Roman" w:eastAsia="Times New Roman" w:hAnsi="Times New Roman"/>
          <w:sz w:val="22"/>
          <w:szCs w:val="22"/>
          <w:color w:val="auto"/>
        </w:rPr>
        <w:t>” means, with respect to any Person, a Subsidiary of such Person, all of the Equity Interests of which (other than directors’ qualifying shares or nominee or other similar shares required pursuant to Requirements of Law) are owned by such Person or another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such Person. Unless the context otherwise requires, each reference to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herein shall be a reference to a Wholly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Owned Subsidiary of a Credit Party.</w:t>
      </w:r>
    </w:p>
    <w:p>
      <w:pPr>
        <w:spacing w:after="0" w:line="141" w:lineRule="exact"/>
        <w:rPr>
          <w:sz w:val="20"/>
          <w:szCs w:val="20"/>
          <w:color w:val="auto"/>
        </w:rPr>
      </w:pPr>
    </w:p>
    <w:p>
      <w:pPr>
        <w:ind w:firstLine="1181"/>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19" w:lineRule="exact"/>
        <w:rPr>
          <w:sz w:val="20"/>
          <w:szCs w:val="20"/>
          <w:color w:val="auto"/>
        </w:rPr>
      </w:pPr>
    </w:p>
    <w:p>
      <w:pPr>
        <w:ind w:left="1180"/>
        <w:spacing w:after="0" w:line="253"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Write</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down and Conversion Powers</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right="40" w:firstLine="757"/>
        <w:spacing w:after="0" w:line="309" w:lineRule="exact"/>
        <w:tabs>
          <w:tab w:leader="none" w:pos="1181"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described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 from time to time, the powers described as such in relation to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in the EU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Schedule;</w:t>
      </w:r>
    </w:p>
    <w:p>
      <w:pPr>
        <w:spacing w:after="0" w:line="111" w:lineRule="exact"/>
        <w:rPr>
          <w:rFonts w:ascii="Times New Roman" w:cs="Times New Roman" w:eastAsia="Times New Roman" w:hAnsi="Times New Roman"/>
          <w:sz w:val="22"/>
          <w:szCs w:val="22"/>
          <w:color w:val="auto"/>
        </w:rPr>
      </w:pPr>
    </w:p>
    <w:p>
      <w:pPr>
        <w:ind w:left="1180" w:hanging="423"/>
        <w:spacing w:after="0" w:line="253" w:lineRule="exact"/>
        <w:tabs>
          <w:tab w:leader="none" w:pos="1180" w:val="left"/>
        </w:tabs>
        <w:numPr>
          <w:ilvl w:val="0"/>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any other applicable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w:t>
      </w:r>
    </w:p>
    <w:p>
      <w:pPr>
        <w:spacing w:after="0" w:line="219" w:lineRule="exact"/>
        <w:rPr>
          <w:rFonts w:ascii="Times New Roman" w:cs="Times New Roman" w:eastAsia="Times New Roman" w:hAnsi="Times New Roman"/>
          <w:sz w:val="22"/>
          <w:szCs w:val="22"/>
          <w:color w:val="auto"/>
        </w:rPr>
      </w:pPr>
    </w:p>
    <w:p>
      <w:pPr>
        <w:jc w:val="both"/>
        <w:ind w:left="760" w:firstLine="745"/>
        <w:spacing w:after="0" w:line="258" w:lineRule="exact"/>
        <w:tabs>
          <w:tab w:leader="none" w:pos="1941"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powers under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 that are related to or ancillary to any of those powers; and</w:t>
      </w:r>
    </w:p>
    <w:p>
      <w:pPr>
        <w:spacing w:after="0" w:line="143" w:lineRule="exact"/>
        <w:rPr>
          <w:rFonts w:ascii="Times New Roman" w:cs="Times New Roman" w:eastAsia="Times New Roman" w:hAnsi="Times New Roman"/>
          <w:sz w:val="22"/>
          <w:szCs w:val="22"/>
          <w:color w:val="auto"/>
        </w:rPr>
      </w:pPr>
    </w:p>
    <w:p>
      <w:pPr>
        <w:ind w:left="1940" w:hanging="435"/>
        <w:spacing w:after="0" w:line="253" w:lineRule="exact"/>
        <w:tabs>
          <w:tab w:leader="none" w:pos="1940" w:val="left"/>
        </w:tabs>
        <w:numPr>
          <w:ilvl w:val="1"/>
          <w:numId w:val="2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similar or analogous powers under that Bail</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 Legislation.</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49" w:name="page250"/>
    <w:bookmarkEnd w:id="249"/>
    <w:p>
      <w:pPr>
        <w:spacing w:after="0" w:line="200" w:lineRule="exact"/>
        <w:rPr>
          <w:sz w:val="20"/>
          <w:szCs w:val="20"/>
          <w:color w:val="auto"/>
        </w:rPr>
      </w:pPr>
    </w:p>
    <w:p>
      <w:pPr>
        <w:spacing w:after="0" w:line="24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22"/>
          <w:szCs w:val="22"/>
          <w:color w:val="auto"/>
        </w:rPr>
        <w:t>153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|US-DOCS\161907737.16||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0" w:name="page251"/>
    <w:bookmarkEnd w:id="250"/>
    <w:p>
      <w:pPr>
        <w:ind w:left="760"/>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as of the date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written.</w:t>
      </w:r>
    </w:p>
    <w:p>
      <w:pPr>
        <w:spacing w:after="0" w:line="17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MANNKIND CORPORATION</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QRUMPHARMA,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MANNKIND LLC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Chief Executive Officer and Chief Financial Officer</w:t>
      </w:r>
    </w:p>
    <w:p>
      <w:pPr>
        <w:spacing w:after="0" w:line="200" w:lineRule="exact"/>
        <w:rPr>
          <w:sz w:val="20"/>
          <w:szCs w:val="20"/>
          <w:color w:val="auto"/>
        </w:rPr>
      </w:pPr>
    </w:p>
    <w:p>
      <w:pPr>
        <w:spacing w:after="0" w:line="24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TECHNOSPHERE INTERNATIONAL, INC.</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as a Guarantor</w:t>
      </w:r>
    </w:p>
    <w:p>
      <w:pPr>
        <w:spacing w:after="0" w:line="200" w:lineRule="exact"/>
        <w:rPr>
          <w:sz w:val="20"/>
          <w:szCs w:val="20"/>
          <w:color w:val="auto"/>
        </w:rPr>
      </w:pPr>
    </w:p>
    <w:p>
      <w:pPr>
        <w:spacing w:after="0" w:line="25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Christopher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-13970</wp:posOffset>
            </wp:positionV>
            <wp:extent cx="141351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Christopher Prentiss</w:t>
      </w:r>
    </w:p>
    <w:p>
      <w:pPr>
        <w:ind w:left="4500"/>
        <w:spacing w:after="0"/>
        <w:rPr>
          <w:sz w:val="20"/>
          <w:szCs w:val="20"/>
          <w:color w:val="auto"/>
        </w:rPr>
      </w:pPr>
      <w:r>
        <w:rPr>
          <w:rFonts w:ascii="Times New Roman" w:cs="Times New Roman" w:eastAsia="Times New Roman" w:hAnsi="Times New Roman"/>
          <w:sz w:val="22"/>
          <w:szCs w:val="22"/>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51" w:name="page252"/>
    <w:bookmarkEnd w:id="251"/>
    <w:p>
      <w:pPr>
        <w:ind w:left="3380" w:right="43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WILMINGTON TRUST, NATIONAL ASSOCIATION, </w:t>
      </w:r>
      <w:r>
        <w:rPr>
          <w:rFonts w:ascii="Times New Roman" w:cs="Times New Roman" w:eastAsia="Times New Roman" w:hAnsi="Times New Roman"/>
          <w:sz w:val="22"/>
          <w:szCs w:val="22"/>
          <w:color w:val="auto"/>
        </w:rPr>
        <w:t>as Agent</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w:t>
      </w:r>
    </w:p>
    <w:p>
      <w:pPr>
        <w:ind w:left="3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3380" w:right="59"/>
        <w:spacing w:after="0" w:line="262" w:lineRule="auto"/>
        <w:rPr>
          <w:sz w:val="20"/>
          <w:szCs w:val="20"/>
          <w:color w:val="auto"/>
        </w:rPr>
      </w:pPr>
      <w:r>
        <w:rPr>
          <w:rFonts w:ascii="Times New Roman" w:cs="Times New Roman" w:eastAsia="Times New Roman" w:hAnsi="Times New Roman"/>
          <w:sz w:val="22"/>
          <w:szCs w:val="22"/>
          <w:b w:val="1"/>
          <w:bCs w:val="1"/>
          <w:color w:val="auto"/>
        </w:rPr>
        <w:t>BLACKSTONE ALTERNATIVE CREDIT ADVISORS LP</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Blackstone Representative</w:t>
      </w: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w:t>
      </w:r>
    </w:p>
    <w:p>
      <w:pPr>
        <w:ind w:left="3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4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[__]</w:t>
      </w:r>
      <w:r>
        <w:rPr>
          <w:rFonts w:ascii="Times New Roman" w:cs="Times New Roman" w:eastAsia="Times New Roman" w:hAnsi="Times New Roman"/>
          <w:sz w:val="22"/>
          <w:szCs w:val="22"/>
          <w:color w:val="auto"/>
        </w:rPr>
        <w:t>,</w:t>
      </w:r>
    </w:p>
    <w:p>
      <w:pPr>
        <w:spacing w:after="0" w:line="1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as a Lender</w:t>
      </w:r>
    </w:p>
    <w:p>
      <w:pPr>
        <w:spacing w:after="0" w:line="200" w:lineRule="exact"/>
        <w:rPr>
          <w:sz w:val="20"/>
          <w:szCs w:val="20"/>
          <w:color w:val="auto"/>
        </w:rPr>
      </w:pPr>
    </w:p>
    <w:p>
      <w:pPr>
        <w:spacing w:after="0" w:line="252"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By:</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w:t>
      </w:r>
    </w:p>
    <w:p>
      <w:pPr>
        <w:ind w:left="33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629285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52" w:name="page253"/>
    <w:bookmarkEnd w:id="25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E. Castagna, certify that:</w:t>
      </w:r>
    </w:p>
    <w:p>
      <w:pPr>
        <w:spacing w:after="0" w:line="225" w:lineRule="exact"/>
        <w:rPr>
          <w:sz w:val="20"/>
          <w:szCs w:val="20"/>
          <w:color w:val="auto"/>
        </w:rPr>
      </w:pPr>
    </w:p>
    <w:p>
      <w:pPr>
        <w:ind w:left="1020" w:hanging="503"/>
        <w:spacing w:after="0"/>
        <w:tabs>
          <w:tab w:leader="none" w:pos="10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MannKind Corporation;</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10"/>
        <w:spacing w:after="0" w:line="266"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20" w:right="200" w:hanging="510"/>
        <w:spacing w:after="0" w:line="266"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hanging="510"/>
        <w:spacing w:after="0" w:line="266"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60" w:hanging="510"/>
        <w:spacing w:after="0" w:line="266"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2"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10"/>
        <w:spacing w:after="0" w:line="282"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3" w:name="page254"/>
    <w:bookmarkEnd w:id="25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B. Prentiss, certify that:</w:t>
      </w:r>
    </w:p>
    <w:p>
      <w:pPr>
        <w:spacing w:after="0" w:line="225" w:lineRule="exact"/>
        <w:rPr>
          <w:sz w:val="20"/>
          <w:szCs w:val="20"/>
          <w:color w:val="auto"/>
        </w:rPr>
      </w:pPr>
    </w:p>
    <w:p>
      <w:pPr>
        <w:ind w:left="1020" w:hanging="503"/>
        <w:spacing w:after="0"/>
        <w:tabs>
          <w:tab w:leader="none" w:pos="10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quarterly period ended June 30, 2025 of MannKind Corporation;</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10"/>
        <w:spacing w:after="0" w:line="266" w:lineRule="auto"/>
        <w:tabs>
          <w:tab w:leader="none" w:pos="15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20" w:right="200" w:hanging="510"/>
        <w:spacing w:after="0" w:line="266" w:lineRule="auto"/>
        <w:tabs>
          <w:tab w:leader="none" w:pos="15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hanging="510"/>
        <w:spacing w:after="0" w:line="266" w:lineRule="auto"/>
        <w:tabs>
          <w:tab w:leader="none" w:pos="15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60" w:hanging="510"/>
        <w:spacing w:after="0" w:line="266" w:lineRule="auto"/>
        <w:tabs>
          <w:tab w:leader="none" w:pos="15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10"/>
        <w:spacing w:after="0" w:line="282" w:lineRule="auto"/>
        <w:tabs>
          <w:tab w:leader="none" w:pos="15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10"/>
        <w:spacing w:after="0" w:line="282" w:lineRule="auto"/>
        <w:tabs>
          <w:tab w:leader="none" w:pos="15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-127635</wp:posOffset>
            </wp:positionV>
            <wp:extent cx="313753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4" w:name="page255"/>
    <w:bookmarkEnd w:id="25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June 30, 2025,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6th day of August,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ind w:left="220" w:hanging="212"/>
        <w:spacing w:after="0" w:line="231" w:lineRule="auto"/>
        <w:tabs>
          <w:tab w:leader="none" w:pos="220" w:val="left"/>
        </w:tabs>
        <w:numPr>
          <w:ilvl w:val="0"/>
          <w:numId w:val="30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55" w:name="page256"/>
    <w:bookmarkEnd w:id="25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CERTIFICATION OF</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RULE 13a-14(b) OR 15d-14(b) OF THE SECURITIES EXCHANGE ACT OF 1934, AS AMENDED, AND SECTION 1350 OF</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CHAPTER 63 OF TITLE 18 OF THE UNITED STATES CODE (18 U.S.C. § 1350)</w:t>
      </w:r>
      <w:r>
        <w:rPr>
          <w:rFonts w:ascii="Times New Roman" w:cs="Times New Roman" w:eastAsia="Times New Roman" w:hAnsi="Times New Roman"/>
          <w:sz w:val="24"/>
          <w:szCs w:val="24"/>
          <w:b w:val="1"/>
          <w:bCs w:val="1"/>
          <w:color w:val="auto"/>
          <w:vertAlign w:val="superscript"/>
        </w:rPr>
        <w:t>1</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filing of the quarterly report of MannKind Corporation (the “Company”) on Form 10-Q for the quarterly period ended June 30, 2025,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Christopher B. Prentiss, Chief Financial Officer of MannKind Corporation (the “Company”), hereby certifies that, to the best of his knowledge:</w:t>
      </w:r>
    </w:p>
    <w:p>
      <w:pPr>
        <w:spacing w:after="0" w:line="75" w:lineRule="exact"/>
        <w:rPr>
          <w:sz w:val="20"/>
          <w:szCs w:val="20"/>
          <w:color w:val="auto"/>
        </w:rPr>
      </w:pPr>
    </w:p>
    <w:p>
      <w:pPr>
        <w:ind w:left="180" w:hanging="172"/>
        <w:spacing w:after="0"/>
        <w:tabs>
          <w:tab w:leader="none" w:pos="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Exchange Act, and</w:t>
      </w:r>
    </w:p>
    <w:p>
      <w:pPr>
        <w:spacing w:after="0" w:line="11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set his hand hereto as of the 8th day of May,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B. Prentiss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B. Prentiss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220" w:hanging="212"/>
        <w:spacing w:after="0" w:line="231" w:lineRule="auto"/>
        <w:tabs>
          <w:tab w:leader="none" w:pos="220" w:val="left"/>
        </w:tabs>
        <w:numPr>
          <w:ilvl w:val="0"/>
          <w:numId w:val="3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828675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56" w:name="page257"/>
    <w:bookmarkEnd w:id="2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
      <w:numFmt w:val="bullet"/>
      <w:start w:val="1"/>
    </w:lvl>
  </w:abstractNum>
  <w:abstractNum w:abstractNumId="2">
    <w:nsid w:val="49C0E823"/>
    <w:multiLevelType w:val="hybridMultilevel"/>
    <w:lvl w:ilvl="0">
      <w:lvlJc w:val="left"/>
      <w:lvlText w:val="(%1)"/>
      <w:numFmt w:val="decimal"/>
      <w:start w:val="1"/>
    </w:lvl>
  </w:abstractNum>
  <w:abstractNum w:abstractNumId="3">
    <w:nsid w:val="14D53685"/>
    <w:multiLevelType w:val="hybridMultilevel"/>
    <w:lvl w:ilvl="0">
      <w:lvlJc w:val="left"/>
      <w:lvlText w:val="•"/>
      <w:numFmt w:val="bullet"/>
      <w:start w:val="1"/>
    </w:lvl>
  </w:abstractNum>
  <w:abstractNum w:abstractNumId="4">
    <w:nsid w:val="230F856C"/>
    <w:multiLevelType w:val="hybridMultilevel"/>
    <w:lvl w:ilvl="0">
      <w:lvlJc w:val="left"/>
      <w:lvlText w:val="(%1)"/>
      <w:numFmt w:val="decimal"/>
      <w:start w:val="1"/>
    </w:lvl>
  </w:abstractNum>
  <w:abstractNum w:abstractNumId="5">
    <w:nsid w:val="6EAA85FB"/>
    <w:multiLevelType w:val="hybridMultilevel"/>
    <w:lvl w:ilvl="0">
      <w:lvlJc w:val="left"/>
      <w:lvlText w:val="(%1)"/>
      <w:numFmt w:val="decimal"/>
      <w:start w:val="1"/>
    </w:lvl>
  </w:abstractNum>
  <w:abstractNum w:abstractNumId="6">
    <w:nsid w:val="3F06ECB2"/>
    <w:multiLevelType w:val="hybridMultilevel"/>
    <w:lvl w:ilvl="0">
      <w:lvlJc w:val="left"/>
      <w:lvlText w:val="(%1)"/>
      <w:numFmt w:val="decimal"/>
      <w:start w:val="1"/>
    </w:lvl>
  </w:abstractNum>
  <w:abstractNum w:abstractNumId="7">
    <w:nsid w:val="3B594807"/>
    <w:multiLevelType w:val="hybridMultilevel"/>
    <w:lvl w:ilvl="0">
      <w:lvlJc w:val="left"/>
      <w:lvlText w:val="(%1)"/>
      <w:numFmt w:val="decimal"/>
      <w:start w:val="1"/>
    </w:lvl>
  </w:abstractNum>
  <w:abstractNum w:abstractNumId="8">
    <w:nsid w:val="6CAA2304"/>
    <w:multiLevelType w:val="hybridMultilevel"/>
    <w:lvl w:ilvl="0">
      <w:lvlJc w:val="left"/>
      <w:lvlText w:val="(%1)"/>
      <w:numFmt w:val="decimal"/>
      <w:start w:val="1"/>
    </w:lvl>
  </w:abstractNum>
  <w:abstractNum w:abstractNumId="9">
    <w:nsid w:val="3F7C2FF4"/>
    <w:multiLevelType w:val="hybridMultilevel"/>
    <w:lvl w:ilvl="0">
      <w:lvlJc w:val="left"/>
      <w:lvlText w:val="(%1)"/>
      <w:numFmt w:val="decimal"/>
      <w:start w:val="1"/>
    </w:lvl>
  </w:abstractNum>
  <w:abstractNum w:abstractNumId="10">
    <w:nsid w:val="25413BEC"/>
    <w:multiLevelType w:val="hybridMultilevel"/>
    <w:lvl w:ilvl="0">
      <w:lvlJc w:val="left"/>
      <w:lvlText w:val="(%1)"/>
      <w:numFmt w:val="decimal"/>
      <w:start w:val="1"/>
    </w:lvl>
  </w:abstractNum>
  <w:abstractNum w:abstractNumId="11">
    <w:nsid w:val="17180B0B"/>
    <w:multiLevelType w:val="hybridMultilevel"/>
    <w:lvl w:ilvl="0">
      <w:lvlJc w:val="left"/>
      <w:lvlText w:val="(%1)"/>
      <w:numFmt w:val="decimal"/>
      <w:start w:val="1"/>
    </w:lvl>
  </w:abstractNum>
  <w:abstractNum w:abstractNumId="12">
    <w:nsid w:val="579328B9"/>
    <w:multiLevelType w:val="hybridMultilevel"/>
    <w:lvl w:ilvl="0">
      <w:lvlJc w:val="left"/>
      <w:lvlText w:val="(%1)"/>
      <w:numFmt w:val="decimal"/>
      <w:start w:val="1"/>
    </w:lvl>
  </w:abstractNum>
  <w:abstractNum w:abstractNumId="13">
    <w:nsid w:val="5D205E20"/>
    <w:multiLevelType w:val="hybridMultilevel"/>
    <w:lvl w:ilvl="0">
      <w:lvlJc w:val="left"/>
      <w:lvlText w:val="(%1)"/>
      <w:numFmt w:val="decimal"/>
      <w:start w:val="1"/>
    </w:lvl>
  </w:abstractNum>
  <w:abstractNum w:abstractNumId="14">
    <w:nsid w:val="11CCA8BA"/>
    <w:multiLevelType w:val="hybridMultilevel"/>
    <w:lvl w:ilvl="0">
      <w:lvlJc w:val="left"/>
      <w:lvlText w:val="(%1)"/>
      <w:numFmt w:val="decimal"/>
      <w:start w:val="1"/>
    </w:lvl>
  </w:abstractNum>
  <w:abstractNum w:abstractNumId="15">
    <w:nsid w:val="4D32AB86"/>
    <w:multiLevelType w:val="hybridMultilevel"/>
    <w:lvl w:ilvl="0">
      <w:lvlJc w:val="left"/>
      <w:lvlText w:val="(%1)"/>
      <w:numFmt w:val="lowerRoman"/>
      <w:start w:val="2"/>
    </w:lvl>
  </w:abstractNum>
  <w:abstractNum w:abstractNumId="16">
    <w:nsid w:val="3F07ACC3"/>
    <w:multiLevelType w:val="hybridMultilevel"/>
    <w:lvl w:ilvl="0">
      <w:lvlJc w:val="left"/>
      <w:lvlText w:val="(%1)"/>
      <w:numFmt w:val="decimal"/>
      <w:start w:val="1"/>
    </w:lvl>
  </w:abstractNum>
  <w:abstractNum w:abstractNumId="17">
    <w:nsid w:val="6B47F63E"/>
    <w:multiLevelType w:val="hybridMultilevel"/>
    <w:lvl w:ilvl="0">
      <w:lvlJc w:val="left"/>
      <w:lvlText w:val="(%1)"/>
      <w:numFmt w:val="decimal"/>
      <w:start w:val="1"/>
    </w:lvl>
  </w:abstractNum>
  <w:abstractNum w:abstractNumId="18">
    <w:nsid w:val="5CB44A05"/>
    <w:multiLevelType w:val="hybridMultilevel"/>
    <w:lvl w:ilvl="0">
      <w:lvlJc w:val="left"/>
      <w:lvlText w:val="(%1)"/>
      <w:numFmt w:val="decimal"/>
      <w:start w:val="1"/>
    </w:lvl>
  </w:abstractNum>
  <w:abstractNum w:abstractNumId="19">
    <w:nsid w:val="16CF80F1"/>
    <w:multiLevelType w:val="hybridMultilevel"/>
    <w:lvl w:ilvl="0">
      <w:lvlJc w:val="left"/>
      <w:lvlText w:val="•"/>
      <w:numFmt w:val="bullet"/>
      <w:start w:val="1"/>
    </w:lvl>
  </w:abstractNum>
  <w:abstractNum w:abstractNumId="20">
    <w:nsid w:val="1C695DEC"/>
    <w:multiLevelType w:val="hybridMultilevel"/>
    <w:lvl w:ilvl="0">
      <w:lvlJc w:val="left"/>
      <w:lvlText w:val="•"/>
      <w:numFmt w:val="bullet"/>
      <w:start w:val="1"/>
    </w:lvl>
  </w:abstractNum>
  <w:abstractNum w:abstractNumId="21">
    <w:nsid w:val="3FCFAED9"/>
    <w:multiLevelType w:val="hybridMultilevel"/>
    <w:lvl w:ilvl="0">
      <w:lvlJc w:val="left"/>
      <w:lvlText w:val="•"/>
      <w:numFmt w:val="bullet"/>
      <w:start w:val="1"/>
    </w:lvl>
  </w:abstractNum>
  <w:abstractNum w:abstractNumId="22">
    <w:nsid w:val="F856867"/>
    <w:multiLevelType w:val="hybridMultilevel"/>
    <w:lvl w:ilvl="0">
      <w:lvlJc w:val="left"/>
      <w:lvlText w:val="•"/>
      <w:numFmt w:val="bullet"/>
      <w:start w:val="1"/>
    </w:lvl>
  </w:abstractNum>
  <w:abstractNum w:abstractNumId="23">
    <w:nsid w:val="11B1CC33"/>
    <w:multiLevelType w:val="hybridMultilevel"/>
    <w:lvl w:ilvl="0">
      <w:lvlJc w:val="left"/>
      <w:lvlText w:val="•"/>
      <w:numFmt w:val="bullet"/>
      <w:start w:val="1"/>
    </w:lvl>
  </w:abstractNum>
  <w:abstractNum w:abstractNumId="24">
    <w:nsid w:val="2E22FBB7"/>
    <w:multiLevelType w:val="hybridMultilevel"/>
    <w:lvl w:ilvl="0">
      <w:lvlJc w:val="left"/>
      <w:lvlText w:val="•"/>
      <w:numFmt w:val="bullet"/>
      <w:start w:val="1"/>
    </w:lvl>
  </w:abstractNum>
  <w:abstractNum w:abstractNumId="25">
    <w:nsid w:val="29934699"/>
    <w:multiLevelType w:val="hybridMultilevel"/>
    <w:lvl w:ilvl="0">
      <w:lvlJc w:val="left"/>
      <w:lvlText w:val="•"/>
      <w:numFmt w:val="bullet"/>
      <w:start w:val="1"/>
    </w:lvl>
  </w:abstractNum>
  <w:abstractNum w:abstractNumId="26">
    <w:nsid w:val="77485850"/>
    <w:multiLevelType w:val="hybridMultilevel"/>
    <w:lvl w:ilvl="0">
      <w:lvlJc w:val="left"/>
      <w:lvlText w:val="•"/>
      <w:numFmt w:val="bullet"/>
      <w:start w:val="1"/>
    </w:lvl>
  </w:abstractNum>
  <w:abstractNum w:abstractNumId="27">
    <w:nsid w:val="744939A3"/>
    <w:multiLevelType w:val="hybridMultilevel"/>
    <w:lvl w:ilvl="0">
      <w:lvlJc w:val="left"/>
      <w:lvlText w:val="•"/>
      <w:numFmt w:val="bullet"/>
      <w:start w:val="1"/>
    </w:lvl>
  </w:abstractNum>
  <w:abstractNum w:abstractNumId="28">
    <w:nsid w:val="4FA0D2E3"/>
    <w:multiLevelType w:val="hybridMultilevel"/>
    <w:lvl w:ilvl="0">
      <w:lvlJc w:val="left"/>
      <w:lvlText w:val="•"/>
      <w:numFmt w:val="bullet"/>
      <w:start w:val="1"/>
    </w:lvl>
  </w:abstractNum>
  <w:abstractNum w:abstractNumId="29">
    <w:nsid w:val="6B1D2C14"/>
    <w:multiLevelType w:val="hybridMultilevel"/>
    <w:lvl w:ilvl="0">
      <w:lvlJc w:val="left"/>
      <w:lvlText w:val="•"/>
      <w:numFmt w:val="bullet"/>
      <w:start w:val="1"/>
    </w:lvl>
  </w:abstractNum>
  <w:abstractNum w:abstractNumId="30">
    <w:nsid w:val="68B867D3"/>
    <w:multiLevelType w:val="hybridMultilevel"/>
    <w:lvl w:ilvl="0">
      <w:lvlJc w:val="left"/>
      <w:lvlText w:val="•"/>
      <w:numFmt w:val="bullet"/>
      <w:start w:val="1"/>
    </w:lvl>
  </w:abstractNum>
  <w:abstractNum w:abstractNumId="31">
    <w:nsid w:val="3F7F5DD9"/>
    <w:multiLevelType w:val="hybridMultilevel"/>
    <w:lvl w:ilvl="0">
      <w:lvlJc w:val="left"/>
      <w:lvlText w:val="•"/>
      <w:numFmt w:val="bullet"/>
      <w:start w:val="1"/>
    </w:lvl>
  </w:abstractNum>
  <w:abstractNum w:abstractNumId="32">
    <w:nsid w:val="2AE05A34"/>
    <w:multiLevelType w:val="hybridMultilevel"/>
    <w:lvl w:ilvl="0">
      <w:lvlJc w:val="left"/>
      <w:lvlText w:val="•"/>
      <w:numFmt w:val="bullet"/>
      <w:start w:val="1"/>
    </w:lvl>
  </w:abstractNum>
  <w:abstractNum w:abstractNumId="33">
    <w:nsid w:val="32794FF7"/>
    <w:multiLevelType w:val="hybridMultilevel"/>
    <w:lvl w:ilvl="0">
      <w:lvlJc w:val="left"/>
      <w:lvlText w:val="•"/>
      <w:numFmt w:val="bullet"/>
      <w:start w:val="1"/>
    </w:lvl>
  </w:abstractNum>
  <w:abstractNum w:abstractNumId="34">
    <w:nsid w:val="5454945E"/>
    <w:multiLevelType w:val="hybridMultilevel"/>
    <w:lvl w:ilvl="0">
      <w:lvlJc w:val="left"/>
      <w:lvlText w:val="•"/>
      <w:numFmt w:val="bullet"/>
      <w:start w:val="1"/>
    </w:lvl>
  </w:abstractNum>
  <w:abstractNum w:abstractNumId="35">
    <w:nsid w:val="4DEFDFA0"/>
    <w:multiLevelType w:val="hybridMultilevel"/>
    <w:lvl w:ilvl="0">
      <w:lvlJc w:val="left"/>
      <w:lvlText w:val="•"/>
      <w:numFmt w:val="bullet"/>
      <w:start w:val="1"/>
    </w:lvl>
  </w:abstractNum>
  <w:abstractNum w:abstractNumId="36">
    <w:nsid w:val="2123D5F2"/>
    <w:multiLevelType w:val="hybridMultilevel"/>
    <w:lvl w:ilvl="0">
      <w:lvlJc w:val="left"/>
      <w:lvlText w:val="•"/>
      <w:numFmt w:val="bullet"/>
      <w:start w:val="1"/>
    </w:lvl>
  </w:abstractNum>
  <w:abstractNum w:abstractNumId="37">
    <w:nsid w:val="135B8110"/>
    <w:multiLevelType w:val="hybridMultilevel"/>
    <w:lvl w:ilvl="0">
      <w:lvlJc w:val="left"/>
      <w:lvlText w:val="•"/>
      <w:numFmt w:val="bullet"/>
      <w:start w:val="1"/>
    </w:lvl>
  </w:abstractNum>
  <w:abstractNum w:abstractNumId="38">
    <w:nsid w:val="94927A8"/>
    <w:multiLevelType w:val="hybridMultilevel"/>
    <w:lvl w:ilvl="0">
      <w:lvlJc w:val="left"/>
      <w:lvlText w:val="•"/>
      <w:numFmt w:val="bullet"/>
      <w:start w:val="1"/>
    </w:lvl>
  </w:abstractNum>
  <w:abstractNum w:abstractNumId="39">
    <w:nsid w:val="DCDF8F6"/>
    <w:multiLevelType w:val="hybridMultilevel"/>
    <w:lvl w:ilvl="0">
      <w:lvlJc w:val="left"/>
      <w:lvlText w:val="•"/>
      <w:numFmt w:val="bullet"/>
      <w:start w:val="1"/>
    </w:lvl>
  </w:abstractNum>
  <w:abstractNum w:abstractNumId="40">
    <w:nsid w:val="52D7B105"/>
    <w:multiLevelType w:val="hybridMultilevel"/>
    <w:lvl w:ilvl="0">
      <w:lvlJc w:val="left"/>
      <w:lvlText w:val="•"/>
      <w:numFmt w:val="bullet"/>
      <w:start w:val="1"/>
    </w:lvl>
  </w:abstractNum>
  <w:abstractNum w:abstractNumId="41">
    <w:nsid w:val="2E8A6394"/>
    <w:multiLevelType w:val="hybridMultilevel"/>
    <w:lvl w:ilvl="0">
      <w:lvlJc w:val="left"/>
      <w:lvlText w:val="(%1)"/>
      <w:numFmt w:val="decimal"/>
      <w:start w:val="1"/>
    </w:lvl>
  </w:abstractNum>
  <w:abstractNum w:abstractNumId="42">
    <w:nsid w:val="24E60401"/>
    <w:multiLevelType w:val="hybridMultilevel"/>
    <w:lvl w:ilvl="0">
      <w:lvlJc w:val="left"/>
      <w:lvlText w:val="%1"/>
      <w:numFmt w:val="decimal"/>
      <w:start w:val="104"/>
    </w:lvl>
    <w:lvl w:ilvl="1">
      <w:lvlJc w:val="left"/>
      <w:lvlText w:val="#"/>
      <w:numFmt w:val="bullet"/>
      <w:start w:val="1"/>
    </w:lvl>
  </w:abstractNum>
  <w:abstractNum w:abstractNumId="43">
    <w:nsid w:val="2A6AD9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4">
    <w:nsid w:val="BAAC1B4"/>
    <w:multiLevelType w:val="hybridMultilevel"/>
    <w:lvl w:ilvl="0">
      <w:lvlJc w:val="left"/>
      <w:lvlText w:val="%1."/>
      <w:numFmt w:val="lowerLetter"/>
      <w:start w:val="5"/>
    </w:lvl>
  </w:abstractNum>
  <w:abstractNum w:abstractNumId="45">
    <w:nsid w:val="36B2ACBC"/>
    <w:multiLevelType w:val="hybridMultilevel"/>
    <w:lvl w:ilvl="0">
      <w:lvlJc w:val="left"/>
      <w:lvlText w:val="%1."/>
      <w:numFmt w:val="decimal"/>
      <w:start w:val="3"/>
    </w:lvl>
  </w:abstractNum>
  <w:abstractNum w:abstractNumId="46">
    <w:nsid w:val="779D8544"/>
    <w:multiLevelType w:val="hybridMultilevel"/>
    <w:lvl w:ilvl="0">
      <w:lvlJc w:val="left"/>
      <w:lvlText w:val="%1"/>
      <w:numFmt w:val="decimal"/>
      <w:start w:val="1"/>
    </w:lvl>
    <w:lvl w:ilvl="1">
      <w:lvlJc w:val="left"/>
      <w:lvlText w:val="%2."/>
      <w:numFmt w:val="lowerLetter"/>
      <w:start w:val="1"/>
    </w:lvl>
  </w:abstractNum>
  <w:abstractNum w:abstractNumId="47">
    <w:nsid w:val="4AB26E78"/>
    <w:multiLevelType w:val="hybridMultilevel"/>
    <w:lvl w:ilvl="0">
      <w:lvlJc w:val="left"/>
      <w:lvlText w:val="%1."/>
      <w:numFmt w:val="decimal"/>
      <w:start w:val="4"/>
    </w:lvl>
    <w:lvl w:ilvl="1">
      <w:lvlJc w:val="left"/>
      <w:lvlText w:val="%2"/>
      <w:numFmt w:val="lowerLetter"/>
      <w:start w:val="1"/>
    </w:lvl>
  </w:abstractNum>
  <w:abstractNum w:abstractNumId="48">
    <w:nsid w:val="21FAA2FA"/>
    <w:multiLevelType w:val="hybridMultilevel"/>
    <w:lvl w:ilvl="0">
      <w:lvlJc w:val="left"/>
      <w:lvlText w:val="%1."/>
      <w:numFmt w:val="decimal"/>
      <w:start w:val="8"/>
    </w:lvl>
  </w:abstractNum>
  <w:abstractNum w:abstractNumId="49">
    <w:nsid w:val="5451CF49"/>
    <w:multiLevelType w:val="hybridMultilevel"/>
    <w:lvl w:ilvl="0">
      <w:lvlJc w:val="left"/>
      <w:lvlText w:val="%1."/>
      <w:numFmt w:val="decimal"/>
      <w:start w:val="9"/>
    </w:lvl>
  </w:abstractNum>
  <w:abstractNum w:abstractNumId="50">
    <w:nsid w:val="6181EF69"/>
    <w:multiLevelType w:val="hybridMultilevel"/>
    <w:lvl w:ilvl="0">
      <w:lvlJc w:val="left"/>
      <w:lvlText w:val="%1"/>
      <w:numFmt w:val="lowerLetter"/>
      <w:start w:val="1"/>
    </w:lvl>
    <w:lvl w:ilvl="1">
      <w:lvlJc w:val="left"/>
      <w:lvlText w:val="%2."/>
      <w:numFmt w:val="decimal"/>
      <w:start w:val="1"/>
    </w:lvl>
  </w:abstractNum>
  <w:abstractNum w:abstractNumId="51">
    <w:nsid w:val="3E6400E6"/>
    <w:multiLevelType w:val="hybridMultilevel"/>
    <w:lvl w:ilvl="0">
      <w:lvlJc w:val="left"/>
      <w:lvlText w:val="(%1)"/>
      <w:numFmt w:val="lowerLetter"/>
      <w:start w:val="1"/>
    </w:lvl>
    <w:lvl w:ilvl="1">
      <w:lvlJc w:val="left"/>
      <w:lvlText w:val="%2"/>
      <w:numFmt w:val="decimal"/>
      <w:start w:val="1"/>
    </w:lvl>
  </w:abstractNum>
  <w:abstractNum w:abstractNumId="52">
    <w:nsid w:val="14217E23"/>
    <w:multiLevelType w:val="hybridMultilevel"/>
    <w:lvl w:ilvl="0">
      <w:lvlJc w:val="left"/>
      <w:lvlText w:val="%1."/>
      <w:numFmt w:val="decimal"/>
      <w:start w:val="2"/>
    </w:lvl>
  </w:abstractNum>
  <w:abstractNum w:abstractNumId="53">
    <w:nsid w:val="710757D0"/>
    <w:multiLevelType w:val="hybridMultilevel"/>
    <w:lvl w:ilvl="0">
      <w:lvlJc w:val="left"/>
      <w:lvlText w:val="%1."/>
      <w:numFmt w:val="decimal"/>
      <w:start w:val="1"/>
    </w:lvl>
  </w:abstractNum>
  <w:abstractNum w:abstractNumId="54">
    <w:nsid w:val="5015CD1A"/>
    <w:multiLevelType w:val="hybridMultilevel"/>
    <w:lvl w:ilvl="0">
      <w:lvlJc w:val="left"/>
      <w:lvlText w:val="%1."/>
      <w:numFmt w:val="decimal"/>
      <w:start w:val="1"/>
    </w:lvl>
  </w:abstractNum>
  <w:abstractNum w:abstractNumId="55">
    <w:nsid w:val="424479DA"/>
    <w:multiLevelType w:val="hybridMultilevel"/>
    <w:lvl w:ilvl="0">
      <w:lvlJc w:val="left"/>
      <w:lvlText w:val="%1."/>
      <w:numFmt w:val="decimal"/>
      <w:start w:val="2"/>
    </w:lvl>
  </w:abstractNum>
  <w:abstractNum w:abstractNumId="56">
    <w:nsid w:val="1A9A9E69"/>
    <w:multiLevelType w:val="hybridMultilevel"/>
    <w:lvl w:ilvl="0">
      <w:lvlJc w:val="left"/>
      <w:lvlText w:val="(%1)"/>
      <w:numFmt w:val="lowerLetter"/>
      <w:start w:val="1"/>
    </w:lvl>
    <w:lvl w:ilvl="1">
      <w:lvlJc w:val="left"/>
      <w:lvlText w:val="(%2)"/>
      <w:numFmt w:val="lowerRoman"/>
      <w:start w:val="1"/>
    </w:lvl>
  </w:abstractNum>
  <w:abstractNum w:abstractNumId="57">
    <w:nsid w:val="475E256A"/>
    <w:multiLevelType w:val="hybridMultilevel"/>
    <w:lvl w:ilvl="0">
      <w:lvlJc w:val="left"/>
      <w:lvlText w:val="%1"/>
      <w:numFmt w:val="lowerLetter"/>
      <w:start w:val="1"/>
    </w:lvl>
    <w:lvl w:ilvl="1">
      <w:lvlJc w:val="left"/>
      <w:lvlText w:val="(%2)"/>
      <w:numFmt w:val="lowerRoman"/>
      <w:start w:val="4"/>
    </w:lvl>
  </w:abstractNum>
  <w:abstractNum w:abstractNumId="58">
    <w:nsid w:val="368DB37E"/>
    <w:multiLevelType w:val="hybridMultilevel"/>
    <w:lvl w:ilvl="0">
      <w:lvlJc w:val="left"/>
      <w:lvlText w:val="(%1)"/>
      <w:numFmt w:val="lowerLetter"/>
      <w:start w:val="2"/>
    </w:lvl>
    <w:lvl w:ilvl="1">
      <w:lvlJc w:val="left"/>
      <w:lvlText w:val="(%2)"/>
      <w:numFmt w:val="lowerRoman"/>
      <w:start w:val="1"/>
    </w:lvl>
  </w:abstractNum>
  <w:abstractNum w:abstractNumId="59">
    <w:nsid w:val="6A3B714C"/>
    <w:multiLevelType w:val="hybridMultilevel"/>
    <w:lvl w:ilvl="0">
      <w:lvlJc w:val="left"/>
      <w:lvlText w:val="(%1)"/>
      <w:numFmt w:val="lowerRoman"/>
      <w:start w:val="2"/>
    </w:lvl>
  </w:abstractNum>
  <w:abstractNum w:abstractNumId="60">
    <w:nsid w:val="327B517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61">
    <w:nsid w:val="1F461B51"/>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62">
    <w:nsid w:val="29BACF25"/>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63">
    <w:nsid w:val="5D5BABB3"/>
    <w:multiLevelType w:val="hybridMultilevel"/>
    <w:lvl w:ilvl="0">
      <w:lvlJc w:val="left"/>
      <w:lvlText w:val="(%1)"/>
      <w:numFmt w:val="lowerLetter"/>
      <w:start w:val="6"/>
    </w:lvl>
  </w:abstractNum>
  <w:abstractNum w:abstractNumId="64">
    <w:nsid w:val="51BF6B48"/>
    <w:multiLevelType w:val="hybridMultilevel"/>
    <w:lvl w:ilvl="0">
      <w:lvlJc w:val="left"/>
      <w:lvlText w:val="(%1)"/>
      <w:numFmt w:val="lowerLetter"/>
      <w:start w:val="1"/>
    </w:lvl>
    <w:lvl w:ilvl="1">
      <w:lvlJc w:val="left"/>
      <w:lvlText w:val="(%2)"/>
      <w:numFmt w:val="lowerRoman"/>
      <w:start w:val="1"/>
    </w:lvl>
  </w:abstractNum>
  <w:abstractNum w:abstractNumId="65">
    <w:nsid w:val="7E0F6384"/>
    <w:multiLevelType w:val="hybridMultilevel"/>
    <w:lvl w:ilvl="0">
      <w:lvlJc w:val="left"/>
      <w:lvlText w:val="(%1)"/>
      <w:numFmt w:val="lowerLetter"/>
      <w:start w:val="2"/>
    </w:lvl>
    <w:lvl w:ilvl="1">
      <w:lvlJc w:val="left"/>
      <w:lvlText w:val="(%2)"/>
      <w:numFmt w:val="lowerRoman"/>
      <w:start w:val="1"/>
    </w:lvl>
  </w:abstractNum>
  <w:abstractNum w:abstractNumId="66">
    <w:nsid w:val="2B4B8B53"/>
    <w:multiLevelType w:val="hybridMultilevel"/>
    <w:lvl w:ilvl="0">
      <w:lvlJc w:val="left"/>
      <w:lvlText w:val="%1"/>
      <w:numFmt w:val="lowerLetter"/>
      <w:start w:val="1"/>
    </w:lvl>
    <w:lvl w:ilvl="1">
      <w:lvlJc w:val="left"/>
      <w:lvlText w:val="(%2)"/>
      <w:numFmt w:val="lowerRoman"/>
      <w:start w:val="3"/>
    </w:lvl>
  </w:abstractNum>
  <w:abstractNum w:abstractNumId="67">
    <w:nsid w:val="72E3413A"/>
    <w:multiLevelType w:val="hybridMultilevel"/>
    <w:lvl w:ilvl="0">
      <w:lvlJc w:val="left"/>
      <w:lvlText w:val="(%1)"/>
      <w:numFmt w:val="lowerLetter"/>
      <w:start w:val="5"/>
    </w:lvl>
    <w:lvl w:ilvl="1">
      <w:lvlJc w:val="left"/>
      <w:lvlText w:val="(%2)"/>
      <w:numFmt w:val="lowerRoman"/>
      <w:start w:val="1"/>
    </w:lvl>
  </w:abstractNum>
  <w:abstractNum w:abstractNumId="68">
    <w:nsid w:val="116AE494"/>
    <w:multiLevelType w:val="hybridMultilevel"/>
    <w:lvl w:ilvl="0">
      <w:lvlJc w:val="left"/>
      <w:lvlText w:val="(%1)"/>
      <w:numFmt w:val="lowerLetter"/>
      <w:start w:val="6"/>
    </w:lvl>
  </w:abstractNum>
  <w:abstractNum w:abstractNumId="69">
    <w:nsid w:val="3494B2FB"/>
    <w:multiLevelType w:val="hybridMultilevel"/>
    <w:lvl w:ilvl="0">
      <w:lvlJc w:val="left"/>
      <w:lvlText w:val="(%1)"/>
      <w:numFmt w:val="lowerLetter"/>
      <w:start w:val="1"/>
    </w:lvl>
  </w:abstractNum>
  <w:abstractNum w:abstractNumId="70">
    <w:nsid w:val="B13A31"/>
    <w:multiLevelType w:val="hybridMultilevel"/>
    <w:lvl w:ilvl="0">
      <w:lvlJc w:val="left"/>
      <w:lvlText w:val="(%1)"/>
      <w:numFmt w:val="lowerLetter"/>
      <w:start w:val="1"/>
    </w:lvl>
  </w:abstractNum>
  <w:abstractNum w:abstractNumId="71">
    <w:nsid w:val="6442959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lowerLetter"/>
      <w:start w:val="1"/>
    </w:lvl>
  </w:abstractNum>
  <w:abstractNum w:abstractNumId="72">
    <w:nsid w:val="631F1690"/>
    <w:multiLevelType w:val="hybridMultilevel"/>
    <w:lvl w:ilvl="0">
      <w:lvlJc w:val="left"/>
      <w:lvlText w:val="%1"/>
      <w:numFmt w:val="upperLetter"/>
      <w:start w:val="1"/>
    </w:lvl>
    <w:lvl w:ilvl="1">
      <w:lvlJc w:val="left"/>
      <w:lvlText w:val="(%2)"/>
      <w:numFmt w:val="lowerLetter"/>
      <w:start w:val="2"/>
    </w:lvl>
  </w:abstractNum>
  <w:abstractNum w:abstractNumId="73">
    <w:nsid w:val="25973E32"/>
    <w:multiLevelType w:val="hybridMultilevel"/>
    <w:lvl w:ilvl="0">
      <w:lvlJc w:val="left"/>
      <w:lvlText w:val="(%1)"/>
      <w:numFmt w:val="upperLetter"/>
      <w:start w:val="3"/>
    </w:lvl>
    <w:lvl w:ilvl="1">
      <w:lvlJc w:val="left"/>
      <w:lvlText w:val="%2"/>
      <w:numFmt w:val="lowerLetter"/>
      <w:start w:val="1"/>
    </w:lvl>
  </w:abstractNum>
  <w:abstractNum w:abstractNumId="74">
    <w:nsid w:val="EAD6F57"/>
    <w:multiLevelType w:val="hybridMultilevel"/>
    <w:lvl w:ilvl="0">
      <w:lvlJc w:val="left"/>
      <w:lvlText w:val="(%1)"/>
      <w:numFmt w:val="lowerLetter"/>
      <w:start w:val="5"/>
    </w:lvl>
  </w:abstractNum>
  <w:abstractNum w:abstractNumId="75">
    <w:nsid w:val="6EC9D844"/>
    <w:multiLevelType w:val="hybridMultilevel"/>
    <w:lvl w:ilvl="0">
      <w:lvlJc w:val="left"/>
      <w:lvlText w:val="(%1)"/>
      <w:numFmt w:val="lowerLetter"/>
      <w:start w:val="1"/>
    </w:lvl>
  </w:abstractNum>
  <w:abstractNum w:abstractNumId="76">
    <w:nsid w:val="5C49EAEE"/>
    <w:multiLevelType w:val="hybridMultilevel"/>
    <w:lvl w:ilvl="0">
      <w:lvlJc w:val="left"/>
      <w:lvlText w:val="(%1)"/>
      <w:numFmt w:val="lowerLetter"/>
      <w:start w:val="1"/>
    </w:lvl>
  </w:abstractNum>
  <w:abstractNum w:abstractNumId="77">
    <w:nsid w:val="64AF49B"/>
    <w:multiLevelType w:val="hybridMultilevel"/>
    <w:lvl w:ilvl="0">
      <w:lvlJc w:val="left"/>
      <w:lvlText w:val="(%1)"/>
      <w:numFmt w:val="lowerLetter"/>
      <w:start w:val="1"/>
    </w:lvl>
  </w:abstractNum>
  <w:abstractNum w:abstractNumId="78">
    <w:nsid w:val="397C46BC"/>
    <w:multiLevelType w:val="hybridMultilevel"/>
    <w:lvl w:ilvl="0">
      <w:lvlJc w:val="left"/>
      <w:lvlText w:val="(%1)"/>
      <w:numFmt w:val="lowerLetter"/>
      <w:start w:val="2"/>
    </w:lvl>
  </w:abstractNum>
  <w:abstractNum w:abstractNumId="79">
    <w:nsid w:val="7E448DE9"/>
    <w:multiLevelType w:val="hybridMultilevel"/>
    <w:lvl w:ilvl="0">
      <w:lvlJc w:val="left"/>
      <w:lvlText w:val="(%1)"/>
      <w:numFmt w:val="lowerLetter"/>
      <w:start w:val="1"/>
    </w:lvl>
  </w:abstractNum>
  <w:abstractNum w:abstractNumId="80">
    <w:nsid w:val="5A9CC3E5"/>
    <w:multiLevelType w:val="hybridMultilevel"/>
    <w:lvl w:ilvl="0">
      <w:lvlJc w:val="left"/>
      <w:lvlText w:val="(%1)"/>
      <w:numFmt w:val="lowerLetter"/>
      <w:start w:val="1"/>
    </w:lvl>
    <w:lvl w:ilvl="1">
      <w:lvlJc w:val="left"/>
      <w:lvlText w:val="(%2)"/>
      <w:numFmt w:val="lowerRoman"/>
      <w:start w:val="1"/>
    </w:lvl>
  </w:abstractNum>
  <w:abstractNum w:abstractNumId="81">
    <w:nsid w:val="1AFE3625"/>
    <w:multiLevelType w:val="hybridMultilevel"/>
    <w:lvl w:ilvl="0">
      <w:lvlJc w:val="left"/>
      <w:lvlText w:val="(%1)"/>
      <w:numFmt w:val="lowerRoman"/>
      <w:start w:val="5"/>
    </w:lvl>
  </w:abstractNum>
  <w:abstractNum w:abstractNumId="82">
    <w:nsid w:val="3CA88ECF"/>
    <w:multiLevelType w:val="hybridMultilevel"/>
    <w:lvl w:ilvl="0">
      <w:lvlJc w:val="left"/>
      <w:lvlText w:val="%1."/>
      <w:numFmt w:val="decimal"/>
      <w:start w:val="3"/>
    </w:lvl>
  </w:abstractNum>
  <w:abstractNum w:abstractNumId="83">
    <w:nsid w:val="6EBE4208"/>
    <w:multiLevelType w:val="hybridMultilevel"/>
    <w:lvl w:ilvl="0">
      <w:lvlJc w:val="left"/>
      <w:lvlText w:val="(%1)"/>
      <w:numFmt w:val="lowerLetter"/>
      <w:start w:val="1"/>
    </w:lvl>
  </w:abstractNum>
  <w:abstractNum w:abstractNumId="84">
    <w:nsid w:val="C058DF5"/>
    <w:multiLevelType w:val="hybridMultilevel"/>
    <w:lvl w:ilvl="0">
      <w:lvlJc w:val="left"/>
      <w:lvlText w:val="%1"/>
      <w:numFmt w:val="upperLetter"/>
      <w:start w:val="1"/>
    </w:lvl>
    <w:lvl w:ilvl="1">
      <w:lvlJc w:val="left"/>
      <w:lvlText w:val="(%2)"/>
      <w:numFmt w:val="lowerLetter"/>
      <w:start w:val="5"/>
    </w:lvl>
  </w:abstractNum>
  <w:abstractNum w:abstractNumId="85">
    <w:nsid w:val="CBE5BE9"/>
    <w:multiLevelType w:val="hybridMultilevel"/>
    <w:lvl w:ilvl="0">
      <w:lvlJc w:val="left"/>
      <w:lvlText w:val="(%1)"/>
      <w:numFmt w:val="lowerLetter"/>
      <w:start w:val="14"/>
    </w:lvl>
  </w:abstractNum>
  <w:abstractNum w:abstractNumId="86">
    <w:nsid w:val="3102BBE2"/>
    <w:multiLevelType w:val="hybridMultilevel"/>
    <w:lvl w:ilvl="0">
      <w:lvlJc w:val="left"/>
      <w:lvlText w:val="(%1)"/>
      <w:numFmt w:val="lowerLetter"/>
      <w:start w:val="1"/>
    </w:lvl>
  </w:abstractNum>
  <w:abstractNum w:abstractNumId="87">
    <w:nsid w:val="26A02C5E"/>
    <w:multiLevelType w:val="hybridMultilevel"/>
    <w:lvl w:ilvl="0">
      <w:lvlJc w:val="left"/>
      <w:lvlText w:val="%1."/>
      <w:numFmt w:val="decimal"/>
      <w:start w:val="4"/>
    </w:lvl>
  </w:abstractNum>
  <w:abstractNum w:abstractNumId="88">
    <w:nsid w:val="541C8153"/>
    <w:multiLevelType w:val="hybridMultilevel"/>
    <w:lvl w:ilvl="0">
      <w:lvlJc w:val="left"/>
      <w:lvlText w:val="(%1)"/>
      <w:numFmt w:val="upperLetter"/>
      <w:start w:val="2"/>
    </w:lvl>
  </w:abstractNum>
  <w:abstractNum w:abstractNumId="89">
    <w:nsid w:val="67906F60"/>
    <w:multiLevelType w:val="hybridMultilevel"/>
    <w:lvl w:ilvl="0">
      <w:lvlJc w:val="left"/>
      <w:lvlText w:val="(%1)"/>
      <w:numFmt w:val="lowerLetter"/>
      <w:start w:val="1"/>
    </w:lvl>
  </w:abstractNum>
  <w:abstractNum w:abstractNumId="90">
    <w:nsid w:val="10DB9DAA"/>
    <w:multiLevelType w:val="hybridMultilevel"/>
    <w:lvl w:ilvl="0">
      <w:lvlJc w:val="left"/>
      <w:lvlText w:val="(%1)"/>
      <w:numFmt w:val="lowerLetter"/>
      <w:start w:val="5"/>
    </w:lvl>
  </w:abstractNum>
  <w:abstractNum w:abstractNumId="91">
    <w:nsid w:val="697D2D2"/>
    <w:multiLevelType w:val="hybridMultilevel"/>
    <w:lvl w:ilvl="0">
      <w:lvlJc w:val="left"/>
      <w:lvlText w:val="(%1)"/>
      <w:numFmt w:val="lowerLetter"/>
      <w:start w:val="10"/>
    </w:lvl>
  </w:abstractNum>
  <w:abstractNum w:abstractNumId="92">
    <w:nsid w:val="6D68AB2"/>
    <w:multiLevelType w:val="hybridMultilevel"/>
    <w:lvl w:ilvl="0">
      <w:lvlJc w:val="left"/>
      <w:lvlText w:val="(%1)"/>
      <w:numFmt w:val="lowerLetter"/>
      <w:start w:val="16"/>
    </w:lvl>
  </w:abstractNum>
  <w:abstractNum w:abstractNumId="93">
    <w:nsid w:val="3A966CD0"/>
    <w:multiLevelType w:val="hybridMultilevel"/>
    <w:lvl w:ilvl="0">
      <w:lvlJc w:val="left"/>
      <w:lvlText w:val="(%1)"/>
      <w:numFmt w:val="lowerLetter"/>
      <w:start w:val="1"/>
    </w:lvl>
  </w:abstractNum>
  <w:abstractNum w:abstractNumId="94">
    <w:nsid w:val="63F37E85"/>
    <w:multiLevelType w:val="hybridMultilevel"/>
    <w:lvl w:ilvl="0">
      <w:lvlJc w:val="left"/>
      <w:lvlText w:val="(%1)"/>
      <w:numFmt w:val="lowerLetter"/>
      <w:start w:val="2"/>
    </w:lvl>
  </w:abstractNum>
  <w:abstractNum w:abstractNumId="95">
    <w:nsid w:val="5895F5FA"/>
    <w:multiLevelType w:val="hybridMultilevel"/>
    <w:lvl w:ilvl="0">
      <w:lvlJc w:val="left"/>
      <w:lvlText w:val="(%1)"/>
      <w:numFmt w:val="lowerLetter"/>
      <w:start w:val="1"/>
    </w:lvl>
  </w:abstractNum>
  <w:abstractNum w:abstractNumId="96">
    <w:nsid w:val="38A5D054"/>
    <w:multiLevelType w:val="hybridMultilevel"/>
    <w:lvl w:ilvl="0">
      <w:lvlJc w:val="left"/>
      <w:lvlText w:val="(%1)"/>
      <w:numFmt w:val="lowerLetter"/>
      <w:start w:val="5"/>
    </w:lvl>
  </w:abstractNum>
  <w:abstractNum w:abstractNumId="97">
    <w:nsid w:val="F3F09D8"/>
    <w:multiLevelType w:val="hybridMultilevel"/>
    <w:lvl w:ilvl="0">
      <w:lvlJc w:val="left"/>
      <w:lvlText w:val="(%1)"/>
      <w:numFmt w:val="lowerLetter"/>
      <w:start w:val="1"/>
    </w:lvl>
  </w:abstractNum>
  <w:abstractNum w:abstractNumId="98">
    <w:nsid w:val="4B793735"/>
    <w:multiLevelType w:val="hybridMultilevel"/>
    <w:lvl w:ilvl="0">
      <w:lvlJc w:val="left"/>
      <w:lvlText w:val="(%1)"/>
      <w:numFmt w:val="lowerLetter"/>
      <w:start w:val="3"/>
    </w:lvl>
  </w:abstractNum>
  <w:abstractNum w:abstractNumId="99">
    <w:nsid w:val="4A10B4E8"/>
    <w:multiLevelType w:val="hybridMultilevel"/>
    <w:lvl w:ilvl="0">
      <w:lvlJc w:val="left"/>
      <w:lvlText w:val="(%1)"/>
      <w:numFmt w:val="lowerLetter"/>
      <w:start w:val="8"/>
    </w:lvl>
  </w:abstractNum>
  <w:abstractNum w:abstractNumId="100">
    <w:nsid w:val="43D3BCD4"/>
    <w:multiLevelType w:val="hybridMultilevel"/>
    <w:lvl w:ilvl="0">
      <w:lvlJc w:val="left"/>
      <w:lvlText w:val="(%1)"/>
      <w:numFmt w:val="lowerLetter"/>
      <w:start w:val="11"/>
    </w:lvl>
  </w:abstractNum>
  <w:abstractNum w:abstractNumId="101">
    <w:nsid w:val="4C2A7166"/>
    <w:multiLevelType w:val="hybridMultilevel"/>
    <w:lvl w:ilvl="0">
      <w:lvlJc w:val="left"/>
      <w:lvlText w:val="%1"/>
      <w:numFmt w:val="upperLetter"/>
      <w:start w:val="1"/>
    </w:lvl>
    <w:lvl w:ilvl="1">
      <w:lvlJc w:val="left"/>
      <w:lvlText w:val="(%2)"/>
      <w:numFmt w:val="lowerLetter"/>
      <w:start w:val="1"/>
    </w:lvl>
  </w:abstractNum>
  <w:abstractNum w:abstractNumId="102">
    <w:nsid w:val="2E534A82"/>
    <w:multiLevelType w:val="hybridMultilevel"/>
    <w:lvl w:ilvl="0">
      <w:lvlJc w:val="left"/>
      <w:lvlText w:val="(%1)"/>
      <w:numFmt w:val="upperLetter"/>
      <w:start w:val="2"/>
    </w:lvl>
    <w:lvl w:ilvl="1">
      <w:lvlJc w:val="left"/>
      <w:lvlText w:val="(%2)"/>
      <w:numFmt w:val="lowerLetter"/>
      <w:start w:val="4"/>
    </w:lvl>
  </w:abstractNum>
  <w:abstractNum w:abstractNumId="103">
    <w:nsid w:val="26F2D364"/>
    <w:multiLevelType w:val="hybridMultilevel"/>
    <w:lvl w:ilvl="0">
      <w:lvlJc w:val="left"/>
      <w:lvlText w:val="%1"/>
      <w:numFmt w:val="decimal"/>
      <w:start w:val="1"/>
    </w:lvl>
    <w:lvl w:ilvl="1">
      <w:lvlJc w:val="left"/>
      <w:lvlText w:val="(%2)"/>
      <w:numFmt w:val="lowerLetter"/>
      <w:start w:val="1"/>
    </w:lvl>
  </w:abstractNum>
  <w:abstractNum w:abstractNumId="104">
    <w:nsid w:val="71C1AF98"/>
    <w:multiLevelType w:val="hybridMultilevel"/>
    <w:lvl w:ilvl="0">
      <w:lvlJc w:val="left"/>
      <w:lvlText w:val="%1."/>
      <w:numFmt w:val="decimal"/>
      <w:start w:val="5"/>
    </w:lvl>
    <w:lvl w:ilvl="1">
      <w:lvlJc w:val="left"/>
      <w:lvlText w:val="%2"/>
      <w:numFmt w:val="lowerLetter"/>
      <w:start w:val="1"/>
    </w:lvl>
  </w:abstractNum>
  <w:abstractNum w:abstractNumId="105">
    <w:nsid w:val="3D00B9D9"/>
    <w:multiLevelType w:val="hybridMultilevel"/>
    <w:lvl w:ilvl="0">
      <w:lvlJc w:val="left"/>
      <w:lvlText w:val="(%1)"/>
      <w:numFmt w:val="lowerLetter"/>
      <w:start w:val="1"/>
    </w:lvl>
    <w:lvl w:ilvl="1">
      <w:lvlJc w:val="left"/>
      <w:lvlText w:val="(%2)"/>
      <w:numFmt w:val="lowerLetter"/>
      <w:start w:val="9"/>
    </w:lvl>
  </w:abstractNum>
  <w:abstractNum w:abstractNumId="106">
    <w:nsid w:val="15BCABA8"/>
    <w:multiLevelType w:val="hybridMultilevel"/>
    <w:lvl w:ilvl="0">
      <w:lvlJc w:val="left"/>
      <w:lvlText w:val="(%1)"/>
      <w:numFmt w:val="lowerRoman"/>
      <w:start w:val="2"/>
    </w:lvl>
  </w:abstractNum>
  <w:abstractNum w:abstractNumId="107">
    <w:nsid w:val="4E0B9A8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108">
    <w:nsid w:val="434BAE75"/>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109">
    <w:nsid w:val="4F38F26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10">
    <w:nsid w:val="4C502870"/>
    <w:multiLevelType w:val="hybridMultilevel"/>
    <w:lvl w:ilvl="0">
      <w:lvlJc w:val="left"/>
      <w:lvlText w:val="(%1)"/>
      <w:numFmt w:val="lowerLetter"/>
      <w:start w:val="4"/>
    </w:lvl>
    <w:lvl w:ilvl="1">
      <w:lvlJc w:val="left"/>
      <w:lvlText w:val="(%2)"/>
      <w:numFmt w:val="lowerRoman"/>
      <w:start w:val="1"/>
    </w:lvl>
  </w:abstractNum>
  <w:abstractNum w:abstractNumId="111">
    <w:nsid w:val="1DE8725A"/>
    <w:multiLevelType w:val="hybridMultilevel"/>
    <w:lvl w:ilvl="0">
      <w:lvlJc w:val="left"/>
      <w:lvlText w:val="%1"/>
      <w:numFmt w:val="lowerLetter"/>
      <w:start w:val="1"/>
    </w:lvl>
    <w:lvl w:ilvl="1">
      <w:lvlJc w:val="left"/>
      <w:lvlText w:val="(%2)"/>
      <w:numFmt w:val="lowerRoman"/>
      <w:start w:val="10"/>
    </w:lvl>
  </w:abstractNum>
  <w:abstractNum w:abstractNumId="112">
    <w:nsid w:val="6A37288A"/>
    <w:multiLevelType w:val="hybridMultilevel"/>
    <w:lvl w:ilvl="0">
      <w:lvlJc w:val="left"/>
      <w:lvlText w:val="(%1)"/>
      <w:numFmt w:val="lowerLetter"/>
      <w:start w:val="6"/>
    </w:lvl>
    <w:lvl w:ilvl="1">
      <w:lvlJc w:val="left"/>
      <w:lvlText w:val="%2"/>
      <w:numFmt w:val="lowerRoman"/>
      <w:start w:val="1"/>
    </w:lvl>
  </w:abstractNum>
  <w:abstractNum w:abstractNumId="113">
    <w:nsid w:val="8F8B73F"/>
    <w:multiLevelType w:val="hybridMultilevel"/>
    <w:lvl w:ilvl="0">
      <w:lvlJc w:val="left"/>
      <w:lvlText w:val="(%1)"/>
      <w:numFmt w:val="lowerLetter"/>
      <w:start w:val="1"/>
    </w:lvl>
  </w:abstractNum>
  <w:abstractNum w:abstractNumId="114">
    <w:nsid w:val="CA6B462"/>
    <w:multiLevelType w:val="hybridMultilevel"/>
    <w:lvl w:ilvl="0">
      <w:lvlJc w:val="left"/>
      <w:lvlText w:val="(%1)"/>
      <w:numFmt w:val="lowerLetter"/>
      <w:start w:val="1"/>
    </w:lvl>
  </w:abstractNum>
  <w:abstractNum w:abstractNumId="115">
    <w:nsid w:val="763CB680"/>
    <w:multiLevelType w:val="hybridMultilevel"/>
    <w:lvl w:ilvl="0">
      <w:lvlJc w:val="left"/>
      <w:lvlText w:val="(%1)"/>
      <w:numFmt w:val="lowerLetter"/>
      <w:start w:val="3"/>
    </w:lvl>
  </w:abstractNum>
  <w:abstractNum w:abstractNumId="116">
    <w:nsid w:val="15B71329"/>
    <w:multiLevelType w:val="hybridMultilevel"/>
    <w:lvl w:ilvl="0">
      <w:lvlJc w:val="left"/>
      <w:lvlText w:val="(%1)"/>
      <w:numFmt w:val="lowerLetter"/>
      <w:start w:val="1"/>
    </w:lvl>
  </w:abstractNum>
  <w:abstractNum w:abstractNumId="117">
    <w:nsid w:val="3DA97044"/>
    <w:multiLevelType w:val="hybridMultilevel"/>
    <w:lvl w:ilvl="0">
      <w:lvlJc w:val="left"/>
      <w:lvlText w:val="(%1)"/>
      <w:numFmt w:val="lowerLetter"/>
      <w:start w:val="2"/>
    </w:lvl>
  </w:abstractNum>
  <w:abstractNum w:abstractNumId="118">
    <w:nsid w:val="1CDCE2DE"/>
    <w:multiLevelType w:val="hybridMultilevel"/>
    <w:lvl w:ilvl="0">
      <w:lvlJc w:val="left"/>
      <w:lvlText w:val="(%1)"/>
      <w:numFmt w:val="lowerLetter"/>
      <w:start w:val="1"/>
    </w:lvl>
  </w:abstractNum>
  <w:abstractNum w:abstractNumId="119">
    <w:nsid w:val="69D3947C"/>
    <w:multiLevelType w:val="hybridMultilevel"/>
    <w:lvl w:ilvl="0">
      <w:lvlJc w:val="left"/>
      <w:lvlText w:val="%1"/>
      <w:numFmt w:val="lowerLetter"/>
      <w:start w:val="1"/>
    </w:lvl>
    <w:lvl w:ilvl="1">
      <w:lvlJc w:val="left"/>
      <w:lvlText w:val="(%2)"/>
      <w:numFmt w:val="lowerLetter"/>
      <w:start w:val="2"/>
    </w:lvl>
  </w:abstractNum>
  <w:abstractNum w:abstractNumId="120">
    <w:nsid w:val="2539DFA5"/>
    <w:multiLevelType w:val="hybridMultilevel"/>
    <w:lvl w:ilvl="0">
      <w:lvlJc w:val="left"/>
      <w:lvlText w:val="(%1)"/>
      <w:numFmt w:val="lowerLetter"/>
      <w:start w:val="22"/>
    </w:lvl>
    <w:lvl w:ilvl="1">
      <w:lvlJc w:val="left"/>
      <w:lvlText w:val="%2"/>
      <w:numFmt w:val="lowerLetter"/>
      <w:start w:val="1"/>
    </w:lvl>
  </w:abstractNum>
  <w:abstractNum w:abstractNumId="121">
    <w:nsid w:val="2DB88089"/>
    <w:multiLevelType w:val="hybridMultilevel"/>
    <w:lvl w:ilvl="0">
      <w:lvlJc w:val="left"/>
      <w:lvlText w:val="(%1)"/>
      <w:numFmt w:val="lowerLetter"/>
      <w:start w:val="1"/>
    </w:lvl>
  </w:abstractNum>
  <w:abstractNum w:abstractNumId="122">
    <w:nsid w:val="706B674E"/>
    <w:multiLevelType w:val="hybridMultilevel"/>
    <w:lvl w:ilvl="0">
      <w:lvlJc w:val="left"/>
      <w:lvlText w:val="(%1)"/>
      <w:numFmt w:val="lowerLetter"/>
      <w:start w:val="3"/>
    </w:lvl>
  </w:abstractNum>
  <w:abstractNum w:abstractNumId="123">
    <w:nsid w:val="2C106A57"/>
    <w:multiLevelType w:val="hybridMultilevel"/>
    <w:lvl w:ilvl="0">
      <w:lvlJc w:val="left"/>
      <w:lvlText w:val="%1"/>
      <w:numFmt w:val="lowerLetter"/>
      <w:start w:val="1"/>
    </w:lvl>
    <w:lvl w:ilvl="1">
      <w:lvlJc w:val="left"/>
      <w:lvlText w:val="(%2)"/>
      <w:numFmt w:val="lowerRoman"/>
      <w:start w:val="1"/>
    </w:lvl>
  </w:abstractNum>
  <w:abstractNum w:abstractNumId="124">
    <w:nsid w:val="684EED59"/>
    <w:multiLevelType w:val="hybridMultilevel"/>
    <w:lvl w:ilvl="0">
      <w:lvlJc w:val="left"/>
      <w:lvlText w:val="(%1)"/>
      <w:numFmt w:val="lowerLetter"/>
      <w:start w:val="2"/>
    </w:lvl>
    <w:lvl w:ilvl="1">
      <w:lvlJc w:val="left"/>
      <w:lvlText w:val="%2"/>
      <w:numFmt w:val="lowerRoman"/>
      <w:start w:val="1"/>
    </w:lvl>
  </w:abstractNum>
  <w:abstractNum w:abstractNumId="125">
    <w:nsid w:val="545EE5D3"/>
    <w:multiLevelType w:val="hybridMultilevel"/>
    <w:lvl w:ilvl="0">
      <w:lvlJc w:val="left"/>
      <w:lvlText w:val="%1."/>
      <w:numFmt w:val="decimal"/>
      <w:start w:val="6"/>
    </w:lvl>
  </w:abstractNum>
  <w:abstractNum w:abstractNumId="126">
    <w:nsid w:val="4A66051"/>
    <w:multiLevelType w:val="hybridMultilevel"/>
    <w:lvl w:ilvl="0">
      <w:lvlJc w:val="left"/>
      <w:lvlText w:val="(%1)"/>
      <w:numFmt w:val="lowerLetter"/>
      <w:start w:val="1"/>
    </w:lvl>
  </w:abstractNum>
  <w:abstractNum w:abstractNumId="127">
    <w:nsid w:val="20F4BDAD"/>
    <w:multiLevelType w:val="hybridMultilevel"/>
    <w:lvl w:ilvl="0">
      <w:lvlJc w:val="left"/>
      <w:lvlText w:val="(%1)"/>
      <w:numFmt w:val="lowerLetter"/>
      <w:start w:val="1"/>
    </w:lvl>
  </w:abstractNum>
  <w:abstractNum w:abstractNumId="128">
    <w:nsid w:val="639DEFAC"/>
    <w:multiLevelType w:val="hybridMultilevel"/>
    <w:lvl w:ilvl="0">
      <w:lvlJc w:val="left"/>
      <w:lvlText w:val="%1"/>
      <w:numFmt w:val="lowerLetter"/>
      <w:start w:val="1"/>
    </w:lvl>
    <w:lvl w:ilvl="1">
      <w:lvlJc w:val="left"/>
      <w:lvlText w:val="(%2)"/>
      <w:numFmt w:val="lowerRoman"/>
      <w:start w:val="1"/>
    </w:lvl>
  </w:abstractNum>
  <w:abstractNum w:abstractNumId="129">
    <w:nsid w:val="501F9786"/>
    <w:multiLevelType w:val="hybridMultilevel"/>
    <w:lvl w:ilvl="0">
      <w:lvlJc w:val="left"/>
      <w:lvlText w:val="(%1)"/>
      <w:numFmt w:val="lowerLetter"/>
      <w:start w:val="2"/>
    </w:lvl>
    <w:lvl w:ilvl="1">
      <w:lvlJc w:val="left"/>
      <w:lvlText w:val="%2"/>
      <w:numFmt w:val="lowerRoman"/>
      <w:start w:val="1"/>
    </w:lvl>
  </w:abstractNum>
  <w:abstractNum w:abstractNumId="130">
    <w:nsid w:val="6B057295"/>
    <w:multiLevelType w:val="hybridMultilevel"/>
    <w:lvl w:ilvl="0">
      <w:lvlJc w:val="left"/>
      <w:lvlText w:val="(%1)"/>
      <w:numFmt w:val="lowerLetter"/>
      <w:start w:val="1"/>
    </w:lvl>
  </w:abstractNum>
  <w:abstractNum w:abstractNumId="131">
    <w:nsid w:val="2771AC80"/>
    <w:multiLevelType w:val="hybridMultilevel"/>
    <w:lvl w:ilvl="0">
      <w:lvlJc w:val="left"/>
      <w:lvlText w:val="(%1)"/>
      <w:numFmt w:val="lowerLetter"/>
      <w:start w:val="1"/>
    </w:lvl>
  </w:abstractNum>
  <w:abstractNum w:abstractNumId="132">
    <w:nsid w:val="1C4A08EC"/>
    <w:multiLevelType w:val="hybridMultilevel"/>
    <w:lvl w:ilvl="0">
      <w:lvlJc w:val="left"/>
      <w:lvlText w:val="(%1)"/>
      <w:numFmt w:val="lowerLetter"/>
      <w:start w:val="1"/>
    </w:lvl>
  </w:abstractNum>
  <w:abstractNum w:abstractNumId="133">
    <w:nsid w:val="1958BD17"/>
    <w:multiLevelType w:val="hybridMultilevel"/>
    <w:lvl w:ilvl="0">
      <w:lvlJc w:val="left"/>
      <w:lvlText w:val="(%1)"/>
      <w:numFmt w:val="lowerLetter"/>
      <w:start w:val="2"/>
    </w:lvl>
  </w:abstractNum>
  <w:abstractNum w:abstractNumId="134">
    <w:nsid w:val="4E647FE4"/>
    <w:multiLevelType w:val="hybridMultilevel"/>
    <w:lvl w:ilvl="0">
      <w:lvlJc w:val="left"/>
      <w:lvlText w:val="(%1)"/>
      <w:numFmt w:val="lowerLetter"/>
      <w:start w:val="1"/>
    </w:lvl>
  </w:abstractNum>
  <w:abstractNum w:abstractNumId="135">
    <w:nsid w:val="E0BB885"/>
    <w:multiLevelType w:val="hybridMultilevel"/>
    <w:lvl w:ilvl="0">
      <w:lvlJc w:val="left"/>
      <w:lvlText w:val="%1."/>
      <w:numFmt w:val="decimal"/>
      <w:start w:val="7"/>
    </w:lvl>
  </w:abstractNum>
  <w:abstractNum w:abstractNumId="136">
    <w:nsid w:val="565976F1"/>
    <w:multiLevelType w:val="hybridMultilevel"/>
    <w:lvl w:ilvl="0">
      <w:lvlJc w:val="left"/>
      <w:lvlText w:val="(%1)"/>
      <w:numFmt w:val="lowerLetter"/>
      <w:start w:val="1"/>
    </w:lvl>
  </w:abstractNum>
  <w:abstractNum w:abstractNumId="137">
    <w:nsid w:val="64212B8C"/>
    <w:multiLevelType w:val="hybridMultilevel"/>
    <w:lvl w:ilvl="0">
      <w:lvlJc w:val="left"/>
      <w:lvlText w:val="(%1)"/>
      <w:numFmt w:val="lowerLetter"/>
      <w:start w:val="1"/>
    </w:lvl>
  </w:abstractNum>
  <w:abstractNum w:abstractNumId="138">
    <w:nsid w:val="5C17530C"/>
    <w:multiLevelType w:val="hybridMultilevel"/>
    <w:lvl w:ilvl="0">
      <w:lvlJc w:val="left"/>
      <w:lvlText w:val="(%1)"/>
      <w:numFmt w:val="lowerLetter"/>
      <w:start w:val="1"/>
    </w:lvl>
  </w:abstractNum>
  <w:abstractNum w:abstractNumId="139">
    <w:nsid w:val="19A52566"/>
    <w:multiLevelType w:val="hybridMultilevel"/>
    <w:lvl w:ilvl="0">
      <w:lvlJc w:val="left"/>
      <w:lvlText w:val="%1"/>
      <w:numFmt w:val="lowerRoman"/>
      <w:start w:val="1"/>
    </w:lvl>
    <w:lvl w:ilvl="1">
      <w:lvlJc w:val="left"/>
      <w:lvlText w:val="(%2)"/>
      <w:numFmt w:val="lowerLetter"/>
      <w:start w:val="2"/>
    </w:lvl>
  </w:abstractNum>
  <w:abstractNum w:abstractNumId="140">
    <w:nsid w:val="335A1DF1"/>
    <w:multiLevelType w:val="hybridMultilevel"/>
    <w:lvl w:ilvl="0">
      <w:lvlJc w:val="left"/>
      <w:lvlText w:val="(%1)"/>
      <w:numFmt w:val="lowerRoman"/>
      <w:start w:val="8"/>
    </w:lvl>
    <w:lvl w:ilvl="1">
      <w:lvlJc w:val="left"/>
      <w:lvlText w:val="(%2)"/>
      <w:numFmt w:val="lowerLetter"/>
      <w:start w:val="3"/>
    </w:lvl>
  </w:abstractNum>
  <w:abstractNum w:abstractNumId="141">
    <w:nsid w:val="28677B7C"/>
    <w:multiLevelType w:val="hybridMultilevel"/>
    <w:lvl w:ilvl="0">
      <w:lvlJc w:val="left"/>
      <w:lvlText w:val="(%1)"/>
      <w:numFmt w:val="lowerLetter"/>
      <w:start w:val="1"/>
    </w:lvl>
  </w:abstractNum>
  <w:abstractNum w:abstractNumId="142">
    <w:nsid w:val="378D97C0"/>
    <w:multiLevelType w:val="hybridMultilevel"/>
    <w:lvl w:ilvl="0">
      <w:lvlJc w:val="left"/>
      <w:lvlText w:val="(%1)"/>
      <w:numFmt w:val="lowerLetter"/>
      <w:start w:val="2"/>
    </w:lvl>
  </w:abstractNum>
  <w:abstractNum w:abstractNumId="143">
    <w:nsid w:val="1D91467C"/>
    <w:multiLevelType w:val="hybridMultilevel"/>
    <w:lvl w:ilvl="0">
      <w:lvlJc w:val="left"/>
      <w:lvlText w:val="%1."/>
      <w:numFmt w:val="decimal"/>
      <w:start w:val="8"/>
    </w:lvl>
  </w:abstractNum>
  <w:abstractNum w:abstractNumId="144">
    <w:nsid w:val="316032BB"/>
    <w:multiLevelType w:val="hybridMultilevel"/>
    <w:lvl w:ilvl="0">
      <w:lvlJc w:val="left"/>
      <w:lvlText w:val="(%1)"/>
      <w:numFmt w:val="lowerLetter"/>
      <w:start w:val="1"/>
    </w:lvl>
  </w:abstractNum>
  <w:abstractNum w:abstractNumId="145">
    <w:nsid w:val="44344C22"/>
    <w:multiLevelType w:val="hybridMultilevel"/>
    <w:lvl w:ilvl="0">
      <w:lvlJc w:val="left"/>
      <w:lvlText w:val="(%1)"/>
      <w:numFmt w:val="lowerLetter"/>
      <w:start w:val="2"/>
    </w:lvl>
  </w:abstractNum>
  <w:abstractNum w:abstractNumId="146">
    <w:nsid w:val="13CDFCFC"/>
    <w:multiLevelType w:val="hybridMultilevel"/>
    <w:lvl w:ilvl="0">
      <w:lvlJc w:val="left"/>
      <w:lvlText w:val="(%1)"/>
      <w:numFmt w:val="lowerLetter"/>
      <w:start w:val="1"/>
    </w:lvl>
  </w:abstractNum>
  <w:abstractNum w:abstractNumId="147">
    <w:nsid w:val="471745E4"/>
    <w:multiLevelType w:val="hybridMultilevel"/>
    <w:lvl w:ilvl="0">
      <w:lvlJc w:val="left"/>
      <w:lvlText w:val="(%1)"/>
      <w:numFmt w:val="lowerRoman"/>
      <w:start w:val="1"/>
    </w:lvl>
  </w:abstractNum>
  <w:abstractNum w:abstractNumId="148">
    <w:nsid w:val="1DDBC66"/>
    <w:multiLevelType w:val="hybridMultilevel"/>
    <w:lvl w:ilvl="0">
      <w:lvlJc w:val="left"/>
      <w:lvlText w:val="(%1)"/>
      <w:numFmt w:val="lowerRoman"/>
      <w:start w:val="4"/>
    </w:lvl>
  </w:abstractNum>
  <w:abstractNum w:abstractNumId="149">
    <w:nsid w:val="30AADFDA"/>
    <w:multiLevelType w:val="hybridMultilevel"/>
    <w:lvl w:ilvl="0">
      <w:lvlJc w:val="left"/>
      <w:lvlText w:val="(%1)"/>
      <w:numFmt w:val="lowerLetter"/>
      <w:start w:val="3"/>
    </w:lvl>
  </w:abstractNum>
  <w:abstractNum w:abstractNumId="150">
    <w:nsid w:val="30EADA61"/>
    <w:multiLevelType w:val="hybridMultilevel"/>
    <w:lvl w:ilvl="0">
      <w:lvlJc w:val="left"/>
      <w:lvlText w:val="%1."/>
      <w:numFmt w:val="decimal"/>
      <w:start w:val="9"/>
    </w:lvl>
  </w:abstractNum>
  <w:abstractNum w:abstractNumId="151">
    <w:nsid w:val="27179C0B"/>
    <w:multiLevelType w:val="hybridMultilevel"/>
    <w:lvl w:ilvl="0">
      <w:lvlJc w:val="left"/>
      <w:lvlText w:val="(%1)"/>
      <w:numFmt w:val="lowerLetter"/>
      <w:start w:val="2"/>
    </w:lvl>
  </w:abstractNum>
  <w:abstractNum w:abstractNumId="152">
    <w:nsid w:val="5E636063"/>
    <w:multiLevelType w:val="hybridMultilevel"/>
    <w:lvl w:ilvl="0">
      <w:lvlJc w:val="left"/>
      <w:lvlText w:val="(%1)"/>
      <w:numFmt w:val="lowerLetter"/>
      <w:start w:val="2"/>
    </w:lvl>
  </w:abstractNum>
  <w:abstractNum w:abstractNumId="153">
    <w:nsid w:val="215641AF"/>
    <w:multiLevelType w:val="hybridMultilevel"/>
    <w:lvl w:ilvl="0">
      <w:lvlJc w:val="left"/>
      <w:lvlText w:val="(%1)"/>
      <w:numFmt w:val="lowerLetter"/>
      <w:start w:val="3"/>
    </w:lvl>
  </w:abstractNum>
  <w:abstractNum w:abstractNumId="154">
    <w:nsid w:val="53280662"/>
    <w:multiLevelType w:val="hybridMultilevel"/>
    <w:lvl w:ilvl="0">
      <w:lvlJc w:val="left"/>
      <w:lvlText w:val="(%1)"/>
      <w:numFmt w:val="lowerLetter"/>
      <w:start w:val="4"/>
    </w:lvl>
  </w:abstractNum>
  <w:abstractNum w:abstractNumId="155">
    <w:nsid w:val="46B24DBC"/>
    <w:multiLevelType w:val="hybridMultilevel"/>
    <w:lvl w:ilvl="0">
      <w:lvlJc w:val="left"/>
      <w:lvlText w:val="(%1)"/>
      <w:numFmt w:val="lowerLetter"/>
      <w:start w:val="1"/>
    </w:lvl>
  </w:abstractNum>
  <w:abstractNum w:abstractNumId="156">
    <w:nsid w:val="75B52783"/>
    <w:multiLevelType w:val="hybridMultilevel"/>
    <w:lvl w:ilvl="0">
      <w:lvlJc w:val="left"/>
      <w:lvlText w:val="(%1)"/>
      <w:numFmt w:val="lowerRoman"/>
      <w:start w:val="1"/>
    </w:lvl>
  </w:abstractNum>
  <w:abstractNum w:abstractNumId="157">
    <w:nsid w:val="57CE66B4"/>
    <w:multiLevelType w:val="hybridMultilevel"/>
    <w:lvl w:ilvl="0">
      <w:lvlJc w:val="left"/>
      <w:lvlText w:val="(%1)"/>
      <w:numFmt w:val="lowerRoman"/>
      <w:start w:val="4"/>
    </w:lvl>
  </w:abstractNum>
  <w:abstractNum w:abstractNumId="158">
    <w:nsid w:val="67A70B69"/>
    <w:multiLevelType w:val="hybridMultilevel"/>
    <w:lvl w:ilvl="0">
      <w:lvlJc w:val="left"/>
      <w:lvlText w:val="(%1)"/>
      <w:numFmt w:val="lowerLetter"/>
      <w:start w:val="2"/>
    </w:lvl>
  </w:abstractNum>
  <w:abstractNum w:abstractNumId="159">
    <w:nsid w:val="5953172F"/>
    <w:multiLevelType w:val="hybridMultilevel"/>
    <w:lvl w:ilvl="0">
      <w:lvlJc w:val="left"/>
      <w:lvlText w:val="(%1)"/>
      <w:numFmt w:val="lowerLetter"/>
      <w:start w:val="1"/>
    </w:lvl>
  </w:abstractNum>
  <w:abstractNum w:abstractNumId="160">
    <w:nsid w:val="27EDFE3A"/>
    <w:multiLevelType w:val="hybridMultilevel"/>
    <w:lvl w:ilvl="0">
      <w:lvlJc w:val="left"/>
      <w:lvlText w:val="(%1)"/>
      <w:numFmt w:val="lowerLetter"/>
      <w:start w:val="2"/>
    </w:lvl>
  </w:abstractNum>
  <w:abstractNum w:abstractNumId="161">
    <w:nsid w:val="52AC7DFF"/>
    <w:multiLevelType w:val="hybridMultilevel"/>
    <w:lvl w:ilvl="0">
      <w:lvlJc w:val="left"/>
      <w:lvlText w:val="(%1)"/>
      <w:numFmt w:val="lowerLetter"/>
      <w:start w:val="1"/>
    </w:lvl>
  </w:abstractNum>
  <w:abstractNum w:abstractNumId="162">
    <w:nsid w:val="C4C3AF"/>
    <w:multiLevelType w:val="hybridMultilevel"/>
    <w:lvl w:ilvl="0">
      <w:lvlJc w:val="left"/>
      <w:lvlText w:val="(%1)"/>
      <w:numFmt w:val="lowerRoman"/>
      <w:start w:val="4"/>
    </w:lvl>
  </w:abstractNum>
  <w:abstractNum w:abstractNumId="163">
    <w:nsid w:val="44380727"/>
    <w:multiLevelType w:val="hybridMultilevel"/>
    <w:lvl w:ilvl="0">
      <w:lvlJc w:val="left"/>
      <w:lvlText w:val="(%1)"/>
      <w:numFmt w:val="lowerLetter"/>
      <w:start w:val="1"/>
    </w:lvl>
    <w:lvl w:ilvl="1">
      <w:lvlJc w:val="left"/>
      <w:lvlText w:val="(%2)"/>
      <w:numFmt w:val="lowerRoman"/>
      <w:start w:val="1"/>
    </w:lvl>
  </w:abstractNum>
  <w:abstractNum w:abstractNumId="164">
    <w:nsid w:val="6C053B16"/>
    <w:multiLevelType w:val="hybridMultilevel"/>
    <w:lvl w:ilvl="0">
      <w:lvlJc w:val="left"/>
      <w:lvlText w:val="(%1)"/>
      <w:numFmt w:val="lowerLetter"/>
      <w:start w:val="1"/>
    </w:lvl>
  </w:abstractNum>
  <w:abstractNum w:abstractNumId="165">
    <w:nsid w:val="4F294393"/>
    <w:multiLevelType w:val="hybridMultilevel"/>
    <w:lvl w:ilvl="0">
      <w:lvlJc w:val="left"/>
      <w:lvlText w:val="(%1)"/>
      <w:numFmt w:val="lowerLetter"/>
      <w:start w:val="1"/>
    </w:lvl>
  </w:abstractNum>
  <w:abstractNum w:abstractNumId="166">
    <w:nsid w:val="5243BFAC"/>
    <w:multiLevelType w:val="hybridMultilevel"/>
    <w:lvl w:ilvl="0">
      <w:lvlJc w:val="left"/>
      <w:lvlText w:val="(%1)"/>
      <w:numFmt w:val="lowerLetter"/>
      <w:start w:val="1"/>
    </w:lvl>
  </w:abstractNum>
  <w:abstractNum w:abstractNumId="167">
    <w:nsid w:val="425EB207"/>
    <w:multiLevelType w:val="hybridMultilevel"/>
    <w:lvl w:ilvl="0">
      <w:lvlJc w:val="left"/>
      <w:lvlText w:val="(%1)"/>
      <w:numFmt w:val="lowerLetter"/>
      <w:start w:val="3"/>
    </w:lvl>
  </w:abstractNum>
  <w:abstractNum w:abstractNumId="168">
    <w:nsid w:val="334A6F1F"/>
    <w:multiLevelType w:val="hybridMultilevel"/>
    <w:lvl w:ilvl="0">
      <w:lvlJc w:val="left"/>
      <w:lvlText w:val="(%1)"/>
      <w:numFmt w:val="lowerLetter"/>
      <w:start w:val="10"/>
    </w:lvl>
  </w:abstractNum>
  <w:abstractNum w:abstractNumId="169">
    <w:nsid w:val="2E5B12B8"/>
    <w:multiLevelType w:val="hybridMultilevel"/>
    <w:lvl w:ilvl="0">
      <w:lvlJc w:val="left"/>
      <w:lvlText w:val="(%1)"/>
      <w:numFmt w:val="lowerLetter"/>
      <w:start w:val="1"/>
    </w:lvl>
  </w:abstractNum>
  <w:abstractNum w:abstractNumId="170">
    <w:nsid w:val="5C03D76D"/>
    <w:multiLevelType w:val="hybridMultilevel"/>
    <w:lvl w:ilvl="0">
      <w:lvlJc w:val="left"/>
      <w:lvlText w:val="(%1)"/>
      <w:numFmt w:val="lowerLetter"/>
      <w:start w:val="1"/>
    </w:lvl>
  </w:abstractNum>
  <w:abstractNum w:abstractNumId="171">
    <w:nsid w:val="66A48D11"/>
    <w:multiLevelType w:val="hybridMultilevel"/>
    <w:lvl w:ilvl="0">
      <w:lvlJc w:val="left"/>
      <w:lvlText w:val="(%1)"/>
      <w:numFmt w:val="lowerLetter"/>
      <w:start w:val="3"/>
    </w:lvl>
  </w:abstractNum>
  <w:abstractNum w:abstractNumId="172">
    <w:nsid w:val="56C28E34"/>
    <w:multiLevelType w:val="hybridMultilevel"/>
    <w:lvl w:ilvl="0">
      <w:lvlJc w:val="left"/>
      <w:lvlText w:val="(%1)"/>
      <w:numFmt w:val="lowerLetter"/>
      <w:start w:val="1"/>
    </w:lvl>
  </w:abstractNum>
  <w:abstractNum w:abstractNumId="173">
    <w:nsid w:val="13916F2D"/>
    <w:multiLevelType w:val="hybridMultilevel"/>
    <w:lvl w:ilvl="0">
      <w:lvlJc w:val="left"/>
      <w:lvlText w:val="(%1)"/>
      <w:numFmt w:val="lowerLetter"/>
      <w:start w:val="2"/>
    </w:lvl>
    <w:lvl w:ilvl="1">
      <w:lvlJc w:val="left"/>
      <w:lvlText w:val="(%2)"/>
      <w:numFmt w:val="lowerRoman"/>
      <w:start w:val="1"/>
    </w:lvl>
  </w:abstractNum>
  <w:abstractNum w:abstractNumId="174">
    <w:nsid w:val="435D38D"/>
    <w:multiLevelType w:val="hybridMultilevel"/>
    <w:lvl w:ilvl="0">
      <w:lvlJc w:val="left"/>
      <w:lvlText w:val="(%1)"/>
      <w:numFmt w:val="lowerLetter"/>
      <w:start w:val="5"/>
    </w:lvl>
  </w:abstractNum>
  <w:abstractNum w:abstractNumId="175">
    <w:nsid w:val="822C0EF"/>
    <w:multiLevelType w:val="hybridMultilevel"/>
    <w:lvl w:ilvl="0">
      <w:lvlJc w:val="left"/>
      <w:lvlText w:val="(%1)"/>
      <w:numFmt w:val="lowerLetter"/>
      <w:start w:val="1"/>
    </w:lvl>
  </w:abstractNum>
  <w:abstractNum w:abstractNumId="176">
    <w:nsid w:val="57C5BB4F"/>
    <w:multiLevelType w:val="hybridMultilevel"/>
    <w:lvl w:ilvl="0">
      <w:lvlJc w:val="left"/>
      <w:lvlText w:val="(%1)"/>
      <w:numFmt w:val="lowerLetter"/>
      <w:start w:val="1"/>
    </w:lvl>
  </w:abstractNum>
  <w:abstractNum w:abstractNumId="177">
    <w:nsid w:val="1803D089"/>
    <w:multiLevelType w:val="hybridMultilevel"/>
    <w:lvl w:ilvl="0">
      <w:lvlJc w:val="left"/>
      <w:lvlText w:val="(%1)"/>
      <w:numFmt w:val="lowerLetter"/>
      <w:start w:val="4"/>
    </w:lvl>
    <w:lvl w:ilvl="1">
      <w:lvlJc w:val="left"/>
      <w:lvlText w:val="\ldblquote"/>
      <w:numFmt w:val="bullet"/>
      <w:start w:val="1"/>
    </w:lvl>
  </w:abstractNum>
  <w:abstractNum w:abstractNumId="178">
    <w:nsid w:val="4F3A06D4"/>
    <w:multiLevelType w:val="hybridMultilevel"/>
    <w:lvl w:ilvl="0">
      <w:lvlJc w:val="left"/>
      <w:lvlText w:val="(%1)"/>
      <w:numFmt w:val="lowerLetter"/>
      <w:start w:val="1"/>
    </w:lvl>
  </w:abstractNum>
  <w:abstractNum w:abstractNumId="179">
    <w:nsid w:val="59A377B6"/>
    <w:multiLevelType w:val="hybridMultilevel"/>
    <w:lvl w:ilvl="0">
      <w:lvlJc w:val="left"/>
      <w:lvlText w:val="(%1)"/>
      <w:numFmt w:val="lowerRoman"/>
      <w:start w:val="6"/>
    </w:lvl>
    <w:lvl w:ilvl="1">
      <w:lvlJc w:val="left"/>
      <w:lvlText w:val="(%2)"/>
      <w:numFmt w:val="lowerLetter"/>
      <w:start w:val="2"/>
    </w:lvl>
  </w:abstractNum>
  <w:abstractNum w:abstractNumId="180">
    <w:nsid w:val="48AEB063"/>
    <w:multiLevelType w:val="hybridMultilevel"/>
    <w:lvl w:ilvl="0">
      <w:lvlJc w:val="left"/>
      <w:lvlText w:val="\ldblquote"/>
      <w:numFmt w:val="bullet"/>
      <w:start w:val="1"/>
    </w:lvl>
  </w:abstractNum>
  <w:abstractNum w:abstractNumId="181">
    <w:nsid w:val="24E135"/>
    <w:multiLevelType w:val="hybridMultilevel"/>
    <w:lvl w:ilvl="0">
      <w:lvlJc w:val="left"/>
      <w:lvlText w:val="\ldblquote"/>
      <w:numFmt w:val="bullet"/>
      <w:start w:val="1"/>
    </w:lvl>
  </w:abstractNum>
  <w:abstractNum w:abstractNumId="182">
    <w:nsid w:val="BB13C1"/>
    <w:multiLevelType w:val="hybridMultilevel"/>
    <w:lvl w:ilvl="0">
      <w:lvlJc w:val="left"/>
      <w:lvlText w:val="\ldblquote"/>
      <w:numFmt w:val="bullet"/>
      <w:start w:val="1"/>
    </w:lvl>
  </w:abstractNum>
  <w:abstractNum w:abstractNumId="183">
    <w:nsid w:val="271210C7"/>
    <w:multiLevelType w:val="hybridMultilevel"/>
    <w:lvl w:ilvl="0">
      <w:lvlJc w:val="left"/>
      <w:lvlText w:val="\ldblquote"/>
      <w:numFmt w:val="bullet"/>
      <w:start w:val="1"/>
    </w:lvl>
  </w:abstractNum>
  <w:abstractNum w:abstractNumId="184">
    <w:nsid w:val="217B22E4"/>
    <w:multiLevelType w:val="hybridMultilevel"/>
    <w:lvl w:ilvl="0">
      <w:lvlJc w:val="left"/>
      <w:lvlText w:val="(%1)"/>
      <w:numFmt w:val="lowerRoman"/>
      <w:start w:val="1"/>
    </w:lvl>
  </w:abstractNum>
  <w:abstractNum w:abstractNumId="185">
    <w:nsid w:val="53E31A24"/>
    <w:multiLevelType w:val="hybridMultilevel"/>
    <w:lvl w:ilvl="0">
      <w:lvlJc w:val="left"/>
      <w:lvlText w:val="\ldblquote"/>
      <w:numFmt w:val="bullet"/>
      <w:start w:val="1"/>
    </w:lvl>
  </w:abstractNum>
  <w:abstractNum w:abstractNumId="186">
    <w:nsid w:val="6DC45E83"/>
    <w:multiLevelType w:val="hybridMultilevel"/>
    <w:lvl w:ilvl="0">
      <w:lvlJc w:val="left"/>
      <w:lvlText w:val="(%1)"/>
      <w:numFmt w:val="lowerLetter"/>
      <w:start w:val="1"/>
    </w:lvl>
  </w:abstractNum>
  <w:abstractNum w:abstractNumId="187">
    <w:nsid w:val="17304A67"/>
    <w:multiLevelType w:val="hybridMultilevel"/>
    <w:lvl w:ilvl="0">
      <w:lvlJc w:val="left"/>
      <w:lvlText w:val="(%1)"/>
      <w:numFmt w:val="lowerLetter"/>
      <w:start w:val="3"/>
    </w:lvl>
    <w:lvl w:ilvl="1">
      <w:lvlJc w:val="left"/>
      <w:lvlText w:val="\ldblquote"/>
      <w:numFmt w:val="bullet"/>
      <w:start w:val="1"/>
    </w:lvl>
  </w:abstractNum>
  <w:abstractNum w:abstractNumId="188">
    <w:nsid w:val="2BB180D8"/>
    <w:multiLevelType w:val="hybridMultilevel"/>
    <w:lvl w:ilvl="0">
      <w:lvlJc w:val="left"/>
      <w:lvlText w:val="(%1)"/>
      <w:numFmt w:val="lowerLetter"/>
      <w:start w:val="2"/>
    </w:lvl>
  </w:abstractNum>
  <w:abstractNum w:abstractNumId="189">
    <w:nsid w:val="556B69ED"/>
    <w:multiLevelType w:val="hybridMultilevel"/>
    <w:lvl w:ilvl="0">
      <w:lvlJc w:val="left"/>
      <w:lvlText w:val="\ldblquote"/>
      <w:numFmt w:val="bullet"/>
      <w:start w:val="1"/>
    </w:lvl>
  </w:abstractNum>
  <w:abstractNum w:abstractNumId="190">
    <w:nsid w:val="70836196"/>
    <w:multiLevelType w:val="hybridMultilevel"/>
    <w:lvl w:ilvl="0">
      <w:lvlJc w:val="left"/>
      <w:lvlText w:val="(%1)"/>
      <w:numFmt w:val="lowerLetter"/>
      <w:start w:val="1"/>
    </w:lvl>
    <w:lvl w:ilvl="1">
      <w:lvlJc w:val="left"/>
      <w:lvlText w:val="\ldblquote"/>
      <w:numFmt w:val="bullet"/>
      <w:start w:val="1"/>
    </w:lvl>
  </w:abstractNum>
  <w:abstractNum w:abstractNumId="191">
    <w:nsid w:val="539F7F12"/>
    <w:multiLevelType w:val="hybridMultilevel"/>
    <w:lvl w:ilvl="0">
      <w:lvlJc w:val="left"/>
      <w:lvlText w:val="(%1)"/>
      <w:numFmt w:val="lowerLetter"/>
      <w:start w:val="1"/>
    </w:lvl>
  </w:abstractNum>
  <w:abstractNum w:abstractNumId="192">
    <w:nsid w:val="2817E7EC"/>
    <w:multiLevelType w:val="hybridMultilevel"/>
    <w:lvl w:ilvl="0">
      <w:lvlJc w:val="left"/>
      <w:lvlText w:val="(%1)"/>
      <w:numFmt w:val="lowerLetter"/>
      <w:start w:val="3"/>
    </w:lvl>
  </w:abstractNum>
  <w:abstractNum w:abstractNumId="193">
    <w:nsid w:val="71482545"/>
    <w:multiLevelType w:val="hybridMultilevel"/>
    <w:lvl w:ilvl="0">
      <w:lvlJc w:val="left"/>
      <w:lvlText w:val="\ldblquote"/>
      <w:numFmt w:val="bullet"/>
      <w:start w:val="1"/>
    </w:lvl>
  </w:abstractNum>
  <w:abstractNum w:abstractNumId="194">
    <w:nsid w:val="17D78639"/>
    <w:multiLevelType w:val="hybridMultilevel"/>
    <w:lvl w:ilvl="0">
      <w:lvlJc w:val="left"/>
      <w:lvlText w:val="\ldblquote"/>
      <w:numFmt w:val="bullet"/>
      <w:start w:val="1"/>
    </w:lvl>
  </w:abstractNum>
  <w:abstractNum w:abstractNumId="195">
    <w:nsid w:val="141D2302"/>
    <w:multiLevelType w:val="hybridMultilevel"/>
    <w:lvl w:ilvl="0">
      <w:lvlJc w:val="left"/>
      <w:lvlText w:val="\ldblquote"/>
      <w:numFmt w:val="bullet"/>
      <w:start w:val="1"/>
    </w:lvl>
  </w:abstractNum>
  <w:abstractNum w:abstractNumId="196">
    <w:nsid w:val="407168D8"/>
    <w:multiLevelType w:val="hybridMultilevel"/>
    <w:lvl w:ilvl="0">
      <w:lvlJc w:val="left"/>
      <w:lvlText w:val="\ldblquote"/>
      <w:numFmt w:val="bullet"/>
      <w:start w:val="1"/>
    </w:lvl>
  </w:abstractNum>
  <w:abstractNum w:abstractNumId="197">
    <w:nsid w:val="6A1B45E5"/>
    <w:multiLevelType w:val="hybridMultilevel"/>
    <w:lvl w:ilvl="0">
      <w:lvlJc w:val="left"/>
      <w:lvlText w:val="\ldblquote"/>
      <w:numFmt w:val="bullet"/>
      <w:start w:val="1"/>
    </w:lvl>
  </w:abstractNum>
  <w:abstractNum w:abstractNumId="198">
    <w:nsid w:val="567BD50A"/>
    <w:multiLevelType w:val="hybridMultilevel"/>
    <w:lvl w:ilvl="0">
      <w:lvlJc w:val="left"/>
      <w:lvlText w:val="\ldblquote"/>
      <w:numFmt w:val="bullet"/>
      <w:start w:val="1"/>
    </w:lvl>
  </w:abstractNum>
  <w:abstractNum w:abstractNumId="199">
    <w:nsid w:val="73BBD7F8"/>
    <w:multiLevelType w:val="hybridMultilevel"/>
    <w:lvl w:ilvl="0">
      <w:lvlJc w:val="left"/>
      <w:lvlText w:val="\ldblquote"/>
      <w:numFmt w:val="bullet"/>
      <w:start w:val="1"/>
    </w:lvl>
  </w:abstractNum>
  <w:abstractNum w:abstractNumId="200">
    <w:nsid w:val="1876589D"/>
    <w:multiLevelType w:val="hybridMultilevel"/>
    <w:lvl w:ilvl="0">
      <w:lvlJc w:val="left"/>
      <w:lvlText w:val="\ldblquote"/>
      <w:numFmt w:val="bullet"/>
      <w:start w:val="1"/>
    </w:lvl>
  </w:abstractNum>
  <w:abstractNum w:abstractNumId="201">
    <w:nsid w:val="327FAC77"/>
    <w:multiLevelType w:val="hybridMultilevel"/>
    <w:lvl w:ilvl="0">
      <w:lvlJc w:val="left"/>
      <w:lvlText w:val="%1"/>
      <w:numFmt w:val="lowerLetter"/>
      <w:start w:val="1"/>
    </w:lvl>
    <w:lvl w:ilvl="1">
      <w:lvlJc w:val="left"/>
      <w:lvlText w:val="(%2)"/>
      <w:numFmt w:val="lowerLetter"/>
      <w:start w:val="1"/>
    </w:lvl>
  </w:abstractNum>
  <w:abstractNum w:abstractNumId="202">
    <w:nsid w:val="5A606509"/>
    <w:multiLevelType w:val="hybridMultilevel"/>
    <w:lvl w:ilvl="0">
      <w:lvlJc w:val="left"/>
      <w:lvlText w:val="(%1)"/>
      <w:numFmt w:val="lowerLetter"/>
      <w:start w:val="1"/>
    </w:lvl>
    <w:lvl w:ilvl="1">
      <w:lvlJc w:val="left"/>
      <w:lvlText w:val="(%2)"/>
      <w:numFmt w:val="lowerLetter"/>
      <w:start w:val="6"/>
    </w:lvl>
  </w:abstractNum>
  <w:abstractNum w:abstractNumId="203">
    <w:nsid w:val="6F38E6D1"/>
    <w:multiLevelType w:val="hybridMultilevel"/>
    <w:lvl w:ilvl="0">
      <w:lvlJc w:val="left"/>
      <w:lvlText w:val="(%1)"/>
      <w:numFmt w:val="lowerLetter"/>
      <w:start w:val="7"/>
    </w:lvl>
  </w:abstractNum>
  <w:abstractNum w:abstractNumId="204">
    <w:nsid w:val="46111BA5"/>
    <w:multiLevelType w:val="hybridMultilevel"/>
    <w:lvl w:ilvl="0">
      <w:lvlJc w:val="left"/>
      <w:lvlText w:val="\ldblquote"/>
      <w:numFmt w:val="bullet"/>
      <w:start w:val="1"/>
    </w:lvl>
  </w:abstractNum>
  <w:abstractNum w:abstractNumId="205">
    <w:nsid w:val="5E963896"/>
    <w:multiLevelType w:val="hybridMultilevel"/>
    <w:lvl w:ilvl="0">
      <w:lvlJc w:val="left"/>
      <w:lvlText w:val="\ldblquote"/>
      <w:numFmt w:val="bullet"/>
      <w:start w:val="1"/>
    </w:lvl>
  </w:abstractNum>
  <w:abstractNum w:abstractNumId="206">
    <w:nsid w:val="775BA7C1"/>
    <w:multiLevelType w:val="hybridMultilevel"/>
    <w:lvl w:ilvl="0">
      <w:lvlJc w:val="left"/>
      <w:lvlText w:val="\ldblquote"/>
      <w:numFmt w:val="bullet"/>
      <w:start w:val="1"/>
    </w:lvl>
  </w:abstractNum>
  <w:abstractNum w:abstractNumId="207">
    <w:nsid w:val="1DD6D6F4"/>
    <w:multiLevelType w:val="hybridMultilevel"/>
    <w:lvl w:ilvl="0">
      <w:lvlJc w:val="left"/>
      <w:lvlText w:val="\ldblquote"/>
      <w:numFmt w:val="bullet"/>
      <w:start w:val="1"/>
    </w:lvl>
  </w:abstractNum>
  <w:abstractNum w:abstractNumId="208">
    <w:nsid w:val="769A091F"/>
    <w:multiLevelType w:val="hybridMultilevel"/>
    <w:lvl w:ilvl="0">
      <w:lvlJc w:val="left"/>
      <w:lvlText w:val="\ldblquote"/>
      <w:numFmt w:val="bullet"/>
      <w:start w:val="1"/>
    </w:lvl>
  </w:abstractNum>
  <w:abstractNum w:abstractNumId="209">
    <w:nsid w:val="4695AE95"/>
    <w:multiLevelType w:val="hybridMultilevel"/>
    <w:lvl w:ilvl="0">
      <w:lvlJc w:val="left"/>
      <w:lvlText w:val="\ldblquote"/>
      <w:numFmt w:val="bullet"/>
      <w:start w:val="1"/>
    </w:lvl>
  </w:abstractNum>
  <w:abstractNum w:abstractNumId="210">
    <w:nsid w:val="777A4EAA"/>
    <w:multiLevelType w:val="hybridMultilevel"/>
    <w:lvl w:ilvl="0">
      <w:lvlJc w:val="left"/>
      <w:lvlText w:val="\ldblquote"/>
      <w:numFmt w:val="bullet"/>
      <w:start w:val="1"/>
    </w:lvl>
  </w:abstractNum>
  <w:abstractNum w:abstractNumId="211">
    <w:nsid w:val="3F48B982"/>
    <w:multiLevelType w:val="hybridMultilevel"/>
    <w:lvl w:ilvl="0">
      <w:lvlJc w:val="left"/>
      <w:lvlText w:val="(%1)"/>
      <w:numFmt w:val="lowerRoman"/>
      <w:start w:val="3"/>
    </w:lvl>
    <w:lvl w:ilvl="1">
      <w:lvlJc w:val="left"/>
      <w:lvlText w:val="\ldblquote"/>
      <w:numFmt w:val="bullet"/>
      <w:start w:val="1"/>
    </w:lvl>
  </w:abstractNum>
  <w:abstractNum w:abstractNumId="212">
    <w:nsid w:val="46BA8FCA"/>
    <w:multiLevelType w:val="hybridMultilevel"/>
    <w:lvl w:ilvl="0">
      <w:lvlJc w:val="left"/>
      <w:lvlText w:val="(%1)"/>
      <w:numFmt w:val="lowerLetter"/>
      <w:start w:val="1"/>
    </w:lvl>
    <w:lvl w:ilvl="1">
      <w:lvlJc w:val="left"/>
      <w:lvlText w:val="\ldblquote"/>
      <w:numFmt w:val="bullet"/>
      <w:start w:val="1"/>
    </w:lvl>
  </w:abstractNum>
  <w:abstractNum w:abstractNumId="213">
    <w:nsid w:val="7835626C"/>
    <w:multiLevelType w:val="hybridMultilevel"/>
    <w:lvl w:ilvl="0">
      <w:lvlJc w:val="left"/>
      <w:lvlText w:val="(%1)"/>
      <w:numFmt w:val="lowerRoman"/>
      <w:start w:val="2"/>
    </w:lvl>
    <w:lvl w:ilvl="1">
      <w:lvlJc w:val="left"/>
      <w:lvlText w:val="\ldblquote"/>
      <w:numFmt w:val="bullet"/>
      <w:start w:val="1"/>
    </w:lvl>
  </w:abstractNum>
  <w:abstractNum w:abstractNumId="214">
    <w:nsid w:val="665ACA49"/>
    <w:multiLevelType w:val="hybridMultilevel"/>
    <w:lvl w:ilvl="0">
      <w:lvlJc w:val="left"/>
      <w:lvlText w:val="\ldblquote"/>
      <w:numFmt w:val="bullet"/>
      <w:start w:val="1"/>
    </w:lvl>
  </w:abstractNum>
  <w:abstractNum w:abstractNumId="215">
    <w:nsid w:val="6835B2AE"/>
    <w:multiLevelType w:val="hybridMultilevel"/>
    <w:lvl w:ilvl="0">
      <w:lvlJc w:val="left"/>
      <w:lvlText w:val="\ldblquote"/>
      <w:numFmt w:val="bullet"/>
      <w:start w:val="1"/>
    </w:lvl>
  </w:abstractNum>
  <w:abstractNum w:abstractNumId="216">
    <w:nsid w:val="4C187C90"/>
    <w:multiLevelType w:val="hybridMultilevel"/>
    <w:lvl w:ilvl="0">
      <w:lvlJc w:val="left"/>
      <w:lvlText w:val="(%1)"/>
      <w:numFmt w:val="lowerLetter"/>
      <w:start w:val="6"/>
    </w:lvl>
  </w:abstractNum>
  <w:abstractNum w:abstractNumId="217">
    <w:nsid w:val="541F28CD"/>
    <w:multiLevelType w:val="hybridMultilevel"/>
    <w:lvl w:ilvl="0">
      <w:lvlJc w:val="left"/>
      <w:lvlText w:val="\ldblquote"/>
      <w:numFmt w:val="bullet"/>
      <w:start w:val="1"/>
    </w:lvl>
  </w:abstractNum>
  <w:abstractNum w:abstractNumId="218">
    <w:nsid w:val="7F65FD16"/>
    <w:multiLevelType w:val="hybridMultilevel"/>
    <w:lvl w:ilvl="0">
      <w:lvlJc w:val="left"/>
      <w:lvlText w:val="\ldblquote"/>
      <w:numFmt w:val="bullet"/>
      <w:start w:val="1"/>
    </w:lvl>
  </w:abstractNum>
  <w:abstractNum w:abstractNumId="219">
    <w:nsid w:val="77C9FD68"/>
    <w:multiLevelType w:val="hybridMultilevel"/>
    <w:lvl w:ilvl="0">
      <w:lvlJc w:val="left"/>
      <w:lvlText w:val="\ldblquote"/>
      <w:numFmt w:val="bullet"/>
      <w:start w:val="1"/>
    </w:lvl>
  </w:abstractNum>
  <w:abstractNum w:abstractNumId="220">
    <w:nsid w:val="298A92BA"/>
    <w:multiLevelType w:val="hybridMultilevel"/>
    <w:lvl w:ilvl="0">
      <w:lvlJc w:val="left"/>
      <w:lvlText w:val="\ldblquote"/>
      <w:numFmt w:val="bullet"/>
      <w:start w:val="1"/>
    </w:lvl>
  </w:abstractNum>
  <w:abstractNum w:abstractNumId="221">
    <w:nsid w:val="6FE95EAC"/>
    <w:multiLevelType w:val="hybridMultilevel"/>
    <w:lvl w:ilvl="0">
      <w:lvlJc w:val="left"/>
      <w:lvlText w:val="\ldblquote"/>
      <w:numFmt w:val="bullet"/>
      <w:start w:val="1"/>
    </w:lvl>
  </w:abstractNum>
  <w:abstractNum w:abstractNumId="222">
    <w:nsid w:val="4B697C7A"/>
    <w:multiLevelType w:val="hybridMultilevel"/>
    <w:lvl w:ilvl="0">
      <w:lvlJc w:val="left"/>
      <w:lvlText w:val="\ldblquote"/>
      <w:numFmt w:val="bullet"/>
      <w:start w:val="1"/>
    </w:lvl>
  </w:abstractNum>
  <w:abstractNum w:abstractNumId="223">
    <w:nsid w:val="51A27AA6"/>
    <w:multiLevelType w:val="hybridMultilevel"/>
    <w:lvl w:ilvl="0">
      <w:lvlJc w:val="left"/>
      <w:lvlText w:val="\ldblquote"/>
      <w:numFmt w:val="bullet"/>
      <w:start w:val="1"/>
    </w:lvl>
  </w:abstractNum>
  <w:abstractNum w:abstractNumId="224">
    <w:nsid w:val="613183F2"/>
    <w:multiLevelType w:val="hybridMultilevel"/>
    <w:lvl w:ilvl="0">
      <w:lvlJc w:val="left"/>
      <w:lvlText w:val="\ldblquote"/>
      <w:numFmt w:val="bullet"/>
      <w:start w:val="1"/>
    </w:lvl>
  </w:abstractNum>
  <w:abstractNum w:abstractNumId="225">
    <w:nsid w:val="634102B4"/>
    <w:multiLevelType w:val="hybridMultilevel"/>
    <w:lvl w:ilvl="0">
      <w:lvlJc w:val="left"/>
      <w:lvlText w:val="\ldblquote"/>
      <w:numFmt w:val="bullet"/>
      <w:start w:val="1"/>
    </w:lvl>
  </w:abstractNum>
  <w:abstractNum w:abstractNumId="226">
    <w:nsid w:val="65BF9DA8"/>
    <w:multiLevelType w:val="hybridMultilevel"/>
    <w:lvl w:ilvl="0">
      <w:lvlJc w:val="left"/>
      <w:lvlText w:val="\ldblquote"/>
      <w:numFmt w:val="bullet"/>
      <w:start w:val="1"/>
    </w:lvl>
  </w:abstractNum>
  <w:abstractNum w:abstractNumId="227">
    <w:nsid w:val="21A2ECCA"/>
    <w:multiLevelType w:val="hybridMultilevel"/>
    <w:lvl w:ilvl="0">
      <w:lvlJc w:val="left"/>
      <w:lvlText w:val="\ldblquote"/>
      <w:numFmt w:val="bullet"/>
      <w:start w:val="1"/>
    </w:lvl>
  </w:abstractNum>
  <w:abstractNum w:abstractNumId="228">
    <w:nsid w:val="4D5C4899"/>
    <w:multiLevelType w:val="hybridMultilevel"/>
    <w:lvl w:ilvl="0">
      <w:lvlJc w:val="left"/>
      <w:lvlText w:val="(%1)"/>
      <w:numFmt w:val="lowerLetter"/>
      <w:start w:val="1"/>
    </w:lvl>
    <w:lvl w:ilvl="1">
      <w:lvlJc w:val="left"/>
      <w:lvlText w:val="\ldblquote"/>
      <w:numFmt w:val="bullet"/>
      <w:start w:val="1"/>
    </w:lvl>
  </w:abstractNum>
  <w:abstractNum w:abstractNumId="229">
    <w:nsid w:val="3C3B72B2"/>
    <w:multiLevelType w:val="hybridMultilevel"/>
    <w:lvl w:ilvl="0">
      <w:lvlJc w:val="left"/>
      <w:lvlText w:val="\ldblquote"/>
      <w:numFmt w:val="bullet"/>
      <w:start w:val="1"/>
    </w:lvl>
  </w:abstractNum>
  <w:abstractNum w:abstractNumId="230">
    <w:nsid w:val="155EC4C2"/>
    <w:multiLevelType w:val="hybridMultilevel"/>
    <w:lvl w:ilvl="0">
      <w:lvlJc w:val="left"/>
      <w:lvlText w:val="(%1)"/>
      <w:numFmt w:val="lowerRoman"/>
      <w:start w:val="1"/>
    </w:lvl>
  </w:abstractNum>
  <w:abstractNum w:abstractNumId="231">
    <w:nsid w:val="65D2A137"/>
    <w:multiLevelType w:val="hybridMultilevel"/>
    <w:lvl w:ilvl="0">
      <w:lvlJc w:val="left"/>
      <w:lvlText w:val="\ldblquote"/>
      <w:numFmt w:val="bullet"/>
      <w:start w:val="1"/>
    </w:lvl>
  </w:abstractNum>
  <w:abstractNum w:abstractNumId="232">
    <w:nsid w:val="6EBB1F2A"/>
    <w:multiLevelType w:val="hybridMultilevel"/>
    <w:lvl w:ilvl="0">
      <w:lvlJc w:val="left"/>
      <w:lvlText w:val="\ldblquote"/>
      <w:numFmt w:val="bullet"/>
      <w:start w:val="1"/>
    </w:lvl>
  </w:abstractNum>
  <w:abstractNum w:abstractNumId="233">
    <w:nsid w:val="6FBF29CB"/>
    <w:multiLevelType w:val="hybridMultilevel"/>
    <w:lvl w:ilvl="0">
      <w:lvlJc w:val="left"/>
      <w:lvlText w:val="\ldblquote"/>
      <w:numFmt w:val="bullet"/>
      <w:start w:val="1"/>
    </w:lvl>
  </w:abstractNum>
  <w:abstractNum w:abstractNumId="234">
    <w:nsid w:val="550B8808"/>
    <w:multiLevelType w:val="hybridMultilevel"/>
    <w:lvl w:ilvl="0">
      <w:lvlJc w:val="left"/>
      <w:lvlText w:val="\ldblquote"/>
      <w:numFmt w:val="bullet"/>
      <w:start w:val="1"/>
    </w:lvl>
  </w:abstractNum>
  <w:abstractNum w:abstractNumId="235">
    <w:nsid w:val="34CC3ACF"/>
    <w:multiLevelType w:val="hybridMultilevel"/>
    <w:lvl w:ilvl="0">
      <w:lvlJc w:val="left"/>
      <w:lvlText w:val="\ldblquote"/>
      <w:numFmt w:val="bullet"/>
      <w:start w:val="1"/>
    </w:lvl>
  </w:abstractNum>
  <w:abstractNum w:abstractNumId="236">
    <w:nsid w:val="4E556261"/>
    <w:multiLevelType w:val="hybridMultilevel"/>
    <w:lvl w:ilvl="0">
      <w:lvlJc w:val="left"/>
      <w:lvlText w:val="(%1)"/>
      <w:numFmt w:val="lowerLetter"/>
      <w:start w:val="2"/>
    </w:lvl>
  </w:abstractNum>
  <w:abstractNum w:abstractNumId="237">
    <w:nsid w:val="4C672FC9"/>
    <w:multiLevelType w:val="hybridMultilevel"/>
    <w:lvl w:ilvl="0">
      <w:lvlJc w:val="left"/>
      <w:lvlText w:val="\ldblquote"/>
      <w:numFmt w:val="bullet"/>
      <w:start w:val="1"/>
    </w:lvl>
  </w:abstractNum>
  <w:abstractNum w:abstractNumId="238">
    <w:nsid w:val="52A311C3"/>
    <w:multiLevelType w:val="hybridMultilevel"/>
    <w:lvl w:ilvl="0">
      <w:lvlJc w:val="left"/>
      <w:lvlText w:val="\ldblquote"/>
      <w:numFmt w:val="bullet"/>
      <w:start w:val="1"/>
    </w:lvl>
  </w:abstractNum>
  <w:abstractNum w:abstractNumId="239">
    <w:nsid w:val="44EF6B80"/>
    <w:multiLevelType w:val="hybridMultilevel"/>
    <w:lvl w:ilvl="0">
      <w:lvlJc w:val="left"/>
      <w:lvlText w:val="\ldblquote"/>
      <w:numFmt w:val="bullet"/>
      <w:start w:val="1"/>
    </w:lvl>
  </w:abstractNum>
  <w:abstractNum w:abstractNumId="240">
    <w:nsid w:val="12FCDE5E"/>
    <w:multiLevelType w:val="hybridMultilevel"/>
    <w:lvl w:ilvl="0">
      <w:lvlJc w:val="left"/>
      <w:lvlText w:val="\ldblquote"/>
      <w:numFmt w:val="bullet"/>
      <w:start w:val="1"/>
    </w:lvl>
  </w:abstractNum>
  <w:abstractNum w:abstractNumId="241">
    <w:nsid w:val="4A1D606E"/>
    <w:multiLevelType w:val="hybridMultilevel"/>
    <w:lvl w:ilvl="0">
      <w:lvlJc w:val="left"/>
      <w:lvlText w:val="\ldblquote"/>
      <w:numFmt w:val="bullet"/>
      <w:start w:val="1"/>
    </w:lvl>
  </w:abstractNum>
  <w:abstractNum w:abstractNumId="242">
    <w:nsid w:val="4382503"/>
    <w:multiLevelType w:val="hybridMultilevel"/>
    <w:lvl w:ilvl="0">
      <w:lvlJc w:val="left"/>
      <w:lvlText w:val="\ldblquote"/>
      <w:numFmt w:val="bullet"/>
      <w:start w:val="1"/>
    </w:lvl>
  </w:abstractNum>
  <w:abstractNum w:abstractNumId="243">
    <w:nsid w:val="59B76E28"/>
    <w:multiLevelType w:val="hybridMultilevel"/>
    <w:lvl w:ilvl="0">
      <w:lvlJc w:val="left"/>
      <w:lvlText w:val="\ldblquote"/>
      <w:numFmt w:val="bullet"/>
      <w:start w:val="1"/>
    </w:lvl>
  </w:abstractNum>
  <w:abstractNum w:abstractNumId="244">
    <w:nsid w:val="4252C2DA"/>
    <w:multiLevelType w:val="hybridMultilevel"/>
    <w:lvl w:ilvl="0">
      <w:lvlJc w:val="left"/>
      <w:lvlText w:val="%1"/>
      <w:numFmt w:val="lowerLetter"/>
      <w:start w:val="1"/>
    </w:lvl>
    <w:lvl w:ilvl="1">
      <w:lvlJc w:val="left"/>
      <w:lvlText w:val="(%2)"/>
      <w:numFmt w:val="lowerLetter"/>
      <w:start w:val="1"/>
    </w:lvl>
  </w:abstractNum>
  <w:abstractNum w:abstractNumId="245">
    <w:nsid w:val="6A92EF4C"/>
    <w:multiLevelType w:val="hybridMultilevel"/>
    <w:lvl w:ilvl="0">
      <w:lvlJc w:val="left"/>
      <w:lvlText w:val="(%1)"/>
      <w:numFmt w:val="lowerLetter"/>
      <w:start w:val="11"/>
    </w:lvl>
    <w:lvl w:ilvl="1">
      <w:lvlJc w:val="left"/>
      <w:lvlText w:val="(%2)"/>
      <w:numFmt w:val="lowerLetter"/>
      <w:start w:val="5"/>
    </w:lvl>
  </w:abstractNum>
  <w:abstractNum w:abstractNumId="246">
    <w:nsid w:val="41ED20D7"/>
    <w:multiLevelType w:val="hybridMultilevel"/>
    <w:lvl w:ilvl="0">
      <w:lvlJc w:val="left"/>
      <w:lvlText w:val="(%1)"/>
      <w:numFmt w:val="lowerLetter"/>
      <w:start w:val="6"/>
    </w:lvl>
    <w:lvl w:ilvl="1">
      <w:lvlJc w:val="left"/>
      <w:lvlText w:val="\ldblquote"/>
      <w:numFmt w:val="bullet"/>
      <w:start w:val="1"/>
    </w:lvl>
  </w:abstractNum>
  <w:abstractNum w:abstractNumId="247">
    <w:nsid w:val="E6B3F6A"/>
    <w:multiLevelType w:val="hybridMultilevel"/>
    <w:lvl w:ilvl="0">
      <w:lvlJc w:val="left"/>
      <w:lvlText w:val="(%1)"/>
      <w:numFmt w:val="lowerLetter"/>
      <w:start w:val="1"/>
    </w:lvl>
  </w:abstractNum>
  <w:abstractNum w:abstractNumId="248">
    <w:nsid w:val="3EB21819"/>
    <w:multiLevelType w:val="hybridMultilevel"/>
    <w:lvl w:ilvl="0">
      <w:lvlJc w:val="left"/>
      <w:lvlText w:val="(%1)"/>
      <w:numFmt w:val="lowerLetter"/>
      <w:start w:val="7"/>
    </w:lvl>
  </w:abstractNum>
  <w:abstractNum w:abstractNumId="249">
    <w:nsid w:val="41531DED"/>
    <w:multiLevelType w:val="hybridMultilevel"/>
    <w:lvl w:ilvl="0">
      <w:lvlJc w:val="left"/>
      <w:lvlText w:val="(%1)"/>
      <w:numFmt w:val="lowerLetter"/>
      <w:start w:val="17"/>
    </w:lvl>
  </w:abstractNum>
  <w:abstractNum w:abstractNumId="250">
    <w:nsid w:val="6353CD2"/>
    <w:multiLevelType w:val="hybridMultilevel"/>
    <w:lvl w:ilvl="0">
      <w:lvlJc w:val="left"/>
      <w:lvlText w:val="(%1)"/>
      <w:numFmt w:val="lowerLetter"/>
      <w:start w:val="1"/>
    </w:lvl>
  </w:abstractNum>
  <w:abstractNum w:abstractNumId="251">
    <w:nsid w:val="683CAAD3"/>
    <w:multiLevelType w:val="hybridMultilevel"/>
    <w:lvl w:ilvl="0">
      <w:lvlJc w:val="left"/>
      <w:lvlText w:val="(%1)"/>
      <w:numFmt w:val="lowerLetter"/>
      <w:start w:val="8"/>
    </w:lvl>
  </w:abstractNum>
  <w:abstractNum w:abstractNumId="252">
    <w:nsid w:val="313C7C99"/>
    <w:multiLevelType w:val="hybridMultilevel"/>
    <w:lvl w:ilvl="0">
      <w:lvlJc w:val="left"/>
      <w:lvlText w:val="(%1)"/>
      <w:numFmt w:val="lowerLetter"/>
      <w:start w:val="17"/>
    </w:lvl>
  </w:abstractNum>
  <w:abstractNum w:abstractNumId="253">
    <w:nsid w:val="519EB94C"/>
    <w:multiLevelType w:val="hybridMultilevel"/>
    <w:lvl w:ilvl="0">
      <w:lvlJc w:val="left"/>
      <w:lvlText w:val="(%1)"/>
      <w:numFmt w:val="lowerLetter"/>
      <w:start w:val="1"/>
    </w:lvl>
  </w:abstractNum>
  <w:abstractNum w:abstractNumId="254">
    <w:nsid w:val="39DF2579"/>
    <w:multiLevelType w:val="hybridMultilevel"/>
    <w:lvl w:ilvl="0">
      <w:lvlJc w:val="left"/>
      <w:lvlText w:val="%1"/>
      <w:numFmt w:val="lowerLetter"/>
      <w:start w:val="1"/>
    </w:lvl>
    <w:lvl w:ilvl="1">
      <w:lvlJc w:val="left"/>
      <w:lvlText w:val="(%2)"/>
      <w:numFmt w:val="lowerLetter"/>
      <w:start w:val="8"/>
    </w:lvl>
  </w:abstractNum>
  <w:abstractNum w:abstractNumId="255">
    <w:nsid w:val="126E008B"/>
    <w:multiLevelType w:val="hybridMultilevel"/>
    <w:lvl w:ilvl="0">
      <w:lvlJc w:val="left"/>
      <w:lvlText w:val="(%1)"/>
      <w:numFmt w:val="lowerLetter"/>
      <w:start w:val="11"/>
    </w:lvl>
    <w:lvl w:ilvl="1">
      <w:lvlJc w:val="left"/>
      <w:lvlText w:val="(%2)"/>
      <w:numFmt w:val="lowerLetter"/>
      <w:start w:val="15"/>
    </w:lvl>
  </w:abstractNum>
  <w:abstractNum w:abstractNumId="256">
    <w:nsid w:val="34DFBC00"/>
    <w:multiLevelType w:val="hybridMultilevel"/>
    <w:lvl w:ilvl="0">
      <w:lvlJc w:val="left"/>
      <w:lvlText w:val="%1"/>
      <w:numFmt w:val="lowerLetter"/>
      <w:start w:val="1"/>
    </w:lvl>
    <w:lvl w:ilvl="1">
      <w:lvlJc w:val="left"/>
      <w:lvlText w:val="(%2)"/>
      <w:numFmt w:val="lowerLetter"/>
      <w:start w:val="16"/>
    </w:lvl>
  </w:abstractNum>
  <w:abstractNum w:abstractNumId="257">
    <w:nsid w:val="1F9EC322"/>
    <w:multiLevelType w:val="hybridMultilevel"/>
    <w:lvl w:ilvl="0">
      <w:lvlJc w:val="left"/>
      <w:lvlText w:val="(%1)"/>
      <w:numFmt w:val="lowerLetter"/>
      <w:start w:val="9"/>
    </w:lvl>
    <w:lvl w:ilvl="1">
      <w:lvlJc w:val="left"/>
      <w:lvlText w:val="(%2)"/>
      <w:numFmt w:val="lowerLetter"/>
      <w:start w:val="17"/>
    </w:lvl>
  </w:abstractNum>
  <w:abstractNum w:abstractNumId="258">
    <w:nsid w:val="3410ED56"/>
    <w:multiLevelType w:val="hybridMultilevel"/>
    <w:lvl w:ilvl="0">
      <w:lvlJc w:val="left"/>
      <w:lvlText w:val="(%1)"/>
      <w:numFmt w:val="lowerLetter"/>
      <w:start w:val="1"/>
    </w:lvl>
  </w:abstractNum>
  <w:abstractNum w:abstractNumId="259">
    <w:nsid w:val="23C049A"/>
    <w:multiLevelType w:val="hybridMultilevel"/>
    <w:lvl w:ilvl="0">
      <w:lvlJc w:val="left"/>
      <w:lvlText w:val="%1"/>
      <w:numFmt w:val="lowerLetter"/>
      <w:start w:val="1"/>
    </w:lvl>
    <w:lvl w:ilvl="1">
      <w:lvlJc w:val="left"/>
      <w:lvlText w:val="(%2)"/>
      <w:numFmt w:val="lowerLetter"/>
      <w:start w:val="5"/>
    </w:lvl>
  </w:abstractNum>
  <w:abstractNum w:abstractNumId="260">
    <w:nsid w:val="5BDA35D4"/>
    <w:multiLevelType w:val="hybridMultilevel"/>
    <w:lvl w:ilvl="0">
      <w:lvlJc w:val="left"/>
      <w:lvlText w:val="(%1)"/>
      <w:numFmt w:val="lowerLetter"/>
      <w:start w:val="7"/>
    </w:lvl>
    <w:lvl w:ilvl="1">
      <w:lvlJc w:val="left"/>
      <w:lvlText w:val="(%2)"/>
      <w:numFmt w:val="lowerLetter"/>
      <w:start w:val="10"/>
    </w:lvl>
  </w:abstractNum>
  <w:abstractNum w:abstractNumId="261">
    <w:nsid w:val="496FB218"/>
    <w:multiLevelType w:val="hybridMultilevel"/>
    <w:lvl w:ilvl="0">
      <w:lvlJc w:val="left"/>
      <w:lvlText w:val="(%1)"/>
      <w:numFmt w:val="lowerLetter"/>
      <w:start w:val="11"/>
    </w:lvl>
  </w:abstractNum>
  <w:abstractNum w:abstractNumId="262">
    <w:nsid w:val="680EA5D1"/>
    <w:multiLevelType w:val="hybridMultilevel"/>
    <w:lvl w:ilvl="0">
      <w:lvlJc w:val="left"/>
      <w:lvlText w:val="(%1)"/>
      <w:numFmt w:val="lowerLetter"/>
      <w:start w:val="1"/>
    </w:lvl>
  </w:abstractNum>
  <w:abstractNum w:abstractNumId="263">
    <w:nsid w:val="4A9554FE"/>
    <w:multiLevelType w:val="hybridMultilevel"/>
    <w:lvl w:ilvl="0">
      <w:lvlJc w:val="left"/>
      <w:lvlText w:val="(%1)"/>
      <w:numFmt w:val="lowerLetter"/>
      <w:start w:val="11"/>
    </w:lvl>
  </w:abstractNum>
  <w:abstractNum w:abstractNumId="264">
    <w:nsid w:val="392EDBE4"/>
    <w:multiLevelType w:val="hybridMultilevel"/>
    <w:lvl w:ilvl="0">
      <w:lvlJc w:val="left"/>
      <w:lvlText w:val="\ldblquote"/>
      <w:numFmt w:val="bullet"/>
      <w:start w:val="1"/>
    </w:lvl>
  </w:abstractNum>
  <w:abstractNum w:abstractNumId="265">
    <w:nsid w:val="3D1A2DD9"/>
    <w:multiLevelType w:val="hybridMultilevel"/>
    <w:lvl w:ilvl="0">
      <w:lvlJc w:val="left"/>
      <w:lvlText w:val="(%1)"/>
      <w:numFmt w:val="lowerLetter"/>
      <w:start w:val="8"/>
    </w:lvl>
  </w:abstractNum>
  <w:abstractNum w:abstractNumId="266">
    <w:nsid w:val="7F618FCD"/>
    <w:multiLevelType w:val="hybridMultilevel"/>
    <w:lvl w:ilvl="0">
      <w:lvlJc w:val="left"/>
      <w:lvlText w:val="(%1)"/>
      <w:numFmt w:val="lowerLetter"/>
      <w:start w:val="1"/>
    </w:lvl>
  </w:abstractNum>
  <w:abstractNum w:abstractNumId="267">
    <w:nsid w:val="7843E45"/>
    <w:multiLevelType w:val="hybridMultilevel"/>
    <w:lvl w:ilvl="0">
      <w:lvlJc w:val="left"/>
      <w:lvlText w:val="(%1)"/>
      <w:numFmt w:val="lowerLetter"/>
      <w:start w:val="6"/>
    </w:lvl>
  </w:abstractNum>
  <w:abstractNum w:abstractNumId="268">
    <w:nsid w:val="9815DA3"/>
    <w:multiLevelType w:val="hybridMultilevel"/>
    <w:lvl w:ilvl="0">
      <w:lvlJc w:val="left"/>
      <w:lvlText w:val="(%1)"/>
      <w:numFmt w:val="lowerLetter"/>
      <w:start w:val="17"/>
    </w:lvl>
  </w:abstractNum>
  <w:abstractNum w:abstractNumId="269">
    <w:nsid w:val="5204A191"/>
    <w:multiLevelType w:val="hybridMultilevel"/>
    <w:lvl w:ilvl="0">
      <w:lvlJc w:val="left"/>
      <w:lvlText w:val="(%1)"/>
      <w:numFmt w:val="lowerLetter"/>
      <w:start w:val="1"/>
    </w:lvl>
  </w:abstractNum>
  <w:abstractNum w:abstractNumId="270">
    <w:nsid w:val="4C73A9C6"/>
    <w:multiLevelType w:val="hybridMultilevel"/>
    <w:lvl w:ilvl="0">
      <w:lvlJc w:val="left"/>
      <w:lvlText w:val="(%1)"/>
      <w:numFmt w:val="lowerLetter"/>
      <w:start w:val="9"/>
    </w:lvl>
  </w:abstractNum>
  <w:abstractNum w:abstractNumId="271">
    <w:nsid w:val="1C7E3C01"/>
    <w:multiLevelType w:val="hybridMultilevel"/>
    <w:lvl w:ilvl="0">
      <w:lvlJc w:val="left"/>
      <w:lvlText w:val="\ldblquote"/>
      <w:numFmt w:val="bullet"/>
      <w:start w:val="1"/>
    </w:lvl>
  </w:abstractNum>
  <w:abstractNum w:abstractNumId="272">
    <w:nsid w:val="1C2201FF"/>
    <w:multiLevelType w:val="hybridMultilevel"/>
    <w:lvl w:ilvl="0">
      <w:lvlJc w:val="left"/>
      <w:lvlText w:val="\ldblquote"/>
      <w:numFmt w:val="bullet"/>
      <w:start w:val="1"/>
    </w:lvl>
  </w:abstractNum>
  <w:abstractNum w:abstractNumId="273">
    <w:nsid w:val="50ABCEC9"/>
    <w:multiLevelType w:val="hybridMultilevel"/>
    <w:lvl w:ilvl="0">
      <w:lvlJc w:val="left"/>
      <w:lvlText w:val="(%1)"/>
      <w:numFmt w:val="lowerLetter"/>
      <w:start w:val="1"/>
    </w:lvl>
  </w:abstractNum>
  <w:abstractNum w:abstractNumId="274">
    <w:nsid w:val="7635AA2A"/>
    <w:multiLevelType w:val="hybridMultilevel"/>
    <w:lvl w:ilvl="0">
      <w:lvlJc w:val="left"/>
      <w:lvlText w:val="(%1)"/>
      <w:numFmt w:val="lowerLetter"/>
      <w:start w:val="4"/>
    </w:lvl>
  </w:abstractNum>
  <w:abstractNum w:abstractNumId="275">
    <w:nsid w:val="5E74C4D9"/>
    <w:multiLevelType w:val="hybridMultilevel"/>
    <w:lvl w:ilvl="0">
      <w:lvlJc w:val="left"/>
      <w:lvlText w:val="(%1)"/>
      <w:numFmt w:val="lowerLetter"/>
      <w:start w:val="1"/>
    </w:lvl>
  </w:abstractNum>
  <w:abstractNum w:abstractNumId="276">
    <w:nsid w:val="3B3EBE15"/>
    <w:multiLevelType w:val="hybridMultilevel"/>
    <w:lvl w:ilvl="0">
      <w:lvlJc w:val="left"/>
      <w:lvlText w:val="\ldblquote"/>
      <w:numFmt w:val="bullet"/>
      <w:start w:val="1"/>
    </w:lvl>
  </w:abstractNum>
  <w:abstractNum w:abstractNumId="277">
    <w:nsid w:val="3822CB01"/>
    <w:multiLevelType w:val="hybridMultilevel"/>
    <w:lvl w:ilvl="0">
      <w:lvlJc w:val="left"/>
      <w:lvlText w:val="\ldblquote"/>
      <w:numFmt w:val="bullet"/>
      <w:start w:val="1"/>
    </w:lvl>
  </w:abstractNum>
  <w:abstractNum w:abstractNumId="278">
    <w:nsid w:val="6CE00443"/>
    <w:multiLevelType w:val="hybridMultilevel"/>
    <w:lvl w:ilvl="0">
      <w:lvlJc w:val="left"/>
      <w:lvlText w:val="(%1)"/>
      <w:numFmt w:val="lowerLetter"/>
      <w:start w:val="5"/>
    </w:lvl>
  </w:abstractNum>
  <w:abstractNum w:abstractNumId="279">
    <w:nsid w:val="79F0D62F"/>
    <w:multiLevelType w:val="hybridMultilevel"/>
    <w:lvl w:ilvl="0">
      <w:lvlJc w:val="left"/>
      <w:lvlText w:val="\ldblquote"/>
      <w:numFmt w:val="bullet"/>
      <w:start w:val="1"/>
    </w:lvl>
  </w:abstractNum>
  <w:abstractNum w:abstractNumId="280">
    <w:nsid w:val="7975E8EE"/>
    <w:multiLevelType w:val="hybridMultilevel"/>
    <w:lvl w:ilvl="0">
      <w:lvlJc w:val="left"/>
      <w:lvlText w:val="\ldblquote"/>
      <w:numFmt w:val="bullet"/>
      <w:start w:val="1"/>
    </w:lvl>
  </w:abstractNum>
  <w:abstractNum w:abstractNumId="281">
    <w:nsid w:val="73154115"/>
    <w:multiLevelType w:val="hybridMultilevel"/>
    <w:lvl w:ilvl="0">
      <w:lvlJc w:val="left"/>
      <w:lvlText w:val="\ldblquote"/>
      <w:numFmt w:val="bullet"/>
      <w:start w:val="1"/>
    </w:lvl>
  </w:abstractNum>
  <w:abstractNum w:abstractNumId="282">
    <w:nsid w:val="622D8102"/>
    <w:multiLevelType w:val="hybridMultilevel"/>
    <w:lvl w:ilvl="0">
      <w:lvlJc w:val="left"/>
      <w:lvlText w:val="\ldblquote"/>
      <w:numFmt w:val="bullet"/>
      <w:start w:val="1"/>
    </w:lvl>
  </w:abstractNum>
  <w:abstractNum w:abstractNumId="283">
    <w:nsid w:val="2AB26587"/>
    <w:multiLevelType w:val="hybridMultilevel"/>
    <w:lvl w:ilvl="0">
      <w:lvlJc w:val="left"/>
      <w:lvlText w:val="\ldblquote"/>
      <w:numFmt w:val="bullet"/>
      <w:start w:val="1"/>
    </w:lvl>
  </w:abstractNum>
  <w:abstractNum w:abstractNumId="284">
    <w:nsid w:val="44B3FA61"/>
    <w:multiLevelType w:val="hybridMultilevel"/>
    <w:lvl w:ilvl="0">
      <w:lvlJc w:val="left"/>
      <w:lvlText w:val="\ldblquote"/>
      <w:numFmt w:val="bullet"/>
      <w:start w:val="1"/>
    </w:lvl>
  </w:abstractNum>
  <w:abstractNum w:abstractNumId="285">
    <w:nsid w:val="1C0CA67C"/>
    <w:multiLevelType w:val="hybridMultilevel"/>
    <w:lvl w:ilvl="0">
      <w:lvlJc w:val="left"/>
      <w:lvlText w:val="(%1)"/>
      <w:numFmt w:val="lowerLetter"/>
      <w:start w:val="3"/>
    </w:lvl>
    <w:lvl w:ilvl="1">
      <w:lvlJc w:val="left"/>
      <w:lvlText w:val="\ldblquote"/>
      <w:numFmt w:val="bullet"/>
      <w:start w:val="1"/>
    </w:lvl>
  </w:abstractNum>
  <w:abstractNum w:abstractNumId="286">
    <w:nsid w:val="3D206613"/>
    <w:multiLevelType w:val="hybridMultilevel"/>
    <w:lvl w:ilvl="0">
      <w:lvlJc w:val="left"/>
      <w:lvlText w:val="\ldblquote"/>
      <w:numFmt w:val="bullet"/>
      <w:start w:val="1"/>
    </w:lvl>
  </w:abstractNum>
  <w:abstractNum w:abstractNumId="287">
    <w:nsid w:val="7993B662"/>
    <w:multiLevelType w:val="hybridMultilevel"/>
    <w:lvl w:ilvl="0">
      <w:lvlJc w:val="left"/>
      <w:lvlText w:val="\ldblquote"/>
      <w:numFmt w:val="bullet"/>
      <w:start w:val="1"/>
    </w:lvl>
  </w:abstractNum>
  <w:abstractNum w:abstractNumId="288">
    <w:nsid w:val="3BAB699E"/>
    <w:multiLevelType w:val="hybridMultilevel"/>
    <w:lvl w:ilvl="0">
      <w:lvlJc w:val="left"/>
      <w:lvlText w:val="\ldblquote"/>
      <w:numFmt w:val="bullet"/>
      <w:start w:val="1"/>
    </w:lvl>
  </w:abstractNum>
  <w:abstractNum w:abstractNumId="289">
    <w:nsid w:val="71315369"/>
    <w:multiLevelType w:val="hybridMultilevel"/>
    <w:lvl w:ilvl="0">
      <w:lvlJc w:val="left"/>
      <w:lvlText w:val="\ldblquote"/>
      <w:numFmt w:val="bullet"/>
      <w:start w:val="1"/>
    </w:lvl>
  </w:abstractNum>
  <w:abstractNum w:abstractNumId="290">
    <w:nsid w:val="7BCFBAFC"/>
    <w:multiLevelType w:val="hybridMultilevel"/>
    <w:lvl w:ilvl="0">
      <w:lvlJc w:val="left"/>
      <w:lvlText w:val="\ldblquote"/>
      <w:numFmt w:val="bullet"/>
      <w:start w:val="1"/>
    </w:lvl>
  </w:abstractNum>
  <w:abstractNum w:abstractNumId="291">
    <w:nsid w:val="17859F72"/>
    <w:multiLevelType w:val="hybridMultilevel"/>
    <w:lvl w:ilvl="0">
      <w:lvlJc w:val="left"/>
      <w:lvlText w:val="(%1)"/>
      <w:numFmt w:val="lowerLetter"/>
      <w:start w:val="1"/>
    </w:lvl>
  </w:abstractNum>
  <w:abstractNum w:abstractNumId="292">
    <w:nsid w:val="3AA10581"/>
    <w:multiLevelType w:val="hybridMultilevel"/>
    <w:lvl w:ilvl="0">
      <w:lvlJc w:val="left"/>
      <w:lvlText w:val="(%1)"/>
      <w:numFmt w:val="lowerLetter"/>
      <w:start w:val="2"/>
    </w:lvl>
    <w:lvl w:ilvl="1">
      <w:lvlJc w:val="left"/>
      <w:lvlText w:val="\ldblquote"/>
      <w:numFmt w:val="bullet"/>
      <w:start w:val="1"/>
    </w:lvl>
  </w:abstractNum>
  <w:abstractNum w:abstractNumId="293">
    <w:nsid w:val="63DE60CD"/>
    <w:multiLevelType w:val="hybridMultilevel"/>
    <w:lvl w:ilvl="0">
      <w:lvlJc w:val="left"/>
      <w:lvlText w:val="\ldblquote"/>
      <w:numFmt w:val="bullet"/>
      <w:start w:val="1"/>
    </w:lvl>
  </w:abstractNum>
  <w:abstractNum w:abstractNumId="294">
    <w:nsid w:val="621AF471"/>
    <w:multiLevelType w:val="hybridMultilevel"/>
    <w:lvl w:ilvl="0">
      <w:lvlJc w:val="left"/>
      <w:lvlText w:val="\ldblquote"/>
      <w:numFmt w:val="bullet"/>
      <w:start w:val="1"/>
    </w:lvl>
  </w:abstractNum>
  <w:abstractNum w:abstractNumId="295">
    <w:nsid w:val="73CFE165"/>
    <w:multiLevelType w:val="hybridMultilevel"/>
    <w:lvl w:ilvl="0">
      <w:lvlJc w:val="left"/>
      <w:lvlText w:val="\ldblquote"/>
      <w:numFmt w:val="bullet"/>
      <w:start w:val="1"/>
    </w:lvl>
  </w:abstractNum>
  <w:abstractNum w:abstractNumId="296">
    <w:nsid w:val="20F88EA6"/>
    <w:multiLevelType w:val="hybridMultilevel"/>
    <w:lvl w:ilvl="0">
      <w:lvlJc w:val="left"/>
      <w:lvlText w:val="(%1)"/>
      <w:numFmt w:val="lowerLetter"/>
      <w:start w:val="1"/>
    </w:lvl>
    <w:lvl w:ilvl="1">
      <w:lvlJc w:val="left"/>
      <w:lvlText w:val="(%2)"/>
      <w:numFmt w:val="lowerRoman"/>
      <w:start w:val="1"/>
    </w:lvl>
  </w:abstractNum>
  <w:abstractNum w:abstractNumId="297">
    <w:nsid w:val="617C843E"/>
    <w:multiLevelType w:val="hybridMultilevel"/>
    <w:lvl w:ilvl="0">
      <w:lvlJc w:val="left"/>
      <w:lvlText w:val="%1."/>
      <w:numFmt w:val="decimal"/>
      <w:start w:val="1"/>
    </w:lvl>
    <w:lvl w:ilvl="1">
      <w:lvlJc w:val="left"/>
      <w:lvlText w:val="(%2)"/>
      <w:numFmt w:val="lowerLetter"/>
      <w:start w:val="1"/>
    </w:lvl>
  </w:abstractNum>
  <w:abstractNum w:abstractNumId="298">
    <w:nsid w:val="7B541FAB"/>
    <w:multiLevelType w:val="hybridMultilevel"/>
    <w:lvl w:ilvl="0">
      <w:lvlJc w:val="left"/>
      <w:lvlText w:val="%1."/>
      <w:numFmt w:val="decimal"/>
      <w:start w:val="1"/>
    </w:lvl>
    <w:lvl w:ilvl="1">
      <w:lvlJc w:val="left"/>
      <w:lvlText w:val="(%2)"/>
      <w:numFmt w:val="lowerLetter"/>
      <w:start w:val="1"/>
    </w:lvl>
  </w:abstractNum>
  <w:abstractNum w:abstractNumId="299">
    <w:nsid w:val="2A79EC49"/>
    <w:multiLevelType w:val="hybridMultilevel"/>
    <w:lvl w:ilvl="0">
      <w:lvlJc w:val="left"/>
      <w:lvlText w:val="%1."/>
      <w:numFmt w:val="decimal"/>
      <w:start w:val="1"/>
    </w:lvl>
  </w:abstractNum>
  <w:abstractNum w:abstractNumId="300">
    <w:nsid w:val="338125CF"/>
    <w:multiLevelType w:val="hybridMultilevel"/>
    <w:lvl w:ilvl="0">
      <w:lvlJc w:val="left"/>
      <w:lvlText w:val="1"/>
      <w:numFmt w:val="bullet"/>
      <w:start w:val="1"/>
    </w:lvl>
  </w:abstractNum>
  <w:abstractNum w:abstractNumId="301">
    <w:nsid w:val="47C7C971"/>
    <w:multiLevelType w:val="hybridMultilevel"/>
    <w:lvl w:ilvl="0">
      <w:lvlJc w:val="left"/>
      <w:lvlText w:val="%1."/>
      <w:numFmt w:val="decimal"/>
      <w:start w:val="1"/>
    </w:lvl>
  </w:abstractNum>
  <w:abstractNum w:abstractNumId="302">
    <w:nsid w:val="46F8284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358" Type="http://schemas.openxmlformats.org/officeDocument/2006/relationships/hyperlink" Target="https://www.sec.gov/Archives/edgar/data/899460/000119312516676980/d225552dex31.htm" TargetMode="External"/><Relationship Id="rId359" Type="http://schemas.openxmlformats.org/officeDocument/2006/relationships/hyperlink" Target="https://www.sec.gov/Archives/edgar/data/899460/000119312517066630/d313758dex31.htm" TargetMode="External"/><Relationship Id="rId360" Type="http://schemas.openxmlformats.org/officeDocument/2006/relationships/hyperlink" Target="https://www.sec.gov/Archives/edgar/data/899460/000119312517368329/d511527dex31.htm" TargetMode="External"/><Relationship Id="rId361" Type="http://schemas.openxmlformats.org/officeDocument/2006/relationships/hyperlink" Target="https://www.sec.gov/Archives/edgar/data/899460/000119312520153051/d936164dex31.htm" TargetMode="External"/><Relationship Id="rId362" Type="http://schemas.openxmlformats.org/officeDocument/2006/relationships/hyperlink" Target="https://www.sec.gov/Archives/edgar/data/899460/000119312523156575/d473553dex31.htm" TargetMode="External"/><Relationship Id="rId363" Type="http://schemas.openxmlformats.org/officeDocument/2006/relationships/hyperlink" Target="https://www.sec.gov/Archives/edgar/data/899460/000119312520153051/d936164dex32.htm" TargetMode="External"/><Relationship Id="rId364" Type="http://schemas.openxmlformats.org/officeDocument/2006/relationships/hyperlink" Target="https://www.sec.gov/Archives/edgar/data/899460/000119312517085519/d305327dex42.htm" TargetMode="External"/><Relationship Id="rId365" Type="http://schemas.openxmlformats.org/officeDocument/2006/relationships/hyperlink" Target="https://www.sec.gov/Archives/edgar/data/899460/000119312513279522/d562665dex993.htm" TargetMode="External"/><Relationship Id="rId366" Type="http://schemas.openxmlformats.org/officeDocument/2006/relationships/hyperlink" Target="https://www.sec.gov/Archives/edgar/data/899460/000119312519215305/d757696dex41.htm" TargetMode="External"/><Relationship Id="rId367" Type="http://schemas.openxmlformats.org/officeDocument/2006/relationships/hyperlink" Target="https://www.sec.gov/Archives/edgar/data/899460/000119312521070265/d45565dex41.htm" TargetMode="External"/><Relationship Id="rId368" Type="http://schemas.openxmlformats.org/officeDocument/2006/relationships/hyperlink" Target="https://www.sec.gov/Archives/edgar/data/899460/000119312521070265/d45565dex41.htm#e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2025-08-06T06:20:47Z</dcterms:created>
  <dcterms:modified xsi:type="dcterms:W3CDTF">2025-08-06T06:20:47Z</dcterms:modified>
</cp:coreProperties>
</file>