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240" w:type="dxa"/>
        <w:tblCellMar>
          <w:top w:w="0" w:type="dxa"/>
          <w:left w:w="0" w:type="dxa"/>
          <w:bottom w:w="0" w:type="dxa"/>
          <w:right w:w="0" w:type="dxa"/>
        </w:tblCellMar>
      </w:tblPr>
      <w:tr>
        <w:trPr>
          <w:trHeight w:val="228"/>
        </w:trPr>
        <w:tc>
          <w:tcPr>
            <w:tcW w:w="3040" w:type="dxa"/>
            <w:vAlign w:val="bottom"/>
            <w:gridSpan w:val="2"/>
          </w:tcPr>
          <w:p>
            <w:pPr>
              <w:ind w:left="220"/>
              <w:spacing w:after="0"/>
              <w:rPr>
                <w:sz w:val="20"/>
                <w:szCs w:val="20"/>
                <w:color w:val="auto"/>
              </w:rPr>
            </w:pPr>
            <w:r>
              <w:rPr>
                <w:rFonts w:ascii="Arial" w:cs="Arial" w:eastAsia="Arial" w:hAnsi="Arial"/>
                <w:sz w:val="18"/>
                <w:szCs w:val="18"/>
                <w:b w:val="1"/>
                <w:bCs w:val="1"/>
                <w:color w:val="auto"/>
              </w:rPr>
              <w:t>For the transition period from</w:t>
            </w:r>
          </w:p>
        </w:tc>
        <w:tc>
          <w:tcPr>
            <w:tcW w:w="3960" w:type="dxa"/>
            <w:vAlign w:val="bottom"/>
          </w:tcPr>
          <w:p>
            <w:pPr>
              <w:ind w:left="420"/>
              <w:spacing w:after="0"/>
              <w:rPr>
                <w:sz w:val="20"/>
                <w:szCs w:val="20"/>
                <w:color w:val="auto"/>
              </w:rPr>
            </w:pPr>
            <w:r>
              <w:rPr>
                <w:rFonts w:ascii="Arial" w:cs="Arial" w:eastAsia="Arial" w:hAnsi="Arial"/>
                <w:sz w:val="18"/>
                <w:szCs w:val="18"/>
                <w:b w:val="1"/>
                <w:bCs w:val="1"/>
                <w:color w:val="auto"/>
              </w:rPr>
              <w:t>to</w:t>
            </w: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97"/>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Pr>
          <w:p>
            <w:pPr>
              <w:jc w:val="center"/>
              <w:ind w:left="804"/>
              <w:spacing w:after="0"/>
              <w:rPr>
                <w:sz w:val="20"/>
                <w:szCs w:val="20"/>
                <w:color w:val="auto"/>
              </w:rPr>
            </w:pPr>
            <w:r>
              <w:rPr>
                <w:rFonts w:ascii="Arial" w:cs="Arial" w:eastAsia="Arial" w:hAnsi="Arial"/>
                <w:sz w:val="18"/>
                <w:szCs w:val="18"/>
                <w:b w:val="1"/>
                <w:bCs w:val="1"/>
                <w:color w:val="auto"/>
                <w:w w:val="87"/>
              </w:rPr>
              <w:t>Commission file number: 000-50865</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05"/>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
          </w:tcPr>
          <w:p>
            <w:pPr>
              <w:jc w:val="center"/>
              <w:ind w:right="444"/>
              <w:spacing w:after="0"/>
              <w:rPr>
                <w:sz w:val="20"/>
                <w:szCs w:val="20"/>
                <w:color w:val="auto"/>
              </w:rPr>
            </w:pPr>
            <w:r>
              <w:rPr>
                <w:rFonts w:ascii="Arial" w:cs="Arial" w:eastAsia="Arial" w:hAnsi="Arial"/>
                <w:sz w:val="43"/>
                <w:szCs w:val="43"/>
                <w:b w:val="1"/>
                <w:bCs w:val="1"/>
                <w:color w:val="auto"/>
                <w:w w:val="95"/>
              </w:rPr>
              <w:t>MannKind Corporation</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0"/>
        </w:trPr>
        <w:tc>
          <w:tcPr>
            <w:tcW w:w="2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60" w:type="dxa"/>
            <w:vAlign w:val="bottom"/>
          </w:tcPr>
          <w:p>
            <w:pPr>
              <w:jc w:val="center"/>
              <w:ind w:left="804"/>
              <w:spacing w:after="0"/>
              <w:rPr>
                <w:sz w:val="20"/>
                <w:szCs w:val="20"/>
                <w:color w:val="auto"/>
              </w:rPr>
            </w:pPr>
            <w:r>
              <w:rPr>
                <w:rFonts w:ascii="Arial" w:cs="Arial" w:eastAsia="Arial" w:hAnsi="Arial"/>
                <w:sz w:val="14"/>
                <w:szCs w:val="14"/>
                <w:i w:val="1"/>
                <w:iCs w:val="1"/>
                <w:color w:val="auto"/>
                <w:w w:val="88"/>
              </w:rPr>
              <w:t>(Exact name of registrant as specified in its charter)</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73"/>
        </w:trPr>
        <w:tc>
          <w:tcPr>
            <w:tcW w:w="22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spacing w:after="0"/>
              <w:rPr>
                <w:sz w:val="23"/>
                <w:szCs w:val="23"/>
                <w:color w:val="auto"/>
              </w:rPr>
            </w:pPr>
          </w:p>
        </w:tc>
        <w:tc>
          <w:tcPr>
            <w:tcW w:w="22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13-3607736</w:t>
            </w: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49"/>
        </w:trPr>
        <w:tc>
          <w:tcPr>
            <w:tcW w:w="7000" w:type="dxa"/>
            <w:vAlign w:val="bottom"/>
            <w:gridSpan w:val="3"/>
          </w:tcPr>
          <w:p>
            <w:pPr>
              <w:jc w:val="center"/>
              <w:ind w:right="1544"/>
              <w:spacing w:after="0" w:line="149" w:lineRule="exact"/>
              <w:rPr>
                <w:sz w:val="20"/>
                <w:szCs w:val="20"/>
                <w:color w:val="auto"/>
              </w:rPr>
            </w:pPr>
            <w:r>
              <w:rPr>
                <w:rFonts w:ascii="Arial" w:cs="Arial" w:eastAsia="Arial" w:hAnsi="Arial"/>
                <w:sz w:val="14"/>
                <w:szCs w:val="14"/>
                <w:i w:val="1"/>
                <w:iCs w:val="1"/>
                <w:color w:val="auto"/>
                <w:w w:val="91"/>
              </w:rPr>
              <w:t>(State or other jurisdiction of</w:t>
            </w:r>
          </w:p>
        </w:tc>
        <w:tc>
          <w:tcPr>
            <w:tcW w:w="2240" w:type="dxa"/>
            <w:vAlign w:val="bottom"/>
            <w:gridSpan w:val="2"/>
          </w:tcPr>
          <w:p>
            <w:pPr>
              <w:jc w:val="center"/>
              <w:ind w:left="664"/>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2"/>
        </w:trPr>
        <w:tc>
          <w:tcPr>
            <w:tcW w:w="7000" w:type="dxa"/>
            <w:vAlign w:val="bottom"/>
            <w:gridSpan w:val="3"/>
          </w:tcPr>
          <w:p>
            <w:pPr>
              <w:jc w:val="center"/>
              <w:ind w:right="1544"/>
              <w:spacing w:after="0"/>
              <w:rPr>
                <w:sz w:val="20"/>
                <w:szCs w:val="20"/>
                <w:color w:val="auto"/>
              </w:rPr>
            </w:pPr>
            <w:r>
              <w:rPr>
                <w:rFonts w:ascii="Arial" w:cs="Arial" w:eastAsia="Arial" w:hAnsi="Arial"/>
                <w:sz w:val="14"/>
                <w:szCs w:val="14"/>
                <w:i w:val="1"/>
                <w:iCs w:val="1"/>
                <w:color w:val="auto"/>
                <w:w w:val="92"/>
              </w:rPr>
              <w:t>incorporation or organization)</w:t>
            </w:r>
          </w:p>
        </w:tc>
        <w:tc>
          <w:tcPr>
            <w:tcW w:w="2240" w:type="dxa"/>
            <w:vAlign w:val="bottom"/>
            <w:gridSpan w:val="2"/>
          </w:tcPr>
          <w:p>
            <w:pPr>
              <w:jc w:val="center"/>
              <w:ind w:left="684"/>
              <w:spacing w:after="0"/>
              <w:rPr>
                <w:sz w:val="20"/>
                <w:szCs w:val="20"/>
                <w:color w:val="auto"/>
              </w:rPr>
            </w:pPr>
            <w:r>
              <w:rPr>
                <w:rFonts w:ascii="Arial" w:cs="Arial" w:eastAsia="Arial" w:hAnsi="Arial"/>
                <w:sz w:val="14"/>
                <w:szCs w:val="14"/>
                <w:i w:val="1"/>
                <w:iCs w:val="1"/>
                <w:color w:val="auto"/>
                <w:w w:val="91"/>
              </w:rPr>
              <w:t>Identification No.)</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10"/>
        </w:trPr>
        <w:tc>
          <w:tcPr>
            <w:tcW w:w="7000" w:type="dxa"/>
            <w:vAlign w:val="bottom"/>
            <w:gridSpan w:val="3"/>
          </w:tcPr>
          <w:p>
            <w:pPr>
              <w:jc w:val="center"/>
              <w:ind w:right="1544"/>
              <w:spacing w:after="0"/>
              <w:rPr>
                <w:sz w:val="20"/>
                <w:szCs w:val="20"/>
                <w:color w:val="auto"/>
              </w:rPr>
            </w:pPr>
            <w:r>
              <w:rPr>
                <w:rFonts w:ascii="Arial" w:cs="Arial" w:eastAsia="Arial" w:hAnsi="Arial"/>
                <w:sz w:val="18"/>
                <w:szCs w:val="18"/>
                <w:b w:val="1"/>
                <w:bCs w:val="1"/>
                <w:color w:val="auto"/>
                <w:w w:val="88"/>
              </w:rPr>
              <w:t>28903 North Avenue Paine</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3"/>
        </w:trPr>
        <w:tc>
          <w:tcPr>
            <w:tcW w:w="7000" w:type="dxa"/>
            <w:vAlign w:val="bottom"/>
            <w:gridSpan w:val="3"/>
          </w:tcPr>
          <w:p>
            <w:pPr>
              <w:jc w:val="center"/>
              <w:ind w:right="1544"/>
              <w:spacing w:after="0"/>
              <w:rPr>
                <w:sz w:val="20"/>
                <w:szCs w:val="20"/>
                <w:color w:val="auto"/>
              </w:rPr>
            </w:pPr>
            <w:r>
              <w:rPr>
                <w:rFonts w:ascii="Arial" w:cs="Arial" w:eastAsia="Arial" w:hAnsi="Arial"/>
                <w:sz w:val="18"/>
                <w:szCs w:val="18"/>
                <w:b w:val="1"/>
                <w:bCs w:val="1"/>
                <w:color w:val="auto"/>
                <w:w w:val="89"/>
              </w:rPr>
              <w:t>Valencia, California</w:t>
            </w:r>
          </w:p>
        </w:tc>
        <w:tc>
          <w:tcPr>
            <w:tcW w:w="224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91355</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2"/>
        </w:trPr>
        <w:tc>
          <w:tcPr>
            <w:tcW w:w="7000" w:type="dxa"/>
            <w:vAlign w:val="bottom"/>
            <w:gridSpan w:val="3"/>
          </w:tcPr>
          <w:p>
            <w:pPr>
              <w:jc w:val="center"/>
              <w:ind w:right="1544"/>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2240" w:type="dxa"/>
            <w:vAlign w:val="bottom"/>
            <w:gridSpan w:val="2"/>
          </w:tcPr>
          <w:p>
            <w:pPr>
              <w:jc w:val="center"/>
              <w:ind w:left="684"/>
              <w:spacing w:after="0"/>
              <w:rPr>
                <w:sz w:val="20"/>
                <w:szCs w:val="20"/>
                <w:color w:val="auto"/>
              </w:rPr>
            </w:pPr>
            <w:r>
              <w:rPr>
                <w:rFonts w:ascii="Arial" w:cs="Arial" w:eastAsia="Arial" w:hAnsi="Arial"/>
                <w:sz w:val="14"/>
                <w:szCs w:val="14"/>
                <w:i w:val="1"/>
                <w:iCs w:val="1"/>
                <w:color w:val="auto"/>
                <w:w w:val="90"/>
              </w:rPr>
              <w:t>(Zip Code)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0"/>
        </w:trPr>
        <w:tc>
          <w:tcPr>
            <w:tcW w:w="2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380" w:type="dxa"/>
            <w:vAlign w:val="bottom"/>
            <w:gridSpan w:val="2"/>
          </w:tcPr>
          <w:p>
            <w:pPr>
              <w:jc w:val="center"/>
              <w:ind w:right="424"/>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28"/>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960" w:type="dxa"/>
            <w:vAlign w:val="bottom"/>
          </w:tcPr>
          <w:p>
            <w:pPr>
              <w:jc w:val="center"/>
              <w:ind w:left="804"/>
              <w:spacing w:after="0"/>
              <w:rPr>
                <w:sz w:val="20"/>
                <w:szCs w:val="20"/>
                <w:color w:val="auto"/>
              </w:rPr>
            </w:pPr>
            <w:r>
              <w:rPr>
                <w:rFonts w:ascii="Arial" w:cs="Arial" w:eastAsia="Arial" w:hAnsi="Arial"/>
                <w:sz w:val="18"/>
                <w:szCs w:val="18"/>
                <w:b w:val="1"/>
                <w:bCs w:val="1"/>
                <w:color w:val="auto"/>
                <w:w w:val="89"/>
              </w:rPr>
              <w:t>(661) 775-5300</w:t>
            </w: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97"/>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
          </w:tcPr>
          <w:p>
            <w:pPr>
              <w:jc w:val="center"/>
              <w:ind w:right="44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2"/>
        </w:trPr>
        <w:tc>
          <w:tcPr>
            <w:tcW w:w="226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84"/>
              </w:rPr>
              <w:t>Title of Class</w:t>
            </w:r>
          </w:p>
        </w:tc>
        <w:tc>
          <w:tcPr>
            <w:tcW w:w="3960" w:type="dxa"/>
            <w:vAlign w:val="bottom"/>
          </w:tcPr>
          <w:p>
            <w:pPr>
              <w:spacing w:after="0"/>
              <w:rPr>
                <w:sz w:val="20"/>
                <w:szCs w:val="20"/>
                <w:color w:val="auto"/>
              </w:rPr>
            </w:pPr>
          </w:p>
        </w:tc>
        <w:tc>
          <w:tcPr>
            <w:tcW w:w="2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2260" w:type="dxa"/>
            <w:vAlign w:val="bottom"/>
          </w:tcPr>
          <w:p>
            <w:pPr>
              <w:ind w:left="1180"/>
              <w:spacing w:after="0"/>
              <w:rPr>
                <w:sz w:val="20"/>
                <w:szCs w:val="20"/>
                <w:color w:val="auto"/>
              </w:rPr>
            </w:pPr>
            <w:r>
              <w:rPr>
                <w:rFonts w:ascii="Arial" w:cs="Arial" w:eastAsia="Arial" w:hAnsi="Arial"/>
                <w:sz w:val="18"/>
                <w:szCs w:val="18"/>
                <w:color w:val="auto"/>
                <w:w w:val="82"/>
              </w:rPr>
              <w:t>Common Stock,</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par value</w:t>
            </w:r>
          </w:p>
        </w:tc>
        <w:tc>
          <w:tcPr>
            <w:tcW w:w="3960" w:type="dxa"/>
            <w:vAlign w:val="bottom"/>
          </w:tcPr>
          <w:p>
            <w:pPr>
              <w:ind w:left="20"/>
              <w:spacing w:after="0"/>
              <w:rPr>
                <w:sz w:val="20"/>
                <w:szCs w:val="20"/>
                <w:color w:val="auto"/>
              </w:rPr>
            </w:pPr>
            <w:r>
              <w:rPr>
                <w:rFonts w:ascii="Arial" w:cs="Arial" w:eastAsia="Arial" w:hAnsi="Arial"/>
                <w:sz w:val="18"/>
                <w:szCs w:val="18"/>
                <w:color w:val="auto"/>
              </w:rPr>
              <w:t>$0.01 per share</w:t>
            </w:r>
          </w:p>
        </w:tc>
        <w:tc>
          <w:tcPr>
            <w:tcW w:w="2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The NASDAQ Global Market</w:t>
            </w:r>
          </w:p>
        </w:tc>
        <w:tc>
          <w:tcPr>
            <w:tcW w:w="140" w:type="dxa"/>
            <w:vAlign w:val="bottom"/>
          </w:tcPr>
          <w:p>
            <w:pPr>
              <w:spacing w:after="0"/>
              <w:rPr>
                <w:sz w:val="18"/>
                <w:szCs w:val="18"/>
                <w:color w:val="auto"/>
              </w:rPr>
            </w:pPr>
          </w:p>
        </w:tc>
      </w:tr>
      <w:tr>
        <w:trPr>
          <w:trHeight w:val="27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2"/>
          </w:tcPr>
          <w:p>
            <w:pPr>
              <w:jc w:val="center"/>
              <w:ind w:right="42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960" w:type="dxa"/>
            <w:vAlign w:val="bottom"/>
          </w:tcPr>
          <w:p>
            <w:pPr>
              <w:jc w:val="center"/>
              <w:ind w:left="804"/>
              <w:spacing w:after="0"/>
              <w:rPr>
                <w:sz w:val="20"/>
                <w:szCs w:val="20"/>
                <w:color w:val="auto"/>
              </w:rPr>
            </w:pPr>
            <w:r>
              <w:rPr>
                <w:rFonts w:ascii="Arial" w:cs="Arial" w:eastAsia="Arial" w:hAnsi="Arial"/>
                <w:sz w:val="18"/>
                <w:szCs w:val="18"/>
                <w:b w:val="1"/>
                <w:bCs w:val="1"/>
                <w:color w:val="auto"/>
                <w:w w:val="84"/>
              </w:rPr>
              <w:t>None</w:t>
            </w: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2"/>
        </w:trPr>
        <w:tc>
          <w:tcPr>
            <w:tcW w:w="2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60" w:type="dxa"/>
            <w:vAlign w:val="bottom"/>
          </w:tcPr>
          <w:p>
            <w:pPr>
              <w:jc w:val="center"/>
              <w:ind w:left="824"/>
              <w:spacing w:after="0"/>
              <w:rPr>
                <w:sz w:val="20"/>
                <w:szCs w:val="20"/>
                <w:color w:val="auto"/>
              </w:rPr>
            </w:pPr>
            <w:r>
              <w:rPr>
                <w:rFonts w:ascii="Arial" w:cs="Arial" w:eastAsia="Arial" w:hAnsi="Arial"/>
                <w:sz w:val="14"/>
                <w:szCs w:val="14"/>
                <w:i w:val="1"/>
                <w:iCs w:val="1"/>
                <w:color w:val="auto"/>
                <w:w w:val="88"/>
              </w:rPr>
              <w:t>(Title of Class)</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2"/>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8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2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8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2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5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2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228"/>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80" w:firstLine="228"/>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580" w:space="100"/>
            <w:col w:w="400" w:space="720"/>
            <w:col w:w="1160" w:space="100"/>
            <w:col w:w="340" w:space="720"/>
            <w:col w:w="3260" w:space="420"/>
            <w:col w:w="1920" w:space="80"/>
            <w:col w:w="62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7700" w:space="160"/>
            <w:col w:w="260" w:space="80"/>
            <w:col w:w="160" w:space="360"/>
            <w:col w:w="220" w:space="80"/>
            <w:col w:w="2400"/>
          </w:cols>
          <w:pgMar w:left="240" w:top="230" w:right="239" w:bottom="1440" w:gutter="0" w:footer="0" w:header="0"/>
          <w:type w:val="continuous"/>
        </w:sectPr>
      </w:pPr>
    </w:p>
    <w:p>
      <w:pPr>
        <w:ind w:right="180" w:firstLine="456"/>
        <w:spacing w:after="0" w:line="268" w:lineRule="auto"/>
        <w:rPr>
          <w:sz w:val="20"/>
          <w:szCs w:val="20"/>
          <w:color w:val="auto"/>
        </w:rPr>
      </w:pPr>
      <w:r>
        <w:rPr>
          <w:rFonts w:ascii="Arial" w:cs="Arial" w:eastAsia="Arial" w:hAnsi="Arial"/>
          <w:sz w:val="18"/>
          <w:szCs w:val="18"/>
          <w:color w:val="auto"/>
        </w:rPr>
        <w:t>As of June 28, 2013, the aggregate market value of the voting stock held by non-affiliates of the registrant, computed by reference to the last sale price of such stock as of such date on the NASDAQ Global Market, was approximately $1,153,987,371.</w:t>
      </w:r>
    </w:p>
    <w:p>
      <w:pPr>
        <w:spacing w:after="0" w:line="51" w:lineRule="exact"/>
        <w:rPr>
          <w:sz w:val="24"/>
          <w:szCs w:val="24"/>
          <w:color w:val="auto"/>
        </w:rPr>
      </w:pPr>
    </w:p>
    <w:p>
      <w:pPr>
        <w:jc w:val="right"/>
        <w:ind w:left="460" w:right="3680"/>
        <w:spacing w:after="0" w:line="344" w:lineRule="auto"/>
        <w:rPr>
          <w:sz w:val="20"/>
          <w:szCs w:val="20"/>
          <w:color w:val="auto"/>
        </w:rPr>
      </w:pPr>
      <w:r>
        <w:rPr>
          <w:rFonts w:ascii="Arial" w:cs="Arial" w:eastAsia="Arial" w:hAnsi="Arial"/>
          <w:sz w:val="18"/>
          <w:szCs w:val="18"/>
          <w:color w:val="auto"/>
        </w:rPr>
        <w:t xml:space="preserve">As of February 17, 2014, there were 377,208,424 shares of the registrant’s Common Stock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firstLine="228"/>
        <w:spacing w:after="0" w:line="259" w:lineRule="auto"/>
        <w:rPr>
          <w:sz w:val="20"/>
          <w:szCs w:val="20"/>
          <w:color w:val="auto"/>
        </w:rPr>
      </w:pPr>
      <w:r>
        <w:rPr>
          <w:rFonts w:ascii="Arial" w:cs="Arial" w:eastAsia="Arial" w:hAnsi="Arial"/>
          <w:sz w:val="18"/>
          <w:szCs w:val="18"/>
          <w:color w:val="auto"/>
        </w:rPr>
        <w:t>Portions of the registrant’s definitive Proxy Statement, or the Proxy Statement, for the 2014 Annual Meeting of Stockholders to be filed with the Securities and Exchange Commission pursuant to Regulation 14A not later than 120 days after the end of the fiscal year covered by this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2"/>
          </w:tcPr>
          <w:p>
            <w:pPr>
              <w:jc w:val="center"/>
              <w:ind w:right="3860"/>
              <w:spacing w:after="0"/>
              <w:rPr>
                <w:sz w:val="20"/>
                <w:szCs w:val="20"/>
                <w:color w:val="auto"/>
              </w:rPr>
            </w:pPr>
            <w:r>
              <w:rPr>
                <w:rFonts w:ascii="Arial" w:cs="Arial" w:eastAsia="Arial" w:hAnsi="Arial"/>
                <w:sz w:val="18"/>
                <w:szCs w:val="18"/>
                <w:b w:val="1"/>
                <w:bCs w:val="1"/>
                <w:color w:val="auto"/>
                <w:w w:val="99"/>
              </w:rPr>
              <w:t>MANNKIND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Arial" w:cs="Arial" w:eastAsia="Arial" w:hAnsi="Arial"/>
                <w:sz w:val="18"/>
                <w:szCs w:val="18"/>
                <w:b w:val="1"/>
                <w:bCs w:val="1"/>
                <w:color w:val="auto"/>
                <w:w w:val="91"/>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00" w:type="dxa"/>
            <w:vAlign w:val="bottom"/>
            <w:gridSpan w:val="24"/>
          </w:tcPr>
          <w:p>
            <w:pPr>
              <w:jc w:val="center"/>
              <w:ind w:right="2960"/>
              <w:spacing w:after="0"/>
              <w:rPr>
                <w:sz w:val="20"/>
                <w:szCs w:val="20"/>
                <w:color w:val="auto"/>
              </w:rPr>
            </w:pPr>
            <w:r>
              <w:rPr>
                <w:rFonts w:ascii="Arial" w:cs="Arial" w:eastAsia="Arial" w:hAnsi="Arial"/>
                <w:sz w:val="18"/>
                <w:szCs w:val="18"/>
                <w:b w:val="1"/>
                <w:bCs w:val="1"/>
                <w:color w:val="auto"/>
                <w:w w:val="88"/>
              </w:rPr>
              <w:t>For the Fiscal Year Ended December 31, 2013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vMerge w:val="restart"/>
          </w:tcPr>
          <w:p>
            <w:pPr>
              <w:jc w:val="center"/>
              <w:ind w:right="46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w:t>
            </w:r>
          </w:p>
        </w:tc>
        <w:tc>
          <w:tcPr>
            <w:tcW w:w="446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4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3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3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7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3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3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tcPr>
          <w:p>
            <w:pPr>
              <w:jc w:val="center"/>
              <w:ind w:right="4640"/>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700" w:type="dxa"/>
            <w:vAlign w:val="bottom"/>
            <w:gridSpan w:val="3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Market for the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Selected Financial Data</w:t>
              </w:r>
            </w:hyperlink>
          </w:p>
        </w:tc>
        <w:tc>
          <w:tcPr>
            <w:tcW w:w="6460" w:type="dxa"/>
            <w:vAlign w:val="bottom"/>
            <w:tcBorders>
              <w:top w:val="single" w:sz="8" w:color="0000EE"/>
            </w:tcBorders>
            <w:gridSpan w:val="26"/>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3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3"/>
          </w:tcPr>
          <w:p>
            <w:pPr>
              <w:spacing w:after="0"/>
              <w:rPr>
                <w:sz w:val="17"/>
                <w:szCs w:val="17"/>
                <w:color w:val="auto"/>
              </w:rPr>
            </w:pPr>
          </w:p>
        </w:tc>
        <w:tc>
          <w:tcPr>
            <w:tcW w:w="3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Financial Statements and Supplementary Data</w:t>
              </w:r>
            </w:hyperlink>
          </w:p>
        </w:tc>
        <w:tc>
          <w:tcPr>
            <w:tcW w:w="64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40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CONSOLIDATED STATEMENTS OF OPERATIONS</w:t>
              </w:r>
            </w:hyperlink>
          </w:p>
        </w:tc>
        <w:tc>
          <w:tcPr>
            <w:tcW w:w="58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CONSOLIDATED STATEMENTS OF COMPREHENSIVE LOSS</w:t>
              </w:r>
            </w:hyperlink>
          </w:p>
        </w:tc>
        <w:tc>
          <w:tcPr>
            <w:tcW w:w="49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CONSOLIDATED STATEMENTS OF STOCKHOLDERS’ EQUITY (DEFICIT)</w:t>
              </w:r>
            </w:hyperlink>
          </w:p>
        </w:tc>
        <w:tc>
          <w:tcPr>
            <w:tcW w:w="39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CONSOLIDATED STATEMENTS OF CASH FLOWS</w:t>
              </w:r>
            </w:hyperlink>
          </w:p>
        </w:tc>
        <w:tc>
          <w:tcPr>
            <w:tcW w:w="57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Disagreements With Accountants on Accounting and Financial Disclosure</w:t>
              </w:r>
            </w:hyperlink>
          </w:p>
        </w:tc>
        <w:tc>
          <w:tcPr>
            <w:tcW w:w="3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Controls and Procedures</w:t>
              </w:r>
            </w:hyperlink>
          </w:p>
        </w:tc>
        <w:tc>
          <w:tcPr>
            <w:tcW w:w="79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9B.</w:t>
            </w:r>
          </w:p>
        </w:tc>
        <w:tc>
          <w:tcPr>
            <w:tcW w:w="9700" w:type="dxa"/>
            <w:vAlign w:val="bottom"/>
            <w:gridSpan w:val="3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45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Directors, Executive Officers and Corporate Governance</w:t>
              </w:r>
            </w:hyperlink>
          </w:p>
        </w:tc>
        <w:tc>
          <w:tcPr>
            <w:tcW w:w="5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3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13.</w:t>
            </w:r>
          </w:p>
        </w:tc>
        <w:tc>
          <w:tcPr>
            <w:tcW w:w="970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43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62">
              <w:r>
                <w:rPr>
                  <w:rFonts w:ascii="Arial" w:cs="Arial" w:eastAsia="Arial" w:hAnsi="Arial"/>
                  <w:sz w:val="18"/>
                  <w:szCs w:val="18"/>
                  <w:b w:val="1"/>
                  <w:bCs w:val="1"/>
                  <w:color w:val="0000EE"/>
                  <w:w w:val="95"/>
                </w:rPr>
                <w:t>PART IV</w:t>
              </w:r>
            </w:hyperlink>
          </w:p>
        </w:tc>
        <w:tc>
          <w:tcPr>
            <w:tcW w:w="46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15.</w:t>
            </w:r>
          </w:p>
        </w:tc>
        <w:tc>
          <w:tcPr>
            <w:tcW w:w="9700" w:type="dxa"/>
            <w:vAlign w:val="bottom"/>
            <w:gridSpan w:val="3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Exhibits.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Statements in this report that are not strictly historical in nature are forward-looking statements. These statements include, but are not limited to, statements about: the progress or success of our research, development and clinical programs, including the application for and receipt of regulatory clearances and approvals, our efforts to identify and enter into collaborations with pharmaceuticals companies for commercialization of AFREZZA and the timing or success of the commercialization of AFREZZA, if approved, or any other products or therapies that we may develop; our ability to market, commercialize and achieve market acceptance for AFREZZA,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Except as required by law, we undertake no obligation to publicly update or revise any forward-looking statements, whether as a result of new information, future events or otherwise.</w:t>
      </w:r>
    </w:p>
    <w:p>
      <w:pPr>
        <w:spacing w:after="0" w:line="4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Dreamboat</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Unless the context requires otherwise, the words “MannKind,” “we,” “company,” “us” and “our” refer to MannKind Corporation and its subsidiaries. Unless explicitly stated otherwise, AFREZZA refers to the combination of AFREZZA inhalation powder and the AFREZZA inhaler.</w:t>
      </w:r>
    </w:p>
    <w:p>
      <w:pPr>
        <w:spacing w:after="0" w:line="4"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MannKind Corporation is a biopharmaceutical company focused on the discovery, development and commercialization of therapeutic products for diseases such as diabetes. In October 2013, we resubmitted a new drug application, or NDA, to the United States Food and Drug Administration, or FDA, seeking approval of our lead product candidate, AFREZZA (insulin human [rDNA origin]) inhalation powder. AFREZZA is an ultra rapid-acting insulin that is intended to improve glycemic control in adults with type 1 or type 2 diabetes. Diabetes is a significant health concern. According to the Centers for Disease Control and Prevention, in the United States in 2011, approximately 25.8 million people had diabetes and if current trends continue, one in three adults in the United States is expected to have diabetes by 2050. Globally, the International Diabetes Federation has estimated that approximately 382.0 million people had diabetes in 2013 and approximately 592.0 million people will have diabetes by 2035.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AFREZZA</w:t>
      </w:r>
    </w:p>
    <w:p>
      <w:pPr>
        <w:spacing w:after="0" w:line="9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AFREZZA is absorbed into the bloodstream more quickly than subcutaneously injected rapid acting insulin analogs and regular human insulin. The time to maximum plasma insulin concentration is 12-15 minutes after administration of AFREZZA compared to 45-90 minutes for rapid acting insulin analogs and 90-150 minutes for regular human insulin. The time action profile of AFREZZA mimics the early phase insulin response observed in healthy normal individuals after a meal, which is characteristically absent in patients with type 2 diabetes.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228"/>
        <w:spacing w:after="0" w:line="310" w:lineRule="auto"/>
        <w:rPr>
          <w:sz w:val="20"/>
          <w:szCs w:val="20"/>
          <w:color w:val="auto"/>
        </w:rPr>
      </w:pPr>
      <w:r>
        <w:rPr>
          <w:rFonts w:ascii="Arial" w:cs="Arial" w:eastAsia="Arial" w:hAnsi="Arial"/>
          <w:sz w:val="15"/>
          <w:szCs w:val="15"/>
          <w:color w:val="auto"/>
        </w:rPr>
        <w:t>The AFREZZA inhalation powder is made using a pH-sensitive organic molecule that self-assembles into small particles under acidic conditions. We refer to these particles as Technosphere particles. Certain drugs, such as insulin, can be loaded onto these particles by combining a solution of the drug with a suspension of Technosphere material, which is then dried to powder form. This powder is then filled into plastic cartridges and packaged. To administer AFREZZA inhalation powder, a patient loads a cartridge into our inhaler. By inhaling through this device, air is pulled through the cartridge, which aerosolizes the powder and pulls the particles into the air current and out through the mouthpiece. The individual particles within this aerosol are small and have aerodynamic properties that enable them to fly efficiently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27"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Our early clinical studies utilized our first-generation inhaler, known as MedTone. As part of ongoing development activities, we developed a next generation, or Gen2 inhaler, also known as Dreamboat. Both the MedTone and the Gen2 devices are breath-powered, re-usable, high resistance inhalers that rely on air flow to empty the cartridge and deagglomerate the powder, but the Gen2 inhaler system incorporates cosmetic and technical improvements and removes non-essential elements. The resulting device is smaller and more efficient, can be operated in fewer steps, requires only one inhalation per cartridge, and needs no cleaning because it is replaced after 15 days of use. The same AFREZZA powder is used in both the MedTone and the Gen2 inhaler systems. However, due to the increased efficiency of the Gen2 inhaler, it requires one third less AFREZZA powder to achieve the same therapeutic effect.</w:t>
      </w:r>
    </w:p>
    <w:p>
      <w:pPr>
        <w:spacing w:after="0" w:line="39"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March 2009, we submitted an NDA for AFREZZA to the FDA, in which we sought approval of the product with the MedTone inhaler. In March 2010, we received a Complete Response letter from the FDA that requested additional information about the clinical utility of AFREZZA and about the commercial version of the MedTone inhaler. After meeting with the FDA in June 2010, we determined that the best way to address the agency’s inhaler-related questions was to submit information regarding the bioequivalence of the MedTone inhaler and the Gen2 inhaler, the latter of which had by that time become our preferred device from a clinical and commercial perspective. In June 2010, we submitted to the FDA the available bioequivalency data for the two devices along with additional evidence of efficacy of AFREZZA as part of our response to the 2010 Complete Response letter.</w:t>
      </w:r>
    </w:p>
    <w:p>
      <w:pPr>
        <w:spacing w:after="0" w:line="39"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In January 2011, we received a second Complete Response letter in which the FDA requested that we conduct two clinical studies with the Gen2 inhaler (one in patients with type 1 diabetes and one in patients with type 2 diabetes), with at least one trial including a treatment group using the MedTone inhaler in order to obtain a head-to-head comparison of the pulmonary safety data for the two devices.</w:t>
      </w:r>
    </w:p>
    <w:p>
      <w:pPr>
        <w:spacing w:after="0" w:line="59"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After confirming the designs of the requested studies with the FDA, we conducted two Phase 3 clinical studies at sites in the United States, Eastern Europe and South America. In August 2013, we released the following results of these Phase 3 clinical studies, both of which met their primary efficacy endpoints and safety objectives.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Phase 3 Studies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171</w:t>
      </w:r>
    </w:p>
    <w:p>
      <w:pPr>
        <w:spacing w:after="0" w:line="90"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The first of these studies, Study 171, was an open-label study involving 518 patients with type 1 diabetes on basal/bolus insulin therapy. After a four-week run-in period to optimize their basal insulin, patients entered a 24-week treatment period in which they were randomized in one of three ways:</w:t>
      </w:r>
    </w:p>
    <w:p>
      <w:pPr>
        <w:spacing w:after="0" w:line="4" w:lineRule="exact"/>
        <w:rPr>
          <w:sz w:val="20"/>
          <w:szCs w:val="20"/>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on subcutaneous insulin aspart in combination with a basal insulin (170 patients);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Switching to AFREZZA administered using the Gen2 inhaler in combination with their basal insulin (174 patients); 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Switching to AFREZZA administered using the MedTone inhaler in combination with their basal insulin (174 patients).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The treatment period consisted of 12 weeks of prandial, or mealtime, insulin optimization with continued basal titration followed by a 12-week period during which subjects maintained stable doses of insulin (prandial and basal). There was also a follow-up visit four weeks after completion of the treatment period.</w:t>
      </w:r>
    </w:p>
    <w:p>
      <w:pPr>
        <w:spacing w:after="0" w:line="4"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Over the 24-week treatment period of this study, glycosylated hemoglobin, or HbA1c, levels decreased comparably in the AFREZZA-Gen2 group (-0.21%) and the insulin aspart group (-0.40%). HbA1c levels are a measure of average blood glucose. The 95% confidence interval (0.02% to 0.36%) of the between-group difference did not exceed the predetermined threshold of 0.40%, thereby establishing non-inferiority between AFREZZA-Gen2 and insulin aspart, which was the primary endpoint of the study.</w:t>
      </w:r>
    </w:p>
    <w:p>
      <w:pPr>
        <w:spacing w:after="0" w:line="62"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There was a significant difference in fasting blood glucose, or FBG, levels in the AFREZZA-Gen2 group compared to the insulin aspart group. In the AFREZZA-Gen2 group, mean FBG levels decreased by 25.3 mg/dL by the end of the treatment period whereas the insulin aspart group experienced an increase of 10.2 mg/dL in FBG levels over the same period (p=0.0027). After the four-week follow-up period, during which all patients received insulin aspart and a basal insulin, there was no longer any difference in FBG levels between the treatment groups, demonstrating that this effect on FBG levels was attributable to AFREZZA therapy.</w:t>
      </w:r>
    </w:p>
    <w:p>
      <w:pPr>
        <w:spacing w:after="0" w:line="62"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Significantly less total hypoglycemia was observed in the AFREZZA-Gen2 group (9.80 events per subject-month) compared to the insulin aspart group (13.97 events per subject-month; p&lt;0.0001). The event rate of severe hypoglycemia was also lower in the AFREZZA-Gen2 group (8.05 events per 100 subject-months) than in the insulin aspart group (14.45 events per 100 subject-months); however, this difference was not statistically significant (p=0.1022).</w:t>
      </w:r>
    </w:p>
    <w:p>
      <w:pPr>
        <w:spacing w:after="0" w:line="2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The proportion of subjects achieving A1c target levels £7.0% or £6.5% at the end of the 24-week treatment period was less in the AFREZZA-Gen2 group than in the insulin aspart group; however, among patients who achieved A1c levels £7.0% and £6.5% at the end of the 24-week treatment period, the event rates for overall hypoglycemia (mild, moderate and severe) were all significantly lower in the AFREZZA-Gen2 group than in the insulin aspart group.</w:t>
      </w:r>
    </w:p>
    <w:p>
      <w:pPr>
        <w:spacing w:after="0" w:line="26"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There was also a significant difference in weight outcomes. Patients in the AFREZZA-Gen2 group lost an average of 0.39 kg over the treatment period compared to an average gain of 0.93 kg in the insulin aspart group (p=0.0102).</w:t>
      </w:r>
    </w:p>
    <w:p>
      <w:pPr>
        <w:spacing w:after="0" w:line="5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The main safety objective of this study was to compare changes in FEV1 (forced expiratory volume in one second) from randomization to week 24 between the AFREZZA-Gen2 and AFREZZA-MedTone groups. Over this period, there was an insignificant difference of 0.01 L in mean change in FEV1 between the two AFREZZA groups (p=0.5364). Over the same 24-week treatment period, the decrease in FEV1 seen in the AFREZZA-Gen2 group was slightly greater than that seen in the aspart group (0.03 L). After cessation of the treatment period, FEV1 values in both AFREZZA groups increased, so that by the follow-up visit at week 28 there were virtually no differences in FEV1 among the three treatment groups.</w:t>
      </w:r>
    </w:p>
    <w:p>
      <w:pPr>
        <w:spacing w:after="0" w:line="35" w:lineRule="exact"/>
        <w:rPr>
          <w:sz w:val="20"/>
          <w:szCs w:val="20"/>
          <w:color w:val="auto"/>
        </w:rPr>
      </w:pPr>
    </w:p>
    <w:p>
      <w:pPr>
        <w:ind w:right="260" w:firstLine="228"/>
        <w:spacing w:after="0" w:line="291" w:lineRule="auto"/>
        <w:rPr>
          <w:sz w:val="20"/>
          <w:szCs w:val="20"/>
          <w:color w:val="auto"/>
        </w:rPr>
      </w:pPr>
      <w:r>
        <w:rPr>
          <w:rFonts w:ascii="Arial" w:cs="Arial" w:eastAsia="Arial" w:hAnsi="Arial"/>
          <w:sz w:val="16"/>
          <w:szCs w:val="16"/>
          <w:color w:val="auto"/>
        </w:rPr>
        <w:t>In general, treatment with AFREZZA was well tolerated over 24 weeks by subjects with type 1 diabetes. The incidence of serious adverse events related to study drug was similar in the AFREZZA-Gen2 (2.3%), AFREZZA-MedTone (2.9%) and insulin aspart (1.8%) groups. There were no serious cardiovascular events reported in this study. The most common drug-related adverse event was cough, reported by 30.5% of AFREZZA-Gen2 patients, 20.8% of AFREZZA-MedTone patients and 0% of insulin aspart patients. Cough was predominantly dry, intermittent, and usually occurred within 10 minutes of inhalation. The incidence of cough was highest during the first week of the treatment period and diminished quickly thereafter. The discontinuation rate due to cough was low (AFREZZA-Gen2: 5.7%; AFREZZA-MedTone: 2.9%; insulin aspart: 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175</w:t>
      </w:r>
    </w:p>
    <w:p>
      <w:pPr>
        <w:spacing w:after="0" w:line="90"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Study 175 was a double-blind, placebo-controlled study involving 353 patients with type 2 diabetes whose disease was inadequately controlled on metformin with or without a second or third oral medication. After a six-week run-in period during which all patients received dietary counseling and initiated blood glucose monitoring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while continuing their oral medications, patients entered a 24-week treatment period in which they were randomized to one of two groups where, in addition to their oral medication, they received either:</w:t>
      </w:r>
    </w:p>
    <w:p>
      <w:pPr>
        <w:spacing w:after="0" w:line="51" w:lineRule="exact"/>
        <w:rPr>
          <w:sz w:val="20"/>
          <w:szCs w:val="20"/>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AFREZZA inhalation powder, administered using the Gen2 inhaler (177 patients); or</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Technosphere inhalation powder (placebo), administered using the Gen2 inhaler (176 patients).</w:t>
      </w:r>
    </w:p>
    <w:p>
      <w:pPr>
        <w:spacing w:after="0" w:line="90"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color w:val="auto"/>
        </w:rPr>
        <w:t>The treatment period consisted of 12 weeks of prandial insulin titration followed by 12 weeks of relatively stable dosing. Subjects could not adjust or alter the doses of their oral medications during the study without discussion between the principal investigator and the medical monitor. There was also a safety follow-up visit four weeks after completion of the treatment period, during which all subjects returned to oral therapy only.</w:t>
      </w:r>
    </w:p>
    <w:p>
      <w:pPr>
        <w:spacing w:after="0" w:line="26"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The primary endpoint of the study was the mean change in HbA1c levels from baseline to week 24 between the two groups. Over the 24-week treatment period, mean HbA1c levels decreased by 0.82% in the AFREZZA group compared to a decrease of 0.42% in the comparator oral-therapy group. The between-group difference in change in mean HbA1c levels was statistically significant (p&lt;0.0001), thereby establishing the superiority of AFREZZA over the comparator oral-therapy treatment.</w:t>
      </w:r>
    </w:p>
    <w:p>
      <w:pPr>
        <w:spacing w:after="0" w:line="62"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A significantly greater percentage of patients in the AFREZZA group reached specified HbA1c target levels than in the comparator oral-therapy group. After 24 weeks of treatment, 37.7% of patients in the AFREZZA group achieved A1c levels below 7.0% compared to only 19.0% of patients in the comparator oral-therapy group (p=0.0005), and 15.9% of patients in the AFREZZA group achieved A1c levels below 6.5% compared to only 4.2% of the patients receiving only oral therapy (p=0.0021).</w:t>
      </w:r>
    </w:p>
    <w:p>
      <w:pPr>
        <w:spacing w:after="0" w:line="62"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During the treatment period, postprandial glucose excursions were reduced in the AFREZZA group compared to those in the comparator oral-therapy group. By week 24, mean blood glucose levels did not exceed 170.2 mg/dL postprandially in the AFREZZA group whereas mean blood glucose levels reached as high as 194.7 mg/dL postprandially in the comparator oral-therapy group.</w:t>
      </w:r>
    </w:p>
    <w:p>
      <w:pPr>
        <w:spacing w:after="0" w:line="59"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Over the treatment period, mean fasting blood glucose levels decreased moderately in the AFREZZA group by 11.2 mg/dL compared to a decrease of 3.8 mg/dL in the comparator oral-therapy group. This difference was not statistically significant (p=0.1698).</w:t>
      </w:r>
    </w:p>
    <w:p>
      <w:pPr>
        <w:spacing w:after="0" w:line="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Patients in the AFREZZA group gained an average of 0.49 kg over the treatment period compared to an average loss of 1.13 kg by patients in the comparator oral-therapy group (p&lt;0.0001).</w:t>
      </w:r>
    </w:p>
    <w:p>
      <w:pPr>
        <w:spacing w:after="0" w:line="5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As expected, the incidence of mild and moderate hypoglycemia was higher in the AFREZZA group (67.2% of patients) compared to the comparator oral-therapy group (30.1% of patients; p&lt;0.0001). However, there was not a significant difference in the incidence of severe hypoglycemia, which was reported in nine (5.1%) AFREZZA patients compared to three (1.7%) oral-therapy patients (p=0.0943).</w:t>
      </w:r>
    </w:p>
    <w:p>
      <w:pPr>
        <w:spacing w:after="0" w:line="59"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general, treatment with AFREZZA was well tolerated over 24 weeks by subjects with type 2 diabetes. The incidence of serious adverse events was lower in the AFREZZA group (2.8%) compared to the comparator oral-therapy group (5.1%). The incidence of serious cardiovascular events was low overall and balanced between the groups (AFREZZA: 2 events; oral therapy: 3 events). Similarly, the incidence of adverse events resulting in discontinuation was low overall and balanced between the treatment groups (AFREZZA: 4.0%; oral therapy: 5.1%). The most common adverse event was cough, occurring with comparable incidence in both the AFREZZA (23.7%) group and the oral therapy (19.9%) group (who were also taking a placebo powder). Cough was predominantly dry, intermittent, and usually occurred within 10 minutes of inhalation. The incidence of cough in both treatment groups was highest during the first week of the treatment period and diminished thereafter.</w:t>
      </w:r>
    </w:p>
    <w:p>
      <w:pPr>
        <w:spacing w:after="0" w:line="37" w:lineRule="exact"/>
        <w:rPr>
          <w:sz w:val="20"/>
          <w:szCs w:val="20"/>
          <w:color w:val="auto"/>
        </w:rPr>
      </w:pPr>
    </w:p>
    <w:p>
      <w:pPr>
        <w:ind w:right="420" w:firstLine="228"/>
        <w:spacing w:after="0" w:line="332" w:lineRule="auto"/>
        <w:rPr>
          <w:sz w:val="20"/>
          <w:szCs w:val="20"/>
          <w:color w:val="auto"/>
        </w:rPr>
      </w:pPr>
      <w:r>
        <w:rPr>
          <w:rFonts w:ascii="Arial" w:cs="Arial" w:eastAsia="Arial" w:hAnsi="Arial"/>
          <w:sz w:val="16"/>
          <w:szCs w:val="16"/>
          <w:color w:val="auto"/>
        </w:rPr>
        <w:t>Since the release of these preliminary results, we have subjected the data from studies 171 and 175 to further analysis. Our intention is to present detailed results from both studies at a major scientific meeting in the first half of 2014 and to submit study reports for publication in peer-reviewed journals.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Status</w:t>
      </w:r>
    </w:p>
    <w:p>
      <w:pPr>
        <w:spacing w:after="0" w:line="90"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October 2013, we submitted the full results of these studies to the FDA as an amendment to our AFREZZA NDA. The Endocrinologic and Metabolic Drugs Advisory Committee of the FDA is scheduled to discuss our NDA on April 1, 2014. The target date for the FDA to complete its review of the AFREZZA NDA is April 15, 2014. However, the data collected from these clinical studies may not be sufficient to support FDA approval. Moreover, there can be no assurance that we will satisfy all of the FDA’s requirements for approval of AFREZZA. The FDA could also request that we conduct additional clinical studies in order to provide sufficient data for approval of AFREZZA.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Opportunities</w:t>
      </w:r>
    </w:p>
    <w:p>
      <w:pPr>
        <w:spacing w:after="0" w:line="9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AFREZZA utilizes our proprietary Technosphere formulation technology; however, this technology is not limited to insulin delivery. We believe it represents a versatile drug delivery platform that may allow pulmonary administration of certain drugs that currently require administration by injection. Beyond convenience, we believe the key advantage of drugs inhaled as Technosphere formulations is that they can be absorbed very rapidly into the arterial circulation, essentially mimicking intra-arterial administration. Currently, we are actively working with several parties to assess the feasibility of formulating different active ingredients on Technosphere particles. Additionally, our inhaler technology has the potential to be utilized for the administration of dry powder formulations for various other applications.</w:t>
      </w:r>
    </w:p>
    <w:p>
      <w:pPr>
        <w:spacing w:after="0" w:line="63" w:lineRule="exact"/>
        <w:rPr>
          <w:sz w:val="20"/>
          <w:szCs w:val="20"/>
          <w:color w:val="auto"/>
        </w:rPr>
      </w:pPr>
    </w:p>
    <w:p>
      <w:pPr>
        <w:jc w:val="both"/>
        <w:ind w:right="460" w:firstLine="228"/>
        <w:spacing w:after="0" w:line="256" w:lineRule="auto"/>
        <w:rPr>
          <w:sz w:val="20"/>
          <w:szCs w:val="20"/>
          <w:color w:val="auto"/>
        </w:rPr>
      </w:pPr>
      <w:r>
        <w:rPr>
          <w:rFonts w:ascii="Arial" w:cs="Arial" w:eastAsia="Arial" w:hAnsi="Arial"/>
          <w:sz w:val="18"/>
          <w:szCs w:val="18"/>
          <w:color w:val="auto"/>
        </w:rPr>
        <w:t>Prior to the receipt of the Complete Response letters relating to AFREZZA, we had additional development programs aimed at developing products for treating different forms of cancer, some of which have since been out-licensed. During 2013, we conducted a limited amount of research with respect to our remaining oncology programs. Given our current resource constraints, we do not expect to allocate any significant funds to oncology product development activities in the near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are key elements of our strategy:</w:t>
      </w:r>
    </w:p>
    <w:p>
      <w:pPr>
        <w:spacing w:after="0" w:line="90"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i w:val="1"/>
          <w:iCs w:val="1"/>
          <w:color w:val="auto"/>
        </w:rPr>
        <w:t xml:space="preserve">Gain FDA approval of AFREZZA. </w:t>
      </w:r>
      <w:r>
        <w:rPr>
          <w:rFonts w:ascii="Arial" w:cs="Arial" w:eastAsia="Arial" w:hAnsi="Arial"/>
          <w:sz w:val="18"/>
          <w:szCs w:val="18"/>
          <w:color w:val="auto"/>
        </w:rPr>
        <w:t>We resubmitted the full results of our completed studies to the FDA as an amendment to our AFREZZA NDA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target date for the FDA to complete its review of the AFREZZA NDA is April 15, 2014.</w:t>
      </w:r>
    </w:p>
    <w:p>
      <w:pPr>
        <w:spacing w:after="0" w:line="51"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i w:val="1"/>
          <w:iCs w:val="1"/>
          <w:color w:val="auto"/>
        </w:rPr>
        <w:t xml:space="preserve">Seek a development and commercialization partner for AFREZZA. </w:t>
      </w:r>
      <w:r>
        <w:rPr>
          <w:rFonts w:ascii="Arial" w:cs="Arial" w:eastAsia="Arial" w:hAnsi="Arial"/>
          <w:sz w:val="16"/>
          <w:szCs w:val="16"/>
          <w:color w:val="auto"/>
        </w:rPr>
        <w:t>We are pursuing potential collaboration opportunities with large pharmaceutical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Europe and elsewhere to provide the financial and operational resources to develop, commercialize, market and sell AFREZZA. We have not yet licensed or transferred any of our rights to this product or to our platform technology.</w:t>
      </w:r>
    </w:p>
    <w:p>
      <w:pPr>
        <w:spacing w:after="0" w:line="26" w:lineRule="exact"/>
        <w:rPr>
          <w:sz w:val="20"/>
          <w:szCs w:val="20"/>
          <w:color w:val="auto"/>
        </w:rPr>
      </w:pPr>
    </w:p>
    <w:p>
      <w:pPr>
        <w:ind w:right="460" w:firstLine="228"/>
        <w:spacing w:after="0" w:line="298" w:lineRule="auto"/>
        <w:rPr>
          <w:sz w:val="20"/>
          <w:szCs w:val="20"/>
          <w:color w:val="auto"/>
        </w:rPr>
      </w:pPr>
      <w:r>
        <w:rPr>
          <w:rFonts w:ascii="Arial" w:cs="Arial" w:eastAsia="Arial" w:hAnsi="Arial"/>
          <w:sz w:val="16"/>
          <w:szCs w:val="16"/>
          <w:i w:val="1"/>
          <w:iCs w:val="1"/>
          <w:color w:val="auto"/>
        </w:rPr>
        <w:t xml:space="preserve">Capitalize on our proprietary Technosphere and inhaler technology for the delivery of active pharmaceutical ingredients. </w:t>
      </w:r>
      <w:r>
        <w:rPr>
          <w:rFonts w:ascii="Arial" w:cs="Arial" w:eastAsia="Arial" w:hAnsi="Arial"/>
          <w:sz w:val="16"/>
          <w:szCs w:val="16"/>
          <w:color w:val="auto"/>
        </w:rPr>
        <w:t>We are actively exploring</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to out-license our proprietary Technosphere formulation technology. We believe that Technosphere formulations of active pharmaceutical ingredients have the potential to demonstrate clinical advantages over existing therapeutic options in a variety of therapeutic areas. Additionally, our inhaler technology has the potential to be utilized for the administration of dry powder formulations for various other applications.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Our efforts to date have been directed at developing pharmaceutical products for a number of different markets. We currently have no sales or distribution capabilities and have no experience as a company in marketing or selling pharmaceutical products. However, we have built a small marketing team and are engaged in the planning and market research activities that we believe would typically be undertaken to support the late-stage development of a pharmaceutical product.</w:t>
      </w:r>
    </w:p>
    <w:p>
      <w:pPr>
        <w:spacing w:after="0" w:line="62"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In order to commercially market our product candidates, we would either need to develop an internal sales team and continue to expand our marketing infrastructure or collaborate with third parties who have greater sales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marketing capabilities and have access to potentially large markets. To date, we have retained worldwide commercialization rights for all of our Technosphere-based product candidates, including AFREZZA. We intend to pursue potential collaboration opportunities to assist us in the commercialization of AFREZZA in the United States and other major markets.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 date, we have viewed our operations and managed our business as one segment operating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96"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We formulate and fill the AFREZZA inhalation powder into plastic cartridges and blister package the cartridges in our Danbury, Connecticut facility. We believe that our Danbury facility has enough capacity to satisfy the initial commercial demand for AFREZZA, if approved, although the facility includes expansion space that can allow production capacity to be increased based on anticipated needs during the initial years of commercialization. The quality management systems of our facility were certified to be in conformance with the ISO 13485 and ISO 9001 standards. Our facility has been inspected twice by the FDA, once for a pre-approval inspection in the fall of 2009 and once for an annual inspection in May 2013. The FDA may conduct additional inspections of our facility.</w:t>
      </w:r>
    </w:p>
    <w:p>
      <w:pPr>
        <w:spacing w:after="0" w:line="63"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Currently, our insulin inventory is from two sources. Between November 2007 and July 2011, we received a quantity of insulin pursuant to an insulin supply agreement with N.V. Organon, a subsidiary of Merck &amp; Co., Inc., or the Supply Agreement. In June 2009, we acquired a quantity of bulk insulin from Pfizer Manufacturing Frankfurt GmbH, a subsidiary of Pfizer Inc., as well as Pfizer’s rights under a license to manufacture insulin for pulmonary delivery. In addition, we acquired an option to purchase from Pfizer additional insulin inventory, in whole or in part, at a specified price, to the extent it remains available. Once we have used our existing supply of insulin, we will need to secure additional insulin from market sources.</w:t>
      </w:r>
    </w:p>
    <w:p>
      <w:pPr>
        <w:spacing w:after="0" w:line="35"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The contract manufacturer that has been producing our clinical supplies of the Gen2 inhaler and the corresponding cartridges has performed qualification of the various cartridge and inhaler molds for commercial purposes. We may also seek to qualify an additional vendor.</w:t>
      </w:r>
    </w:p>
    <w:p>
      <w:pPr>
        <w:spacing w:after="0" w:line="4"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Currently, we purchase the raw material from which we produce Technosphere particles from a major chemical manufacturer with facilities in Europe and North America. We also have the capability of manufacturing this chemical ourselves in our Danbury facility, which we intend to use as a back-up facility. Like us, our third-party manufacturers are subject to extensive governmental regulation. We rely on our manufacturers to comply with relevant regulatory requirements, including compliance with Quality System Regulations, or QSRs.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TECHNOLOGY</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w:t>
      </w:r>
    </w:p>
    <w:p>
      <w:pPr>
        <w:spacing w:after="0" w:line="35"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our inhaler and cartridges in the form in which we expect our insulin product to be sold to the consumer, if and when approved by the FDA. We have additional pending patent applications, and expect to file further applications, relating to the drug delivery platform, methods of manufacture, the AFREZZA product and its use, and other Technosphere-based products, inhalers and inhaler cartridges. Overall, AFREZZA is protected by over 220 issued patents, and we also have over 300 pending applications in the United States and selected jurisdictions around the world that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provide additional protection if and when they are allowed. These include composition and inhaler and cartridge patents providing protection for AFREZZA with various expiration dates, the longer-lived of which will not expire until between 2029 and 2032. In addition, we have certain method of treatment claims that have terms extending into 2026 and 2029.</w:t>
      </w:r>
    </w:p>
    <w:p>
      <w:pPr>
        <w:spacing w:after="0" w:line="5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62"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42"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Technosphere-based investigational products, we have identified certain third-party patents having claims relating to pulmonary insulin delivery that may trigger an allegation of infringement upon the commercial manufacture and sale of AFREZZA. We believe that we are not infringing any valid claims of any patent owned by a third party. However, if a court were to determine that our inhaled insulin product was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also be required to participate in interference proceedings involving our issued patents.</w:t>
      </w:r>
    </w:p>
    <w:p>
      <w:pPr>
        <w:spacing w:after="0" w:line="43"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pharmaceutical and biotechnology industries are highly competitive and characterized by rapidly evolving technology and intense research and development efforts. We expect to compete with companies, including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Treatments</w:t>
      </w:r>
    </w:p>
    <w:p>
      <w:pPr>
        <w:spacing w:after="0" w:line="96"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62" w:lineRule="exact"/>
        <w:rPr>
          <w:sz w:val="20"/>
          <w:szCs w:val="20"/>
          <w:color w:val="auto"/>
        </w:rPr>
      </w:pPr>
    </w:p>
    <w:p>
      <w:pPr>
        <w:ind w:right="740" w:firstLine="228"/>
        <w:spacing w:after="0" w:line="391" w:lineRule="auto"/>
        <w:rPr>
          <w:sz w:val="20"/>
          <w:szCs w:val="20"/>
          <w:color w:val="auto"/>
        </w:rPr>
      </w:pPr>
      <w:r>
        <w:rPr>
          <w:rFonts w:ascii="Arial" w:cs="Arial" w:eastAsia="Arial" w:hAnsi="Arial"/>
          <w:sz w:val="18"/>
          <w:szCs w:val="18"/>
          <w:color w:val="auto"/>
        </w:rPr>
        <w:t xml:space="preserve">We have set forth below more detailed information about certain of our competitors. The following is based on information currently available to us. </w:t>
      </w:r>
      <w:r>
        <w:rPr>
          <w:rFonts w:ascii="Arial" w:cs="Arial" w:eastAsia="Arial" w:hAnsi="Arial"/>
          <w:sz w:val="18"/>
          <w:szCs w:val="18"/>
          <w:b w:val="1"/>
          <w:bCs w:val="1"/>
          <w:color w:val="auto"/>
        </w:rPr>
        <w:t>Rapid-acting (Injected) Insulin</w:t>
      </w:r>
    </w:p>
    <w:p>
      <w:pPr>
        <w:spacing w:after="0" w:line="1" w:lineRule="exact"/>
        <w:rPr>
          <w:sz w:val="20"/>
          <w:szCs w:val="20"/>
          <w:color w:val="auto"/>
        </w:rPr>
      </w:pPr>
    </w:p>
    <w:p>
      <w:pPr>
        <w:ind w:right="400" w:firstLine="228"/>
        <w:spacing w:after="0" w:line="256" w:lineRule="auto"/>
        <w:rPr>
          <w:sz w:val="20"/>
          <w:szCs w:val="20"/>
          <w:color w:val="auto"/>
        </w:rPr>
      </w:pPr>
      <w:r>
        <w:rPr>
          <w:rFonts w:ascii="Arial" w:cs="Arial" w:eastAsia="Arial" w:hAnsi="Arial"/>
          <w:sz w:val="18"/>
          <w:szCs w:val="18"/>
          <w:color w:val="auto"/>
        </w:rPr>
        <w:t>Currently, there is no approved insulin product that is absorbed into the bloodstream as rapidly as AFREZZA, i.e., reaching peak levels within 12 to 15 minutes after administration. There are several formulations of “rapid-acting” insulin analogs that reach peak insulin levels within 45 to 90 minutes after injection. The principal products in this category are insulin lispro, which is marketed by Eli Lilly &amp; Company, or Lilly; insulin aspart, which is marketed by Novo Nordisk A/S, or Novo Nordisk; and insulin glulisine, which is marketed by Sanofi.</w:t>
      </w:r>
    </w:p>
    <w:p>
      <w:pPr>
        <w:spacing w:after="0" w:line="62"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Several insulin products in development are reported to have a time-action profile that is more rapid than that of the currently available rapid-acting insulin analogs. Halozyme Therapeutics, Inc. has conducted Phase 2 clinical studies to evaluate the safety and efficacy of a formulation of human insulin or an insulin analog that is co-administered with human hyaluronidase enzyme. This enzyme temporarily degrades a naturally occurring, space-filling substance that is a major component of normal tissues throughout the body, thereby facilitating the penetration and diffusion of insulin that is injected under the skin.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Novo Nordisk is conducting Phase 3 clinical studies of NN1218, an insulin analog that is intended to provide faster onset of action than aspart.</w:t>
      </w:r>
    </w:p>
    <w:p>
      <w:pPr>
        <w:spacing w:after="0" w:line="113"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Biodel, Inc. has conducted a Phase 2 clinical trial of BIOD-123, a formulation of human insulin with certain excipients that increase the rate of absorption following injection.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Inhaled Insulin Delivery Systems</w:t>
      </w:r>
    </w:p>
    <w:p>
      <w:pPr>
        <w:spacing w:after="0" w:line="96"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In January 2006, Exubera</w:t>
      </w:r>
      <w:r>
        <w:rPr>
          <w:rFonts w:ascii="Arial" w:cs="Arial" w:eastAsia="Arial" w:hAnsi="Arial"/>
          <w:sz w:val="11"/>
          <w:szCs w:val="11"/>
          <w:color w:val="auto"/>
        </w:rPr>
        <w:t>®</w:t>
      </w:r>
      <w:r>
        <w:rPr>
          <w:rFonts w:ascii="Arial" w:cs="Arial" w:eastAsia="Arial" w:hAnsi="Arial"/>
          <w:sz w:val="18"/>
          <w:szCs w:val="18"/>
          <w:color w:val="auto"/>
        </w:rPr>
        <w:t>, developed by Pfizer in collaboration with Nektar Therapeutics, Inc., was approved for the treatment of adults with type 1 and type 2 diabetes. Exubera</w:t>
      </w:r>
      <w:r>
        <w:rPr>
          <w:rFonts w:ascii="Arial" w:cs="Arial" w:eastAsia="Arial" w:hAnsi="Arial"/>
          <w:sz w:val="11"/>
          <w:szCs w:val="11"/>
          <w:color w:val="auto"/>
        </w:rPr>
        <w:t>®</w:t>
      </w:r>
      <w:r>
        <w:rPr>
          <w:rFonts w:ascii="Arial" w:cs="Arial" w:eastAsia="Arial" w:hAnsi="Arial"/>
          <w:sz w:val="18"/>
          <w:szCs w:val="18"/>
          <w:color w:val="auto"/>
        </w:rPr>
        <w:t xml:space="preserve"> was slow to gain market acceptance and, in October 2007, Pfizer announced that it was discontinuing the product. In September 2008, we announced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5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January 2008, Novo Nordisk announced that it was halting development of its inhaled insulin product, having reached the conclusion that the product did not have adequate commercial potential.</w:t>
      </w:r>
    </w:p>
    <w:p>
      <w:pPr>
        <w:spacing w:after="0" w:line="5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 March 2008, Lilly announced that it was terminating the development of its AIR</w:t>
      </w:r>
      <w:r>
        <w:rPr>
          <w:rFonts w:ascii="Arial" w:cs="Arial" w:eastAsia="Arial" w:hAnsi="Arial"/>
          <w:sz w:val="11"/>
          <w:szCs w:val="11"/>
          <w:color w:val="auto"/>
        </w:rPr>
        <w:t>®</w:t>
      </w:r>
      <w:r>
        <w:rPr>
          <w:rFonts w:ascii="Arial" w:cs="Arial" w:eastAsia="Arial" w:hAnsi="Arial"/>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59"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In August 2013, Dance Biopharm, Inc. announced that it had conducted a Phase 1/2 clinical study of an inhaled insulin product that utilizes a liquid formulation of human insulin, dispensed through a handheld electronic aerosol device.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Non-insulin Medications</w:t>
      </w:r>
    </w:p>
    <w:p>
      <w:pPr>
        <w:spacing w:after="0" w:line="96"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We expect that AFREZZA, if approved, will compete with currently available non-insulin medication products for type 2 diabetes. These products include the following:</w:t>
      </w:r>
    </w:p>
    <w:p>
      <w:pPr>
        <w:spacing w:after="0" w:line="51" w:lineRule="exact"/>
        <w:rPr>
          <w:sz w:val="20"/>
          <w:szCs w:val="20"/>
          <w:color w:val="auto"/>
        </w:rPr>
      </w:pPr>
    </w:p>
    <w:p>
      <w:pPr>
        <w:ind w:left="440" w:right="32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GLP-1 agonists, such as exenatide or liraglutide, which mimic a naturally occurring hormone that stimulates the pancreas to secrete insulin when blood glucose levels are high.</w:t>
      </w:r>
    </w:p>
    <w:p>
      <w:pPr>
        <w:spacing w:after="0" w:line="50" w:lineRule="exact"/>
        <w:rPr>
          <w:rFonts w:ascii="Arial" w:cs="Arial" w:eastAsia="Arial" w:hAnsi="Arial"/>
          <w:sz w:val="18"/>
          <w:szCs w:val="18"/>
          <w:color w:val="auto"/>
        </w:rPr>
      </w:pPr>
    </w:p>
    <w:p>
      <w:pPr>
        <w:ind w:left="440" w:right="10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Inhibitors of dipeptidyl peptidase IV, such as sitagliptin or saxagliptin, are a class of drugs that work by blocking the enzyme that normally degrades GLP-1.</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Sulfonylureas and meglitinides, which are classes of drugs that act on the pancreatic cells to stimulate the secretion of insulin.</w:t>
      </w:r>
    </w:p>
    <w:p>
      <w:pPr>
        <w:spacing w:after="0" w:line="90" w:lineRule="exact"/>
        <w:rPr>
          <w:rFonts w:ascii="Arial" w:cs="Arial" w:eastAsia="Arial" w:hAnsi="Arial"/>
          <w:sz w:val="18"/>
          <w:szCs w:val="18"/>
          <w:color w:val="auto"/>
        </w:rPr>
      </w:pPr>
    </w:p>
    <w:p>
      <w:pPr>
        <w:ind w:left="440" w:right="10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Thiazolidinediones, such as pioglitizone, and biguanides, such as metformin, which lower blood glucose by improving the sensitivity of cells to insulin, or diminishing insulin resistance.</w:t>
      </w:r>
    </w:p>
    <w:p>
      <w:pPr>
        <w:spacing w:after="0" w:line="50" w:lineRule="exact"/>
        <w:rPr>
          <w:rFonts w:ascii="Arial" w:cs="Arial" w:eastAsia="Arial" w:hAnsi="Arial"/>
          <w:sz w:val="18"/>
          <w:szCs w:val="18"/>
          <w:color w:val="auto"/>
        </w:rPr>
      </w:pPr>
    </w:p>
    <w:p>
      <w:pPr>
        <w:ind w:left="440" w:right="2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Alpha-glucosidase inhibitors, which lower the amount of glucose absorbed from the intestines, thereby reducing the rise in blood glucose that occurs after a meal.</w:t>
      </w:r>
    </w:p>
    <w:p>
      <w:pPr>
        <w:spacing w:after="0" w:line="50" w:lineRule="exact"/>
        <w:rPr>
          <w:rFonts w:ascii="Arial" w:cs="Arial" w:eastAsia="Arial" w:hAnsi="Arial"/>
          <w:sz w:val="18"/>
          <w:szCs w:val="18"/>
          <w:color w:val="auto"/>
        </w:rPr>
      </w:pPr>
    </w:p>
    <w:p>
      <w:pPr>
        <w:ind w:left="440" w:right="42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SGLT-2 inhibitors, such as dapagliflozin and canagliflozin, are a new class of medications that lower blood glucose by increasing glucose excretion in urine.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9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or FDCA, and other regulations, regulate research and development activities and the development, testing, manufacture, labeling, storage, shipping, approval, recordkeeping, advertising, promotion, sale and distribution of such products. In addition, if any of our subsequently approved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steps typically required before an unapproved new drug or biologic product for use in humans may be marketed in the United States include:</w:t>
      </w:r>
    </w:p>
    <w:p>
      <w:pPr>
        <w:spacing w:after="0" w:line="113" w:lineRule="exact"/>
        <w:rPr>
          <w:sz w:val="20"/>
          <w:szCs w:val="20"/>
          <w:color w:val="auto"/>
        </w:rPr>
      </w:pPr>
    </w:p>
    <w:p>
      <w:pPr>
        <w:ind w:left="440" w:right="80" w:hanging="216"/>
        <w:spacing w:after="0" w:line="256"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62" w:lineRule="exact"/>
        <w:rPr>
          <w:rFonts w:ascii="Arial" w:cs="Arial" w:eastAsia="Arial" w:hAnsi="Arial"/>
          <w:sz w:val="18"/>
          <w:szCs w:val="18"/>
          <w:color w:val="auto"/>
        </w:rPr>
      </w:pPr>
    </w:p>
    <w:p>
      <w:pPr>
        <w:jc w:val="both"/>
        <w:ind w:left="440" w:right="60" w:hanging="216"/>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59" w:lineRule="exact"/>
        <w:rPr>
          <w:rFonts w:ascii="Arial" w:cs="Arial" w:eastAsia="Arial" w:hAnsi="Arial"/>
          <w:sz w:val="18"/>
          <w:szCs w:val="18"/>
          <w:color w:val="auto"/>
        </w:rPr>
      </w:pPr>
    </w:p>
    <w:p>
      <w:pPr>
        <w:jc w:val="both"/>
        <w:ind w:left="440" w:hanging="216"/>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9" w:lineRule="exact"/>
        <w:rPr>
          <w:rFonts w:ascii="Arial" w:cs="Arial" w:eastAsia="Arial" w:hAnsi="Arial"/>
          <w:sz w:val="18"/>
          <w:szCs w:val="18"/>
          <w:color w:val="auto"/>
        </w:rPr>
      </w:pPr>
    </w:p>
    <w:p>
      <w:pPr>
        <w:ind w:left="440" w:hanging="216"/>
        <w:spacing w:after="0" w:line="255"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61" w:lineRule="exact"/>
        <w:rPr>
          <w:rFonts w:ascii="Arial" w:cs="Arial" w:eastAsia="Arial" w:hAnsi="Arial"/>
          <w:sz w:val="18"/>
          <w:szCs w:val="18"/>
          <w:color w:val="auto"/>
        </w:rPr>
      </w:pPr>
    </w:p>
    <w:p>
      <w:pPr>
        <w:ind w:left="660" w:hanging="206"/>
        <w:spacing w:after="0" w:line="25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6" w:lineRule="exact"/>
        <w:rPr>
          <w:rFonts w:ascii="Arial" w:cs="Arial" w:eastAsia="Arial" w:hAnsi="Arial"/>
          <w:sz w:val="18"/>
          <w:szCs w:val="18"/>
          <w:color w:val="auto"/>
        </w:rPr>
      </w:pPr>
    </w:p>
    <w:p>
      <w:pPr>
        <w:ind w:left="660" w:right="180" w:hanging="206"/>
        <w:spacing w:after="0" w:line="26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50" w:lineRule="exact"/>
        <w:rPr>
          <w:rFonts w:ascii="Arial" w:cs="Arial" w:eastAsia="Arial" w:hAnsi="Arial"/>
          <w:sz w:val="18"/>
          <w:szCs w:val="18"/>
          <w:color w:val="auto"/>
        </w:rPr>
      </w:pPr>
    </w:p>
    <w:p>
      <w:pPr>
        <w:ind w:left="660" w:right="180" w:hanging="206"/>
        <w:spacing w:after="0" w:line="256"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62" w:lineRule="exact"/>
        <w:rPr>
          <w:rFonts w:ascii="Arial" w:cs="Arial" w:eastAsia="Arial" w:hAnsi="Arial"/>
          <w:sz w:val="18"/>
          <w:szCs w:val="18"/>
          <w:color w:val="auto"/>
        </w:rPr>
      </w:pPr>
    </w:p>
    <w:p>
      <w:pPr>
        <w:ind w:left="660" w:right="40" w:hanging="206"/>
        <w:spacing w:after="0" w:line="306"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25" w:lineRule="exact"/>
        <w:rPr>
          <w:rFonts w:ascii="Arial" w:cs="Arial" w:eastAsia="Arial" w:hAnsi="Arial"/>
          <w:sz w:val="16"/>
          <w:szCs w:val="16"/>
          <w:color w:val="auto"/>
        </w:rPr>
      </w:pPr>
    </w:p>
    <w:p>
      <w:pPr>
        <w:ind w:left="440" w:right="20" w:hanging="216"/>
        <w:spacing w:after="0" w:line="306"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or cGMP, requirements for drug products. The manufacturing process must be capable of consistently producing quality batches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259" w:lineRule="auto"/>
        <w:rPr>
          <w:sz w:val="20"/>
          <w:szCs w:val="20"/>
          <w:color w:val="auto"/>
        </w:rPr>
      </w:pPr>
      <w:r>
        <w:rPr>
          <w:rFonts w:ascii="Arial" w:cs="Arial" w:eastAsia="Arial" w:hAnsi="Arial"/>
          <w:sz w:val="18"/>
          <w:szCs w:val="18"/>
          <w:color w:val="auto"/>
        </w:rPr>
        <w:t>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59" w:lineRule="exact"/>
        <w:rPr>
          <w:sz w:val="20"/>
          <w:szCs w:val="20"/>
          <w:color w:val="auto"/>
        </w:rPr>
      </w:pPr>
    </w:p>
    <w:p>
      <w:pPr>
        <w:ind w:left="440" w:right="120" w:hanging="216"/>
        <w:spacing w:after="0" w:line="323" w:lineRule="auto"/>
        <w:tabs>
          <w:tab w:leader="none" w:pos="4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Submission to the FDA of an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17"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w:t>
      </w:r>
    </w:p>
    <w:p>
      <w:pPr>
        <w:spacing w:after="0" w:line="63" w:lineRule="exact"/>
        <w:rPr>
          <w:sz w:val="20"/>
          <w:szCs w:val="20"/>
          <w:color w:val="auto"/>
        </w:rPr>
      </w:pPr>
    </w:p>
    <w:p>
      <w:pPr>
        <w:ind w:right="140" w:firstLine="228"/>
        <w:spacing w:after="0" w:line="287" w:lineRule="auto"/>
        <w:rPr>
          <w:sz w:val="20"/>
          <w:szCs w:val="20"/>
          <w:color w:val="auto"/>
        </w:rPr>
      </w:pPr>
      <w:r>
        <w:rPr>
          <w:rFonts w:ascii="Arial" w:cs="Arial" w:eastAsia="Arial" w:hAnsi="Arial"/>
          <w:sz w:val="16"/>
          <w:szCs w:val="16"/>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The FDA considers AFREZZA to be a drug-device combination product, so the review of our NDA for AFREZZA involves reviews within the Division of Metabolism and Endocrinology Products and the Division of Pulmonary, Allergy and Rheumatology Products, both within the FDA’s Center for Drug Evaluation and Research, or CDER, as well as review within the Center for Devices and Radiological Health, the Center within the FDA that reviews Medical Devices. CDER’s Division of Metabolism and Endocrinology Products is the lead group and obtains consulting reviews from the other two FDA groups.</w:t>
      </w:r>
    </w:p>
    <w:p>
      <w:pPr>
        <w:spacing w:after="0" w:line="42"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As a drug-device combination, we currently expect that our inhaler will be approved, if at all, as part of the NDA for AFREZZA. However, numerous device regulatory requirements still apply to the device part of the drug-device combination. These include:</w:t>
      </w:r>
    </w:p>
    <w:p>
      <w:pPr>
        <w:spacing w:after="0" w:line="51" w:lineRule="exact"/>
        <w:rPr>
          <w:sz w:val="20"/>
          <w:szCs w:val="20"/>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labeling regulations;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prohibition against promoting products for unapproved or “off-label” uses;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corrections and removals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90" w:lineRule="exact"/>
        <w:rPr>
          <w:rFonts w:ascii="Arial" w:cs="Arial" w:eastAsia="Arial" w:hAnsi="Arial"/>
          <w:sz w:val="18"/>
          <w:szCs w:val="18"/>
          <w:color w:val="auto"/>
        </w:rPr>
      </w:pPr>
    </w:p>
    <w:p>
      <w:pPr>
        <w:ind w:left="440" w:right="80" w:hanging="216"/>
        <w:spacing w:after="0" w:line="332"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4" w:lineRule="exact"/>
        <w:rPr>
          <w:sz w:val="20"/>
          <w:szCs w:val="20"/>
          <w:color w:val="auto"/>
        </w:rPr>
      </w:pPr>
    </w:p>
    <w:p>
      <w:pPr>
        <w:ind w:right="40" w:firstLine="228"/>
        <w:spacing w:after="0" w:line="357" w:lineRule="auto"/>
        <w:rPr>
          <w:sz w:val="20"/>
          <w:szCs w:val="20"/>
          <w:color w:val="auto"/>
        </w:rPr>
      </w:pPr>
      <w:r>
        <w:rPr>
          <w:rFonts w:ascii="Arial" w:cs="Arial" w:eastAsia="Arial" w:hAnsi="Arial"/>
          <w:sz w:val="15"/>
          <w:szCs w:val="15"/>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ind w:right="20" w:firstLine="228"/>
        <w:spacing w:after="0" w:line="289" w:lineRule="auto"/>
        <w:rPr>
          <w:sz w:val="20"/>
          <w:szCs w:val="20"/>
          <w:color w:val="auto"/>
        </w:rPr>
      </w:pPr>
      <w:r>
        <w:rPr>
          <w:rFonts w:ascii="Arial" w:cs="Arial" w:eastAsia="Arial" w:hAnsi="Arial"/>
          <w:sz w:val="16"/>
          <w:szCs w:val="16"/>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37"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directing us to correct deviations from FDA standards, including corrective advertising to healthcare providers, a requirement that future advertising and promotional materials be pre-cleared by the FDA, and state and federal civil and criminal investigations and prosecutions.</w:t>
      </w:r>
    </w:p>
    <w:p>
      <w:pPr>
        <w:spacing w:after="0" w:line="63"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35"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Product development and approval within this regulatory framework may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4"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Healthcare Regulatory and Pharmaceutical Pricing</w:t>
      </w:r>
    </w:p>
    <w:p>
      <w:pPr>
        <w:spacing w:after="0" w:line="90" w:lineRule="exact"/>
        <w:rPr>
          <w:sz w:val="20"/>
          <w:szCs w:val="20"/>
          <w:color w:val="auto"/>
        </w:rPr>
      </w:pPr>
    </w:p>
    <w:p>
      <w:pPr>
        <w:ind w:right="80" w:firstLine="228"/>
        <w:spacing w:after="0" w:line="286" w:lineRule="auto"/>
        <w:rPr>
          <w:sz w:val="20"/>
          <w:szCs w:val="20"/>
          <w:color w:val="auto"/>
        </w:rPr>
      </w:pPr>
      <w:r>
        <w:rPr>
          <w:rFonts w:ascii="Arial" w:cs="Arial" w:eastAsia="Arial" w:hAnsi="Arial"/>
          <w:sz w:val="16"/>
          <w:szCs w:val="16"/>
          <w:color w:val="auto"/>
        </w:rPr>
        <w:t>If our product candidates are approved by the FDA, government coverage and reimbursement policies will both directly and indirectly affect our ability to successfully commercialize our product candidates, and such coverage and reimbursement policies will be affected by future healthcare reform measures. Government health administration authorities, private health insurers and other organizations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and on country and regional pricing and reimbursement controls in the European Union will put additional pressure on product pricing, reimbursement and usage, which may adversely affect our future product sales and results of operations. These pressures can arise from rules and practices of managed care groups, judicial decisions and governmental laws and regulations related to Medicare, Medicaid and healthcare reform, pharmaceutical reimbursement policies and pricing in general.</w:t>
      </w:r>
    </w:p>
    <w:p>
      <w:pPr>
        <w:spacing w:after="0" w:line="4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Affordability Reconciliation Act, or collectively, PPACA, enacted in March 2010. The Physician Payments Sunshine Act within the PPACA, and its implementing regulations, require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repot annually certain ownership and investment interests held by physicians and their immediate family members.</w:t>
      </w:r>
    </w:p>
    <w:p>
      <w:pPr>
        <w:spacing w:after="0" w:line="42"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Further, if a drug product is reimbursed by Medicare, Medicaid or other federal or state healthcare programs, we, including our sales, marketing and scientific/educational grant programs must comply with the False Claims Act, as amended, the federal Anti-Kickback Statute,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PPACA substantially changes the way healthcare is financed by both governmental and private insurers. Among other cost containment measures, PPACA establishes: an annual, nondeductible fee on any entity that manufactures or imports certain branded prescription drugs and biologic agents; a new Medicare Part D coverage gap discount program; and a new formula that increases the rebates a manufacturer must pay under the Medicaid Drug Rebate Program. In the future, there may continue to be additional proposals relating to the reform of the U.S. health care system, some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26"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39"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and/or limit expenditure for, or payments to, individual medical or health professionals.</w:t>
      </w:r>
    </w:p>
    <w:p>
      <w:pPr>
        <w:spacing w:after="0" w:line="59"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of products from reimbursement under government programs, and the curtailment or restructuring of our operations, any of which could adversely affect our ability to operate our business and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LONG-LIVED ASSETS</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 significant portion of our operating expenses relates to research and development. Our research and development expenses totaled $100.0 million, $101.5 million and $109.7 million for the years ended December 31, 2011, 2012 and 2013, respectively.</w:t>
      </w:r>
    </w:p>
    <w:p>
      <w:pPr>
        <w:spacing w:after="0" w:line="51"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Our long-lived assets located in the United States totaled $193.0 million, $184.0 million and $176.6 million as of December 31, 2011, 2012 and 2013,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As of December 31, 2013, we had 265 full-time employees. Nine of these employees were engaged in basic research and development, 113 in manufacturing, 79 in clinical research and development, regulatory affairs and quality assurance and 64 in administration, finance, management, information systems, marketing, corporate development and human resources. Thirty-six of these employees had a Ph.D. degree and/or M.D. degree and were engaged in activities relating to research and development, manufacturing, quality assurance or business development.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 of our employees are subject to a collective bargaining agreement. We believe relations with our employees are good.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We were incorporated in the State of Delaware on February 14, 1991. Our principal executive offices are located at 28903 North Avenue Paine, Valencia, California 91355, and our telephone number at that address is (661) 775-5300. MannKind Corporation and the MannKind Corporation logo are our service marks. Our website address is http://www.mannkindcorp.com. Our Annual Reports on Form 10-K, Quarterly Reports on Form 10-Q, Current Reports on Form 8-K, and amendments to reports filed pursuant to Sections 13(a) and 15(d) of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Securities Exchange Act of 1934, as amended, or the Exchange Act, are available free of charge on our website as soon as reasonably practicable after we electronically file such material with, or furnish it to, the SEC. The contents of these websites are not incorporated into this Annual Report. Further, our references to the URLs for these websites are intended to be inactive textual reference only.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96"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On February 28, 2014, we amended our existing facility agreement dated July 1, 2013, or the Facility Agreement, with Deerfield Private Design Fund II, L.P., or Deerfield Private Design Fund, and Deerfield Private Design International II, L.P., referred to collectively as Deerfield, to provide for the issuance of tranche B notes to Deerfield in a maximum aggregate principal amount equal to (x) if the FDA approves the NDA for AFFREZZA and Deerfield purchases the fourth tranche of 9.75% Senior Convertible Notes due 2019, or 2019 notes, originally issuable pursuant to the Facility Agreement, 150% of the aggregate principal amount of 2019 notes that Deerfield has converted into our common stock on and after the effective date of the amendment, up to $90.0 million, and (y) otherwise, 33.33% of the aggregate principal amount of 2019 notes that Deerfield has converted into our common stock on and after the effective date of the amendment, up to $20.0 million, in each case subject to the satisfaction of certain other conditions. Any tranche B notes, if and when issued, would bear interest at the rate of 9.75% per year, subject to reduction to 8.75% if we enter into a collaboration with a third party to commercialize AFFREZZA, on the outstanding principal amount, payable in cash quarterly in arrears on the last business day of December, March, June and September of each year. We are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will be prepayable without penalty or premium commencing two years after issuance thereof.</w:t>
      </w:r>
    </w:p>
    <w:p>
      <w:pPr>
        <w:spacing w:after="0" w:line="43"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In addition, pursuant to the amendment, the outstanding 2019 notes held by Deerfield were amended and restated such that Deerfield may, subject to certain limitations, convert up to an additional $60.0 million principal amount under such 2019 notes into common stock after the effective date of the amendment, at a minimum conversion price of $5.00 per share unless we otherwise consent. We also agreed to register for resale up to 12,000,000 shares of common stock issuable upon conversion of the outstanding 2019 notes, as amended and restated, as of the date of the amendment.</w:t>
      </w:r>
    </w:p>
    <w:p>
      <w:pPr>
        <w:spacing w:after="0" w:line="32"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On March 3, 2014, we entered into two At-The-Market Issuance Sales Agreements, or the ATM Agreements, one with MLV &amp; Co. LLC, or MLV, and one with Meyers Associates, L.P. (doing business as Brinson Patrick, a division of Meyers Associates, L.P.), or Brinson Patrick, pursuant to which we may issue and sell our common stock having aggregate sales proceeds of up to $50.0 million from time to time through MLV or Brinson Patrick, acting as our sales agents. We currently anticipate that all or substantially all sales of common stock under the ATM Agreements will be made in “at the market” offerings as defined in Rule 415 of the Securities Act of 1933, as amended, or the Securities Act. We have not yet sold or issued any shares of our common stock under the ATM Agreements.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additional information relating to these recent events, see Section 9B of Part II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96"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4" w:lineRule="exact"/>
        <w:rPr>
          <w:sz w:val="20"/>
          <w:szCs w:val="20"/>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diabetes program has been supported by the following scientific advisors (and their primary affiliations):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68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Primary Affiliation</w:t>
            </w:r>
          </w:p>
        </w:tc>
        <w:tc>
          <w:tcPr>
            <w:tcW w:w="2280" w:type="dxa"/>
            <w:vAlign w:val="bottom"/>
          </w:tcPr>
          <w:p>
            <w:pPr>
              <w:spacing w:after="0"/>
              <w:rPr>
                <w:sz w:val="14"/>
                <w:szCs w:val="14"/>
                <w:color w:val="auto"/>
              </w:rPr>
            </w:pP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Geremia Bolli</w:t>
            </w: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University of Perugia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Steven Edelman, MD</w:t>
            </w:r>
          </w:p>
        </w:tc>
        <w:tc>
          <w:tcPr>
            <w:tcW w:w="3460" w:type="dxa"/>
            <w:vAlign w:val="bottom"/>
            <w:gridSpan w:val="2"/>
          </w:tcPr>
          <w:p>
            <w:pPr>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Brian Frier, MD, FECP, BS</w:t>
            </w:r>
          </w:p>
        </w:tc>
        <w:tc>
          <w:tcPr>
            <w:tcW w:w="3460" w:type="dxa"/>
            <w:vAlign w:val="bottom"/>
            <w:gridSpan w:val="2"/>
          </w:tcPr>
          <w:p>
            <w:pPr>
              <w:spacing w:after="0"/>
              <w:rPr>
                <w:sz w:val="20"/>
                <w:szCs w:val="20"/>
                <w:color w:val="auto"/>
              </w:rPr>
            </w:pPr>
            <w:r>
              <w:rPr>
                <w:rFonts w:ascii="Arial" w:cs="Arial" w:eastAsia="Arial" w:hAnsi="Arial"/>
                <w:sz w:val="18"/>
                <w:szCs w:val="18"/>
                <w:color w:val="auto"/>
              </w:rPr>
              <w:t>Edinburgh Royal Infirmary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Lois Jovanovic, MD</w:t>
            </w:r>
          </w:p>
        </w:tc>
        <w:tc>
          <w:tcPr>
            <w:tcW w:w="3460" w:type="dxa"/>
            <w:vAlign w:val="bottom"/>
            <w:gridSpan w:val="2"/>
          </w:tcPr>
          <w:p>
            <w:pPr>
              <w:spacing w:after="0"/>
              <w:rPr>
                <w:sz w:val="20"/>
                <w:szCs w:val="20"/>
                <w:color w:val="auto"/>
              </w:rPr>
            </w:pPr>
            <w:r>
              <w:rPr>
                <w:rFonts w:ascii="Arial" w:cs="Arial" w:eastAsia="Arial" w:hAnsi="Arial"/>
                <w:sz w:val="18"/>
                <w:szCs w:val="18"/>
                <w:color w:val="auto"/>
              </w:rPr>
              <w:t>Sansum Medical Research Institute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Mark Peyrot, MD</w:t>
            </w:r>
          </w:p>
        </w:tc>
        <w:tc>
          <w:tcPr>
            <w:tcW w:w="3460" w:type="dxa"/>
            <w:vAlign w:val="bottom"/>
            <w:gridSpan w:val="2"/>
          </w:tcPr>
          <w:p>
            <w:pPr>
              <w:spacing w:after="0"/>
              <w:rPr>
                <w:sz w:val="20"/>
                <w:szCs w:val="20"/>
                <w:color w:val="auto"/>
              </w:rPr>
            </w:pPr>
            <w:r>
              <w:rPr>
                <w:rFonts w:ascii="Arial" w:cs="Arial" w:eastAsia="Arial" w:hAnsi="Arial"/>
                <w:sz w:val="18"/>
                <w:szCs w:val="18"/>
                <w:color w:val="auto"/>
              </w:rPr>
              <w:t>Loyola College Center</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Daniel Porte, MD</w:t>
            </w:r>
          </w:p>
        </w:tc>
        <w:tc>
          <w:tcPr>
            <w:tcW w:w="3460" w:type="dxa"/>
            <w:vAlign w:val="bottom"/>
            <w:gridSpan w:val="2"/>
          </w:tcPr>
          <w:p>
            <w:pPr>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Julio Rosenstock, MD</w:t>
            </w:r>
          </w:p>
        </w:tc>
        <w:tc>
          <w:tcPr>
            <w:tcW w:w="3460" w:type="dxa"/>
            <w:vAlign w:val="bottom"/>
            <w:gridSpan w:val="2"/>
          </w:tcPr>
          <w:p>
            <w:pPr>
              <w:spacing w:after="0"/>
              <w:rPr>
                <w:sz w:val="20"/>
                <w:szCs w:val="20"/>
                <w:color w:val="auto"/>
              </w:rPr>
            </w:pPr>
            <w:r>
              <w:rPr>
                <w:rFonts w:ascii="Arial" w:cs="Arial" w:eastAsia="Arial" w:hAnsi="Arial"/>
                <w:sz w:val="18"/>
                <w:szCs w:val="18"/>
                <w:color w:val="auto"/>
              </w:rPr>
              <w:t>Dallas Diabetes and Endocrinology Center</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Jay Skyler, MD, MACP</w:t>
            </w:r>
          </w:p>
        </w:tc>
        <w:tc>
          <w:tcPr>
            <w:tcW w:w="3460" w:type="dxa"/>
            <w:vAlign w:val="bottom"/>
            <w:gridSpan w:val="2"/>
          </w:tcPr>
          <w:p>
            <w:pPr>
              <w:spacing w:after="0"/>
              <w:rPr>
                <w:sz w:val="20"/>
                <w:szCs w:val="20"/>
                <w:color w:val="auto"/>
              </w:rPr>
            </w:pPr>
            <w:r>
              <w:rPr>
                <w:rFonts w:ascii="Arial" w:cs="Arial" w:eastAsia="Arial" w:hAnsi="Arial"/>
                <w:sz w:val="18"/>
                <w:szCs w:val="18"/>
                <w:color w:val="auto"/>
                <w:w w:val="89"/>
              </w:rPr>
              <w:t>University of Miami, Diabetes Research Institute</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our current executive officers and their ages as of December 31,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Position(s)</w:t>
            </w:r>
          </w:p>
        </w:tc>
        <w:tc>
          <w:tcPr>
            <w:tcW w:w="1760" w:type="dxa"/>
            <w:vAlign w:val="bottom"/>
          </w:tcPr>
          <w:p>
            <w:pPr>
              <w:spacing w:after="0"/>
              <w:rPr>
                <w:sz w:val="14"/>
                <w:szCs w:val="14"/>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w w:val="76"/>
              </w:rPr>
              <w:t>Alfred</w:t>
            </w:r>
          </w:p>
        </w:tc>
        <w:tc>
          <w:tcPr>
            <w:tcW w:w="3900" w:type="dxa"/>
            <w:vAlign w:val="bottom"/>
          </w:tcPr>
          <w:p>
            <w:pPr>
              <w:ind w:left="140"/>
              <w:spacing w:after="0" w:line="201" w:lineRule="exact"/>
              <w:rPr>
                <w:sz w:val="20"/>
                <w:szCs w:val="20"/>
                <w:color w:val="auto"/>
              </w:rPr>
            </w:pPr>
            <w:r>
              <w:rPr>
                <w:rFonts w:ascii="Arial" w:cs="Arial" w:eastAsia="Arial" w:hAnsi="Arial"/>
                <w:sz w:val="18"/>
                <w:szCs w:val="18"/>
                <w:color w:val="auto"/>
              </w:rPr>
              <w:t>E. Mann</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88</w:t>
            </w:r>
          </w:p>
        </w:tc>
        <w:tc>
          <w:tcPr>
            <w:tcW w:w="566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and Chief Financial Officer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Juergen A. Martens, Ph.D.</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w w:val="88"/>
              </w:rPr>
              <w:t>Corporate Vice President, Technical Operations and Chief Technical Officer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Diane M. Palumbo</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Human Resources</w:t>
            </w: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David B. Thomson, Ph.D., J.D. .</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566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General Counsel and Secretary</w:t>
            </w:r>
          </w:p>
        </w:tc>
      </w:tr>
    </w:tbl>
    <w:p>
      <w:pPr>
        <w:spacing w:after="0" w:line="75"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i w:val="1"/>
          <w:iCs w:val="1"/>
          <w:color w:val="auto"/>
        </w:rPr>
        <w:t xml:space="preserve">Alfred E. Mann </w:t>
      </w:r>
      <w:r>
        <w:rPr>
          <w:rFonts w:ascii="Arial" w:cs="Arial" w:eastAsia="Arial" w:hAnsi="Arial"/>
          <w:sz w:val="16"/>
          <w:szCs w:val="16"/>
          <w:color w:val="auto"/>
        </w:rPr>
        <w:t>has been one of our directors since April 1999, our Chairman of the Board since December 2001 and our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was non-executive Chairman of both entities. Advanced Bionics LLC was acquired by Sonova Holdings on December 30, 2009. Infusion Systems LLC was acquired by the Alfred E. Mann Foundation in February 2010. Mr. Mann has also founded and is non-executive Chairman of Second Sight Medical Products, Inc., which is developing a visual prosthesis for the blind; Bioness Inc., which is developing rehabilitation neurostimulation systems; Quallion LLC, which produces batteries for medical products and for the military and aerospace industries; and Stellar Microelectronics Inc., a supplier of electronic assemblies to the medical, military and aerospace industries. Mr. Mann also founded and is the managing member of PerQFlo, LLC, which is developing drug delivery systems. Mr. Mann is the managing member of the Alfred Mann Foundation and is also non-executive Chairman of Alfred Mann Institutes at the University of Southern California, AMI Purdue and AMI Technion, and the Alfred Mann Foundation for Biomedical Engineering, which is establishing additional institutes at other research universities. Mr. Mann holds bachelor’s and master’s degrees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Hakan S. Edstrom </w:t>
      </w:r>
      <w:r>
        <w:rPr>
          <w:rFonts w:ascii="Arial" w:cs="Arial" w:eastAsia="Arial" w:hAnsi="Arial"/>
          <w:sz w:val="16"/>
          <w:szCs w:val="16"/>
          <w:color w:val="auto"/>
        </w:rPr>
        <w:t>has been our President and Chief Operating Officer since April 2001 and has served as one of our directors since December 2001.</w:t>
      </w:r>
    </w:p>
    <w:p>
      <w:pPr>
        <w:spacing w:after="0" w:line="38"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was educated in Sweden and holds a master’s degree in Business Administration from the Stockholm School of Economics.</w:t>
      </w:r>
    </w:p>
    <w:p>
      <w:pPr>
        <w:spacing w:after="0" w:line="34"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i w:val="1"/>
          <w:iCs w:val="1"/>
          <w:color w:val="auto"/>
        </w:rPr>
        <w:t xml:space="preserve">Matthew J. Pfeffer </w:t>
      </w:r>
      <w:r>
        <w:rPr>
          <w:rFonts w:ascii="Arial" w:cs="Arial" w:eastAsia="Arial" w:hAnsi="Arial"/>
          <w:sz w:val="16"/>
          <w:szCs w:val="16"/>
          <w:color w:val="auto"/>
        </w:rPr>
        <w:t>has been our Corporate Vice President and Chief Financial Officer since April 2008. Previously, Mr. Pfeffer served 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graduated from the University of California, Berkeley and is a Certified Public Accountant.</w:t>
      </w:r>
    </w:p>
    <w:p>
      <w:pPr>
        <w:spacing w:after="0" w:line="3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i w:val="1"/>
          <w:iCs w:val="1"/>
          <w:color w:val="auto"/>
        </w:rPr>
        <w:t xml:space="preserve">Juergen A. Martens, Ph.D. </w:t>
      </w:r>
      <w:r>
        <w:rPr>
          <w:rFonts w:ascii="Arial" w:cs="Arial" w:eastAsia="Arial" w:hAnsi="Arial"/>
          <w:sz w:val="16"/>
          <w:szCs w:val="16"/>
          <w:color w:val="auto"/>
        </w:rPr>
        <w:t>has been our Corporate Vice President of Operations and Chief Technology Officer since September 2005. From 2000 to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2005, he was employed by Nektar Therapeutics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39"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i w:val="1"/>
          <w:iCs w:val="1"/>
          <w:color w:val="auto"/>
        </w:rPr>
        <w:t xml:space="preserve">Diane M. Palumbo </w:t>
      </w:r>
      <w:r>
        <w:rPr>
          <w:rFonts w:ascii="Arial" w:cs="Arial" w:eastAsia="Arial" w:hAnsi="Arial"/>
          <w:sz w:val="18"/>
          <w:szCs w:val="18"/>
          <w:color w:val="auto"/>
        </w:rPr>
        <w:t>has been our Corporate Vice President of Human Resources since November 2004. From July 2003 to November 2004, she was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New York and a bachelor’s degree, magna cum laude, also from St. John’s University.</w:t>
      </w:r>
    </w:p>
    <w:p>
      <w:pPr>
        <w:spacing w:after="0" w:line="62"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i w:val="1"/>
          <w:iCs w:val="1"/>
          <w:color w:val="auto"/>
        </w:rPr>
        <w:t xml:space="preserve">David B. Thomson, Ph.D., J.D. </w:t>
      </w:r>
      <w:r>
        <w:rPr>
          <w:rFonts w:ascii="Arial" w:cs="Arial" w:eastAsia="Arial" w:hAnsi="Arial"/>
          <w:sz w:val="18"/>
          <w:szCs w:val="18"/>
          <w:color w:val="auto"/>
        </w:rPr>
        <w:t>has been our Corporate Vice President, General Counsel and Corporate Secretary since January 2002. Prior to joining us, he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practiced corporate/commercial and securities law at a major Toronto law firm. Earlier in his career, Dr. Thomson was a post-doctoral fellow at the Rockefeller University. Dr. Thomson obtained his bachelor’s degree, master’s degree and Ph.D. degree from Queens University and obtained his J.D. degree from the University of Toronto.</w:t>
      </w:r>
    </w:p>
    <w:p>
      <w:pPr>
        <w:spacing w:after="0" w:line="62" w:lineRule="exact"/>
        <w:rPr>
          <w:sz w:val="20"/>
          <w:szCs w:val="20"/>
          <w:color w:val="auto"/>
        </w:rPr>
      </w:pPr>
    </w:p>
    <w:p>
      <w:pPr>
        <w:ind w:right="400" w:firstLine="228"/>
        <w:spacing w:after="0" w:line="391" w:lineRule="auto"/>
        <w:rPr>
          <w:sz w:val="20"/>
          <w:szCs w:val="20"/>
          <w:color w:val="auto"/>
        </w:rPr>
      </w:pPr>
      <w:r>
        <w:rPr>
          <w:rFonts w:ascii="Arial" w:cs="Arial" w:eastAsia="Arial" w:hAnsi="Arial"/>
          <w:sz w:val="18"/>
          <w:szCs w:val="18"/>
          <w:color w:val="auto"/>
        </w:rPr>
        <w:t xml:space="preserve">Executive officers serve at the discretion of our Board of Directors. There are no family relationships between any of our directors and executive officers. </w:t>
      </w: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13"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on the successful development and commercialization of AFREZZA.</w:t>
      </w:r>
    </w:p>
    <w:p>
      <w:pPr>
        <w:spacing w:after="0" w:line="62"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In August 2013, we released the results of two Phase 3 clinical studies of AFREZZA, both of which met their primary efficacy endpoints and safety objectives.</w:t>
      </w:r>
    </w:p>
    <w:p>
      <w:pPr>
        <w:spacing w:after="0" w:line="5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October 2013, we submitted the full results of these studies to the FDA as an amendment to our AFREZZA NDA. The Endocrinologic and Metabolic Drugs Advisory Committee of the FDA is scheduled to discuss our NDA on April 1, 2014. The target date for the FDA to complete its review of the AFREZZA NDA is April 15, 2014. However, the data collected from these clinical studies may not be sufficient to support FDA approval. Moreover, there can be no assurance that we will satisfy all of the FDA’s requirements for approval of AFREZZA. The FDA could also request that we conduct additional clinical studies in order to provide sufficient data for approval of AFREZZA. There can be no assurance that we will obtain approval of the NDA in a timely manner, or at all.</w:t>
      </w:r>
    </w:p>
    <w:p>
      <w:pPr>
        <w:spacing w:after="0" w:line="35"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We must receive the necessary approvals from the FDA before AFREZZA can be marketed and sold in the United States and must receive the necessary approvals from similar foreign regulatory agencies before AFREZZA can be marketed outside of the United States. Even if we were to receive regulatory approval, we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our business, financial condition and results of operations will be materially and adversely affected.</w:t>
      </w:r>
    </w:p>
    <w:p>
      <w:pPr>
        <w:spacing w:after="0" w:line="35"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59"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and our Technosphere platform technology.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13"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studies, regulatory clearances and additional investment before they can be commercialized. We cannot be certain when AFREZZA may be approved or if it will be approved.</w:t>
      </w:r>
    </w:p>
    <w:p>
      <w:pPr>
        <w:spacing w:after="0" w:line="2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We have never been profitable or generated positive cash flow from operations and, as of December 31, 2013, we had incurred a cumulative net loss of $2.3 billion. The cumulative net loss has resulted principally from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studies, seek regulatory approvals and market our product candidates, including AFREZZA. This cumulative net loss may increase significantly as we continue development and clinical study efforts. Our losses have had, and are expected to continue to have, an adverse impact on our working capital, total assets and stockholders’ equity. As of December 31, 2013, we had a stockholders’ deficit of $30.7 million. Our ability to achieve and sustain positive cash flow from operations and profitability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20"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5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Based on our current expectations, we believe that our existing capital resources will enable us to continue planned operations at least into the third quarter of 2014. We cannot assure you that our plans will not change or that changed circumstances will not result in the depletion of our capital resources more rapidly than we currently anticipate. We will need to raise additional funds, through the sale of equity or debt securities, the entry into strategic business collaborations, the establishment of other funding facilities, licensing arrangements, asset sales, through additional borrowings from The Mann Group, or other means, in order to continue the development and commercialization of AFREZZA and other product candidates and to support our other ongoing activities. It may be difficult for us to raise additional funds on favorable terms, or at all. As of December 31, 2013, we had a stockholders’ deficit of $30.7 million which may raise concerns about our solvency and affect our ability to raise additional capital. The amount of additional funds we need will depend on a number of factors, including:</w:t>
      </w:r>
    </w:p>
    <w:p>
      <w:pPr>
        <w:spacing w:after="0" w:line="37" w:lineRule="exact"/>
        <w:rPr>
          <w:sz w:val="20"/>
          <w:szCs w:val="20"/>
          <w:color w:val="auto"/>
        </w:rPr>
      </w:pPr>
    </w:p>
    <w:p>
      <w:pPr>
        <w:ind w:left="440" w:right="6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any or all of the holders of our 5.75% senior convertible notes due 2015, or the 2015 notes, to require us to repay or repurchase such notes if and when required;</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2015 notes which mature in August 2015;</w:t>
      </w:r>
    </w:p>
    <w:p>
      <w:pPr>
        <w:spacing w:after="0" w:line="90" w:lineRule="exact"/>
        <w:rPr>
          <w:rFonts w:ascii="Arial" w:cs="Arial" w:eastAsia="Arial" w:hAnsi="Arial"/>
          <w:sz w:val="18"/>
          <w:szCs w:val="18"/>
          <w:color w:val="auto"/>
        </w:rPr>
      </w:pPr>
    </w:p>
    <w:p>
      <w:pPr>
        <w:ind w:left="440" w:right="200" w:hanging="216"/>
        <w:spacing w:after="0" w:line="33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satisfaction of the conditions to the sale and purchase of 2019 notes and/or tranche B notes under the Facility Agreement, or failing the satisfaction of such conditions, whether Deerfield chooses to waive satisfaction of such conditions and purchase additional 2019 notes and/or tranche B notes;</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2015 notes or 2019 notes are converted into shares of our common stock;</w:t>
      </w:r>
    </w:p>
    <w:p>
      <w:pPr>
        <w:spacing w:after="0" w:line="90" w:lineRule="exact"/>
        <w:rPr>
          <w:rFonts w:ascii="Arial" w:cs="Arial" w:eastAsia="Arial" w:hAnsi="Arial"/>
          <w:sz w:val="18"/>
          <w:szCs w:val="18"/>
          <w:color w:val="auto"/>
        </w:rPr>
      </w:pPr>
    </w:p>
    <w:p>
      <w:pPr>
        <w:ind w:left="440" w:right="16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progress and costs of our clinical studies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440" w:right="20" w:hanging="216"/>
        <w:spacing w:after="0" w:line="25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or the Milestone Rights, issued to the Deerfield Private Design Fund and Horizon Santé FLML SÁRL, referred to collectively as the Milestone Purchasers pursuant to our Milestone Rights Purchase Agreement dated July 1, 2013, or the Milestone Agreement;</w:t>
      </w:r>
    </w:p>
    <w:p>
      <w:pPr>
        <w:spacing w:after="0" w:line="59" w:lineRule="exact"/>
        <w:rPr>
          <w:rFonts w:ascii="Arial" w:cs="Arial" w:eastAsia="Arial" w:hAnsi="Arial"/>
          <w:sz w:val="18"/>
          <w:szCs w:val="18"/>
          <w:color w:val="auto"/>
        </w:rPr>
      </w:pPr>
    </w:p>
    <w:p>
      <w:pPr>
        <w:ind w:left="440" w:right="40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50" w:lineRule="exact"/>
        <w:rPr>
          <w:rFonts w:ascii="Arial" w:cs="Arial" w:eastAsia="Arial" w:hAnsi="Arial"/>
          <w:sz w:val="18"/>
          <w:szCs w:val="18"/>
          <w:color w:val="auto"/>
        </w:rPr>
      </w:pPr>
    </w:p>
    <w:p>
      <w:pPr>
        <w:ind w:left="440" w:right="130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applications for regulatory approvals for our product candidates, including AFREZZA, either ourselves or with any commercialization partner;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 candidates and competitive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90" w:lineRule="exact"/>
        <w:rPr>
          <w:rFonts w:ascii="Arial" w:cs="Arial" w:eastAsia="Arial" w:hAnsi="Arial"/>
          <w:sz w:val="18"/>
          <w:szCs w:val="18"/>
          <w:color w:val="auto"/>
        </w:rPr>
      </w:pPr>
    </w:p>
    <w:p>
      <w:pPr>
        <w:ind w:left="440" w:right="38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litigation;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90" w:lineRule="exact"/>
        <w:rPr>
          <w:sz w:val="20"/>
          <w:szCs w:val="20"/>
          <w:color w:val="auto"/>
        </w:rPr>
      </w:pPr>
    </w:p>
    <w:p>
      <w:pPr>
        <w:ind w:firstLine="228"/>
        <w:spacing w:after="0" w:line="307" w:lineRule="auto"/>
        <w:rPr>
          <w:sz w:val="20"/>
          <w:szCs w:val="20"/>
          <w:color w:val="auto"/>
        </w:rPr>
      </w:pPr>
      <w:r>
        <w:rPr>
          <w:rFonts w:ascii="Arial" w:cs="Arial" w:eastAsia="Arial" w:hAnsi="Arial"/>
          <w:sz w:val="15"/>
          <w:szCs w:val="15"/>
          <w:color w:val="auto"/>
        </w:rPr>
        <w:t>We have raised capital in the past through the sale of equity and debt securities. We may in the future pursue the sale of additional equity and/or debt securities, including sales of our common stock through the ATM Agreements, or the establishment of other funding facilities including asset 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31"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6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We do not anticipate generating operating cash flow before AFREZZA is commercialized, which we expect will require us to reach an agreement with a commercialization partner, and therefore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debt pursuant to our 2015 notes and 2019 notes and may be unable to make required payments of interest and principal as they become due.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2013, we had $213.5 million of outstanding debt pursuant to our 2015 notes and 2019 notes, consisting of:</w:t>
      </w:r>
    </w:p>
    <w:p>
      <w:pPr>
        <w:spacing w:after="0" w:line="90" w:lineRule="exact"/>
        <w:rPr>
          <w:sz w:val="20"/>
          <w:szCs w:val="20"/>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$113.5 million principal amount of 2019 notes bearing interest at 9.75% per annum and maturing between 2016 and December 31, 2019.</w:t>
      </w:r>
    </w:p>
    <w:p>
      <w:pPr>
        <w:spacing w:after="0" w:line="90" w:lineRule="exact"/>
        <w:rPr>
          <w:sz w:val="20"/>
          <w:szCs w:val="20"/>
          <w:color w:val="auto"/>
        </w:rPr>
      </w:pPr>
    </w:p>
    <w:p>
      <w:pPr>
        <w:ind w:firstLine="228"/>
        <w:spacing w:after="0" w:line="304" w:lineRule="auto"/>
        <w:rPr>
          <w:sz w:val="20"/>
          <w:szCs w:val="20"/>
          <w:color w:val="auto"/>
        </w:rPr>
      </w:pPr>
      <w:r>
        <w:rPr>
          <w:rFonts w:ascii="Arial" w:cs="Arial" w:eastAsia="Arial" w:hAnsi="Arial"/>
          <w:sz w:val="15"/>
          <w:szCs w:val="15"/>
          <w:color w:val="auto"/>
        </w:rPr>
        <w:t>In addition, pursuant to the Facility Agreement, we may issue up to $40.0 million principal amount of additional 2019 notes subject to receipt of approval of AFREZZA from the FDA prior to December 30, 2014 and, pursuant to the February 28, 2014 amendment to the Facility Agreement, tranche B notes in a maximum principal amount equal to (x) if the FDA approves the NDA for AFFREZZA and Deerfield purchases the fourth tranche of 2019 notes, 150% of the aggregate principal amount of the 2019 notes that Deerfield has converted into our common stock on and after the effective date of the amendment to the Facility Agreement, up to $90.0 million, and (y) otherwise, 33.33% of the aggregate principal amount of the 2019 notes that Deerfield has converted into our common stock on and after the effective date of the amendment of the Facility Agreement, up to $20.0 million, in each case subject to the satisfaction of certain other conditions. There can be no assurance that we will have sufficient resources to make any required repayments of principal under the 2015 notes, 2019 notes or, if issued, tranche B notes when required. Further, if we undergo a fundamental change, as that term is defined in the indentures governing the terms of the 2015 notes, or certain Major Transactions as defined in the Facility Agreement in respect of the 2019 notes and, if issued, tranche B notes, each holder of the applicable notes will have the option to require us to repurchase all or any portion of such holder’s notes at a repurchase price of 100% of the principal amount of such notes to be repurchased plus accrued and unpaid interest, if any. The 2015 notes bear interest at the rate of 5.75% per year on the outstanding principal amount, payable in cash semiannually in arrears on February 15 and August 15 of each year, and the 2019 notes bear interest at the rate of 9.75% per year on the outstanding principal amount, payable in cash quarterly in arrears on the last business day of December, March, June and September of each year. Any tranche B notes, if and when issued, would bear interest at the rate of 9.75% per year, subject to reduction to 8.75% if we enter into a collaboration with a third party to commercialize AFFREZZA, on the outstanding principal amount, payable in cash quarterly in arrears on the last business day of December, March, June and September of each year. While we have been able to timely make our required interest payments to date, we cannot guarantee that we will be able to do so in the future. If we fail to pay interest on the 2015 notes, 2019 notes or, if issued, tranche B notes, or if we fail to repay or repurchase the 2015 notes, 2019 notes or, if issued, tranche B notes, when required, we will be in default under the indenture or other applicable instrument 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333" w:lineRule="exact"/>
        <w:rPr>
          <w:sz w:val="20"/>
          <w:szCs w:val="20"/>
          <w:color w:val="auto"/>
        </w:rPr>
      </w:pPr>
    </w:p>
    <w:p>
      <w:pPr>
        <w:ind w:left="120" w:right="60"/>
        <w:spacing w:after="0" w:line="268" w:lineRule="auto"/>
        <w:rPr>
          <w:sz w:val="20"/>
          <w:szCs w:val="20"/>
          <w:color w:val="auto"/>
        </w:rPr>
      </w:pPr>
      <w:r>
        <w:rPr>
          <w:rFonts w:ascii="Arial" w:cs="Arial" w:eastAsia="Arial" w:hAnsi="Arial"/>
          <w:sz w:val="18"/>
          <w:szCs w:val="18"/>
          <w:b w:val="1"/>
          <w:bCs w:val="1"/>
          <w:i w:val="1"/>
          <w:iCs w:val="1"/>
          <w:color w:val="auto"/>
        </w:rPr>
        <w:t>Our agreements with Deerfield relating to our 2019 notes, tranche B notes and the Milestone Rights contain covenants that we may not be able to meet and place restrictions on our operating and financial flexibility.</w:t>
      </w:r>
    </w:p>
    <w:p>
      <w:pPr>
        <w:spacing w:after="0" w:line="5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Our indebtedness under the Facility Agreement, including any indebtedness under the 2019 notes and any future indebtedness we incur as the result of our sale of additional 2019 notes and/or tranche B notes is secured by substantially all of our assets, including our intellectual property, accounts receivables, equipment, general intangibles, inventory (including the insulin inventory) and investment property, and all of the proceeds and products of the foregoing. Our obligations under the Facility Agreement and the Milestone Agreement are also secured by certain mortgages on our facilities in Danbury, Connecticut and Valencia, California.</w:t>
      </w:r>
    </w:p>
    <w:p>
      <w:pPr>
        <w:spacing w:after="0" w:line="62" w:lineRule="exact"/>
        <w:rPr>
          <w:sz w:val="20"/>
          <w:szCs w:val="20"/>
          <w:color w:val="auto"/>
        </w:rPr>
      </w:pPr>
    </w:p>
    <w:p>
      <w:pPr>
        <w:ind w:right="500" w:firstLine="228"/>
        <w:spacing w:after="0" w:line="306" w:lineRule="auto"/>
        <w:rPr>
          <w:sz w:val="20"/>
          <w:szCs w:val="20"/>
          <w:color w:val="auto"/>
        </w:rPr>
      </w:pPr>
      <w:r>
        <w:rPr>
          <w:rFonts w:ascii="Arial" w:cs="Arial" w:eastAsia="Arial" w:hAnsi="Arial"/>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loan arrangement with The Mann Group, falling below $25.0 million as of the last day of any fiscal quarter; our failure to timely deliver any shares issuable upon conversion of the 2019 notes; and our failure to cause the shares issuable upon conversion of the 2019 notes to be freely tradable within certain agreed upon timeframes.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46"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There can be no assurance that we will be able to comply with the covenants under any of the foregoing agreements, and we cannot predict whether the holders of the 2019 notes or tranche B notes would demand repayment of the outstanding balance of the 2019 notes or tranche B notes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In the event of certain future defaults under the foregoing agreements for which we are not able to obtain waivers, the holders of the 2015 notes, 2019 notes and tranche B notes may accelerate all of our repayment obligations, and, with respect to the 2019 notes and tranche B notes, take control of our pledged assets, potentially requiring us to renegotiate the terms of our indebtedness on terms less favorable to us, or to immediately cease operations.</w:t>
      </w:r>
    </w:p>
    <w:p>
      <w:pPr>
        <w:spacing w:after="0" w:line="39"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debt would be senior to the rights of the holders of our common stock to receive any proceeds from the liquidation.</w:t>
      </w:r>
    </w:p>
    <w:p>
      <w:pPr>
        <w:spacing w:after="0" w:line="140" w:lineRule="exact"/>
        <w:rPr>
          <w:sz w:val="20"/>
          <w:szCs w:val="20"/>
          <w:color w:val="auto"/>
        </w:rPr>
      </w:pPr>
    </w:p>
    <w:p>
      <w:pPr>
        <w:ind w:left="120" w:right="18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5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research and development activities;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9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143"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51" w:lineRule="exact"/>
        <w:rPr>
          <w:sz w:val="20"/>
          <w:szCs w:val="20"/>
          <w:color w:val="auto"/>
        </w:rPr>
      </w:pPr>
    </w:p>
    <w:p>
      <w:pPr>
        <w:ind w:right="120" w:firstLine="228"/>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17"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62" w:lineRule="exact"/>
        <w:rPr>
          <w:sz w:val="20"/>
          <w:szCs w:val="20"/>
          <w:color w:val="auto"/>
        </w:rPr>
      </w:pPr>
    </w:p>
    <w:p>
      <w:pPr>
        <w:jc w:val="both"/>
        <w:ind w:right="80" w:firstLine="228"/>
        <w:spacing w:after="0" w:line="259"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90"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will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studies, manufacturing and/or marketing activities at our own expense, which would delay or otherwise impede the commercialization of AFREZZA. 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would be required in order to educate these physicians about the benefits and advantages of AFREZZA and to provide adequate support for them. With respect to the commercialization of AFREZZA, if approved, if we fail to enter into collaborations, we would be required to</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many of whom have substantially more resources and experience than we do.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39"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efforts.</w:t>
      </w:r>
    </w:p>
    <w:p>
      <w:pPr>
        <w:spacing w:after="0" w:line="144" w:lineRule="exact"/>
        <w:rPr>
          <w:sz w:val="20"/>
          <w:szCs w:val="20"/>
          <w:color w:val="auto"/>
        </w:rPr>
      </w:pPr>
    </w:p>
    <w:p>
      <w:pPr>
        <w:ind w:left="120" w:right="1020"/>
        <w:spacing w:after="0" w:line="33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4"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2"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studies,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40" w:lineRule="exact"/>
        <w:rPr>
          <w:sz w:val="20"/>
          <w:szCs w:val="20"/>
          <w:color w:val="auto"/>
        </w:rPr>
      </w:pPr>
    </w:p>
    <w:p>
      <w:pPr>
        <w:ind w:left="120" w:right="800"/>
        <w:spacing w:after="0" w:line="268" w:lineRule="auto"/>
        <w:rPr>
          <w:sz w:val="20"/>
          <w:szCs w:val="20"/>
          <w:color w:val="auto"/>
        </w:rPr>
      </w:pPr>
      <w:r>
        <w:rPr>
          <w:rFonts w:ascii="Arial" w:cs="Arial" w:eastAsia="Arial" w:hAnsi="Arial"/>
          <w:sz w:val="18"/>
          <w:szCs w:val="18"/>
          <w:b w:val="1"/>
          <w:bCs w:val="1"/>
          <w:i w:val="1"/>
          <w:iCs w:val="1"/>
          <w:color w:val="auto"/>
        </w:rPr>
        <w:t>Continued testing of our product candidates, including AFREZZA, may not yield successful results, and even if it does, we may still be unable to commercialize our product candidates.</w:t>
      </w:r>
    </w:p>
    <w:p>
      <w:pPr>
        <w:spacing w:after="0" w:line="51"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prevent commercialization of any of our product candidates, including the following:</w:t>
      </w:r>
    </w:p>
    <w:p>
      <w:pPr>
        <w:spacing w:after="0" w:line="59" w:lineRule="exact"/>
        <w:rPr>
          <w:sz w:val="20"/>
          <w:szCs w:val="20"/>
          <w:color w:val="auto"/>
        </w:rPr>
      </w:pPr>
    </w:p>
    <w:p>
      <w:pPr>
        <w:ind w:left="440" w:right="80" w:hanging="216"/>
        <w:spacing w:after="0" w:line="33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w:t>
      </w:r>
    </w:p>
    <w:p>
      <w:pPr>
        <w:spacing w:after="0" w:line="4" w:lineRule="exact"/>
        <w:rPr>
          <w:rFonts w:ascii="Arial" w:cs="Arial" w:eastAsia="Arial" w:hAnsi="Arial"/>
          <w:sz w:val="16"/>
          <w:szCs w:val="16"/>
          <w:color w:val="auto"/>
        </w:rPr>
      </w:pPr>
    </w:p>
    <w:p>
      <w:pPr>
        <w:ind w:left="440" w:right="100" w:hanging="216"/>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after reviewing preclinical and/or clinical data, we or any potential collaborators may abandon projects that we previously believed were promising; and</w:t>
      </w:r>
    </w:p>
    <w:p>
      <w:pPr>
        <w:spacing w:after="0" w:line="113" w:lineRule="exact"/>
        <w:rPr>
          <w:rFonts w:ascii="Arial" w:cs="Arial" w:eastAsia="Arial" w:hAnsi="Arial"/>
          <w:sz w:val="16"/>
          <w:szCs w:val="16"/>
          <w:color w:val="auto"/>
        </w:rPr>
      </w:pPr>
    </w:p>
    <w:p>
      <w:pPr>
        <w:ind w:left="440" w:right="40" w:hanging="216"/>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clinical results. If use of a drug results in adverse health effects or reduced efficacy or both, the FDA or other regulatory agencies may terminate our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and results of operations and the market price of our common stock may decline.</w:t>
      </w:r>
    </w:p>
    <w:p>
      <w:pPr>
        <w:spacing w:after="0" w:line="140" w:lineRule="exact"/>
        <w:rPr>
          <w:sz w:val="20"/>
          <w:szCs w:val="20"/>
          <w:color w:val="auto"/>
        </w:rPr>
      </w:pPr>
    </w:p>
    <w:p>
      <w:pPr>
        <w:ind w:left="120" w:right="140"/>
        <w:spacing w:after="0" w:line="357"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ind w:right="60" w:firstLine="228"/>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18" w:lineRule="exact"/>
        <w:rPr>
          <w:sz w:val="20"/>
          <w:szCs w:val="20"/>
          <w:color w:val="auto"/>
        </w:rPr>
      </w:pPr>
    </w:p>
    <w:p>
      <w:pPr>
        <w:ind w:left="120" w:right="320"/>
        <w:spacing w:after="0" w:line="357"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ind w:firstLine="228"/>
        <w:spacing w:after="0" w:line="288"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two inspections by the FDA, our facility may need to undergo further inspection before we can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39"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Any of these factors could cause us to delay or suspend clinical studies,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440" w:right="240" w:hanging="216"/>
        <w:spacing w:after="0" w:line="33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440" w:right="500" w:hanging="216"/>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90"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32"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b w:val="1"/>
          <w:bCs w:val="1"/>
          <w:i w:val="1"/>
          <w:iCs w:val="1"/>
          <w:color w:val="auto"/>
        </w:rPr>
        <w:t>If third-party payors do not cover any products for which we receive regulatory approval or adequately reimburse consumers for any such products, our products might not be used or purchased, which would adversely affect our revenues.</w:t>
      </w:r>
    </w:p>
    <w:p>
      <w:pPr>
        <w:spacing w:after="0" w:line="5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39"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24"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37"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If we are unable to obtain coverage of, and adequate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even if we have products that are approved.</w:t>
      </w:r>
    </w:p>
    <w:p>
      <w:pPr>
        <w:spacing w:after="0" w:line="90" w:lineRule="exact"/>
        <w:rPr>
          <w:sz w:val="20"/>
          <w:szCs w:val="20"/>
          <w:color w:val="auto"/>
        </w:rPr>
      </w:pPr>
    </w:p>
    <w:p>
      <w:pPr>
        <w:ind w:right="380" w:firstLine="228"/>
        <w:spacing w:after="0" w:line="294"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healthcare industry. Among the provisions of PPACA of importance to our potential product candidates are the following:</w:t>
      </w:r>
    </w:p>
    <w:p>
      <w:pPr>
        <w:spacing w:after="0" w:line="35" w:lineRule="exact"/>
        <w:rPr>
          <w:sz w:val="20"/>
          <w:szCs w:val="20"/>
          <w:color w:val="auto"/>
        </w:rPr>
      </w:pPr>
    </w:p>
    <w:p>
      <w:pPr>
        <w:ind w:left="440" w:right="20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50" w:lineRule="exact"/>
        <w:rPr>
          <w:rFonts w:ascii="Arial" w:cs="Arial" w:eastAsia="Arial" w:hAnsi="Arial"/>
          <w:sz w:val="18"/>
          <w:szCs w:val="18"/>
          <w:color w:val="auto"/>
        </w:rPr>
      </w:pPr>
    </w:p>
    <w:p>
      <w:pPr>
        <w:ind w:left="440" w:right="54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50" w:lineRule="exact"/>
        <w:rPr>
          <w:rFonts w:ascii="Arial" w:cs="Arial" w:eastAsia="Arial" w:hAnsi="Arial"/>
          <w:sz w:val="18"/>
          <w:szCs w:val="18"/>
          <w:color w:val="auto"/>
        </w:rPr>
      </w:pPr>
    </w:p>
    <w:p>
      <w:pPr>
        <w:ind w:left="440" w:right="26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50" w:lineRule="exact"/>
        <w:rPr>
          <w:rFonts w:ascii="Arial" w:cs="Arial" w:eastAsia="Arial" w:hAnsi="Arial"/>
          <w:sz w:val="18"/>
          <w:szCs w:val="18"/>
          <w:color w:val="auto"/>
        </w:rPr>
      </w:pPr>
    </w:p>
    <w:p>
      <w:pPr>
        <w:ind w:left="440" w:right="240" w:hanging="216"/>
        <w:spacing w:after="0" w:line="268"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50" w:lineRule="exact"/>
        <w:rPr>
          <w:rFonts w:ascii="Arial" w:cs="Arial" w:eastAsia="Arial" w:hAnsi="Arial"/>
          <w:sz w:val="18"/>
          <w:szCs w:val="18"/>
          <w:color w:val="auto"/>
        </w:rPr>
      </w:pPr>
    </w:p>
    <w:p>
      <w:pPr>
        <w:ind w:left="440" w:right="40" w:hanging="216"/>
        <w:spacing w:after="0" w:line="25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extension of manufacturers’ Medicaid rebate liability to covered drugs dispensed to individuals who are enrolled in Medicaid managed care organizations;</w:t>
      </w:r>
    </w:p>
    <w:p>
      <w:pPr>
        <w:spacing w:after="0" w:line="113" w:lineRule="exact"/>
        <w:rPr>
          <w:rFonts w:ascii="Arial" w:cs="Arial" w:eastAsia="Arial" w:hAnsi="Arial"/>
          <w:sz w:val="16"/>
          <w:szCs w:val="16"/>
          <w:color w:val="auto"/>
        </w:rPr>
      </w:pPr>
    </w:p>
    <w:p>
      <w:pPr>
        <w:ind w:left="440" w:right="120" w:hanging="216"/>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59"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0" w:lineRule="exact"/>
        <w:rPr>
          <w:rFonts w:ascii="Arial" w:cs="Arial" w:eastAsia="Arial" w:hAnsi="Arial"/>
          <w:sz w:val="18"/>
          <w:szCs w:val="18"/>
          <w:color w:val="auto"/>
        </w:rPr>
      </w:pPr>
    </w:p>
    <w:p>
      <w:pPr>
        <w:ind w:left="440" w:hanging="216"/>
        <w:spacing w:after="0" w:line="255"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reporting to the Centers for Medicare &amp; Medicaid Services, or CMS, required by March 31, 2014 and by the 90th day of each subsequent calendar year;</w:t>
      </w:r>
    </w:p>
    <w:p>
      <w:pPr>
        <w:spacing w:after="0" w:line="61"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90" w:lineRule="exact"/>
        <w:rPr>
          <w:rFonts w:ascii="Arial" w:cs="Arial" w:eastAsia="Arial" w:hAnsi="Arial"/>
          <w:sz w:val="18"/>
          <w:szCs w:val="18"/>
          <w:color w:val="auto"/>
        </w:rPr>
      </w:pPr>
    </w:p>
    <w:p>
      <w:pPr>
        <w:ind w:left="440" w:right="160" w:hanging="216"/>
        <w:spacing w:after="0" w:line="26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37"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13" w:lineRule="exact"/>
        <w:rPr>
          <w:sz w:val="20"/>
          <w:szCs w:val="20"/>
          <w:color w:val="auto"/>
        </w:rPr>
      </w:pPr>
    </w:p>
    <w:p>
      <w:pPr>
        <w:ind w:left="120" w:right="420"/>
        <w:spacing w:after="0" w:line="332"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4"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62" w:lineRule="exact"/>
        <w:rPr>
          <w:sz w:val="20"/>
          <w:szCs w:val="20"/>
          <w:color w:val="auto"/>
        </w:rPr>
      </w:pPr>
    </w:p>
    <w:p>
      <w:pPr>
        <w:ind w:left="440" w:right="420" w:hanging="216"/>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4" w:lineRule="exact"/>
        <w:rPr>
          <w:sz w:val="20"/>
          <w:szCs w:val="20"/>
          <w:color w:val="auto"/>
        </w:rPr>
      </w:pPr>
    </w:p>
    <w:p>
      <w:pPr>
        <w:ind w:left="440" w:right="240" w:hanging="216"/>
        <w:spacing w:after="0" w:line="332"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4" w:lineRule="exact"/>
        <w:rPr>
          <w:rFonts w:ascii="Arial" w:cs="Arial" w:eastAsia="Arial" w:hAnsi="Arial"/>
          <w:sz w:val="16"/>
          <w:szCs w:val="16"/>
          <w:color w:val="auto"/>
        </w:rPr>
      </w:pPr>
    </w:p>
    <w:p>
      <w:pPr>
        <w:ind w:left="440" w:right="18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50" w:lineRule="exact"/>
        <w:rPr>
          <w:rFonts w:ascii="Arial" w:cs="Arial" w:eastAsia="Arial" w:hAnsi="Arial"/>
          <w:sz w:val="18"/>
          <w:szCs w:val="18"/>
          <w:color w:val="auto"/>
        </w:rPr>
      </w:pPr>
    </w:p>
    <w:p>
      <w:pPr>
        <w:ind w:left="440" w:right="60" w:hanging="216"/>
        <w:spacing w:after="0" w:line="332"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440" w:right="20" w:hanging="216"/>
        <w:spacing w:after="0" w:line="256"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62" w:lineRule="exact"/>
        <w:rPr>
          <w:sz w:val="20"/>
          <w:szCs w:val="20"/>
          <w:color w:val="auto"/>
        </w:rPr>
      </w:pPr>
    </w:p>
    <w:p>
      <w:pPr>
        <w:ind w:right="20" w:firstLine="228"/>
        <w:spacing w:after="0" w:line="309" w:lineRule="auto"/>
        <w:rPr>
          <w:sz w:val="20"/>
          <w:szCs w:val="20"/>
          <w:color w:val="auto"/>
        </w:rPr>
      </w:pPr>
      <w:r>
        <w:rPr>
          <w:rFonts w:ascii="Arial" w:cs="Arial" w:eastAsia="Arial" w:hAnsi="Arial"/>
          <w:sz w:val="15"/>
          <w:szCs w:val="15"/>
          <w:color w:val="auto"/>
        </w:rPr>
        <w:t>Because of the breadth of these laws and the narrowness of available statutory and regulatory exceptions, it is possible that some of our business activities could be subject to challenge under one or more of such laws. To the extent that any of our product candidates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imprisonment,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liability insurance in the amount of $10.0 million. In addition, we carry local policies per study in each country in which we conduct clinical studies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our product candidates successfully, we may be required to expand our work force, particularly in the areas of manufacturing, and, if we are unable to enter into collaborations with third parties to commercialize AFREZZA or any other approved products,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39"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35"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44"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5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1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62"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ind w:firstLine="228"/>
        <w:spacing w:after="0" w:line="308" w:lineRule="auto"/>
        <w:rPr>
          <w:sz w:val="20"/>
          <w:szCs w:val="20"/>
          <w:color w:val="auto"/>
        </w:rPr>
      </w:pPr>
      <w:r>
        <w:rPr>
          <w:rFonts w:ascii="Arial" w:cs="Arial" w:eastAsia="Arial" w:hAnsi="Arial"/>
          <w:sz w:val="15"/>
          <w:szCs w:val="15"/>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AFREZZA programs.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20" w:firstLine="228"/>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43" w:lineRule="exact"/>
        <w:rPr>
          <w:sz w:val="20"/>
          <w:szCs w:val="20"/>
          <w:color w:val="auto"/>
        </w:rPr>
      </w:pPr>
    </w:p>
    <w:p>
      <w:pPr>
        <w:ind w:right="280" w:firstLine="228"/>
        <w:spacing w:after="0" w:line="306" w:lineRule="auto"/>
        <w:rPr>
          <w:sz w:val="20"/>
          <w:szCs w:val="20"/>
          <w:color w:val="auto"/>
        </w:rPr>
      </w:pPr>
      <w:r>
        <w:rPr>
          <w:rFonts w:ascii="Arial" w:cs="Arial" w:eastAsia="Arial" w:hAnsi="Arial"/>
          <w:sz w:val="16"/>
          <w:szCs w:val="16"/>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responsible party reimbursed us for our increased excavation and disposal costs of contaminated soil in the amount of $1.625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b w:val="1"/>
          <w:bCs w:val="1"/>
          <w:i w:val="1"/>
          <w:iCs w:val="1"/>
          <w:color w:val="auto"/>
        </w:rPr>
        <w:t>Our product candidates must undergo costly and time-consuming rigorous nonclinical and clinical testing and we must obtain regulatory approval prior to the sale and marketing of any product. The results of this testing or issues that develop in the review and approval by a regulatory agency may subject us to unanticipated delays or prevent us from marketing any products.</w:t>
      </w:r>
    </w:p>
    <w:p>
      <w:pPr>
        <w:spacing w:after="0" w:line="59"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9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studies of our product candidates may not be completed on schedule, the FDA or foreign regulatory agencies may order us to stop or modify our research, or these agencies may not ultimately approve any of our product candidates for commercial sale. The data collected from our clinical studies may not be sufficient to support regulatory approval of our various product candidates, including AFREZZA. Even if we believe the data collected from our clinical studies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37"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The requirements governing the conduct of clinical studies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39" w:lineRule="exact"/>
        <w:rPr>
          <w:sz w:val="20"/>
          <w:szCs w:val="20"/>
          <w:color w:val="auto"/>
        </w:rPr>
      </w:pPr>
    </w:p>
    <w:p>
      <w:pPr>
        <w:ind w:right="220" w:firstLine="228"/>
        <w:spacing w:after="0" w:line="30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inhaled insulin products that follow, including AFREZZA.</w:t>
      </w:r>
    </w:p>
    <w:p>
      <w:pPr>
        <w:spacing w:after="0" w:line="26"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39"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120"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43"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9"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studies. 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16" w:lineRule="exact"/>
        <w:rPr>
          <w:sz w:val="20"/>
          <w:szCs w:val="20"/>
          <w:color w:val="auto"/>
        </w:rPr>
      </w:pPr>
    </w:p>
    <w:p>
      <w:pPr>
        <w:ind w:left="120" w:right="26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studies. Regulatory authorities may limit the segments of the diabetes population to which we or others may market AFREZZA or limit the target population for our other product candidates. There are no assurances that any advantages of AFREZZA</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will be agreed to by the FDA or otherwise included in product labeling or advertising and, as a result, AFREZZA may not have our expected competitive advantages when compared to other insulin products.</w:t>
      </w:r>
    </w:p>
    <w:p>
      <w:pPr>
        <w:spacing w:after="0" w:line="5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62"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9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18" w:lineRule="exact"/>
        <w:rPr>
          <w:sz w:val="20"/>
          <w:szCs w:val="20"/>
          <w:color w:val="auto"/>
        </w:rPr>
      </w:pPr>
    </w:p>
    <w:p>
      <w:pPr>
        <w:ind w:left="120" w:right="520"/>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studies could delay or prevent us from obtaining regulatory approval or negatively impact public perception of our product candidates.</w:t>
      </w:r>
    </w:p>
    <w:p>
      <w:pPr>
        <w:spacing w:after="0" w:line="51"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At present, there are a number of clinical studies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studies involving insulin therapies, we could encounter delays in the timing of our clinical studies, difficulties in obtaining approval of AFREZZA or be subject to class warnings in the label for AFREZZA, if approved.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66"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62" w:lineRule="exact"/>
        <w:rPr>
          <w:sz w:val="20"/>
          <w:szCs w:val="20"/>
          <w:color w:val="auto"/>
        </w:rPr>
      </w:pPr>
    </w:p>
    <w:p>
      <w:pPr>
        <w:jc w:val="both"/>
        <w:ind w:right="20" w:firstLine="228"/>
        <w:spacing w:after="0" w:line="255"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6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or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39"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85" w:lineRule="exact"/>
        <w:rPr>
          <w:sz w:val="20"/>
          <w:szCs w:val="20"/>
          <w:color w:val="auto"/>
        </w:rPr>
      </w:pPr>
    </w:p>
    <w:p>
      <w:pPr>
        <w:ind w:left="120" w:right="78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63" w:lineRule="exact"/>
        <w:rPr>
          <w:sz w:val="20"/>
          <w:szCs w:val="20"/>
          <w:color w:val="auto"/>
        </w:rPr>
      </w:pPr>
    </w:p>
    <w:p>
      <w:pPr>
        <w:ind w:right="180" w:firstLine="228"/>
        <w:spacing w:after="0" w:line="291"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39"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left="120" w:right="20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59"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5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37"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39"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62"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62"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90"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440" w:right="420" w:hanging="216"/>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study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w:t>
      </w:r>
    </w:p>
    <w:p>
      <w:pPr>
        <w:spacing w:after="0" w:line="90" w:lineRule="exact"/>
        <w:rPr>
          <w:rFonts w:ascii="Arial" w:cs="Arial" w:eastAsia="Arial" w:hAnsi="Arial"/>
          <w:sz w:val="18"/>
          <w:szCs w:val="18"/>
          <w:color w:val="auto"/>
        </w:rPr>
      </w:pPr>
    </w:p>
    <w:p>
      <w:pPr>
        <w:ind w:left="440" w:right="40" w:hanging="216"/>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conversion of any of our 2015 notes or 2019 notes into shares of our common stock; and</w:t>
      </w:r>
    </w:p>
    <w:p>
      <w:pPr>
        <w:spacing w:after="0" w:line="90" w:lineRule="exact"/>
        <w:rPr>
          <w:rFonts w:ascii="Arial" w:cs="Arial" w:eastAsia="Arial" w:hAnsi="Arial"/>
          <w:sz w:val="18"/>
          <w:szCs w:val="18"/>
          <w:color w:val="auto"/>
        </w:rPr>
      </w:pPr>
    </w:p>
    <w:p>
      <w:pPr>
        <w:ind w:left="440" w:right="20" w:hanging="216"/>
        <w:spacing w:after="0" w:line="256"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71" w:lineRule="exact"/>
        <w:rPr>
          <w:sz w:val="20"/>
          <w:szCs w:val="20"/>
          <w:color w:val="auto"/>
        </w:rPr>
      </w:pPr>
    </w:p>
    <w:p>
      <w:pPr>
        <w:ind w:left="120" w:right="22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59"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59" w:lineRule="exact"/>
        <w:rPr>
          <w:sz w:val="20"/>
          <w:szCs w:val="20"/>
          <w:color w:val="auto"/>
        </w:rPr>
      </w:pPr>
    </w:p>
    <w:p>
      <w:pPr>
        <w:ind w:right="300" w:firstLine="228"/>
        <w:spacing w:after="0" w:line="298" w:lineRule="auto"/>
        <w:rPr>
          <w:sz w:val="20"/>
          <w:szCs w:val="20"/>
          <w:color w:val="auto"/>
        </w:rPr>
      </w:pPr>
      <w:r>
        <w:rPr>
          <w:rFonts w:ascii="Arial" w:cs="Arial" w:eastAsia="Arial" w:hAnsi="Arial"/>
          <w:sz w:val="16"/>
          <w:szCs w:val="16"/>
          <w:color w:val="auto"/>
        </w:rPr>
        <w:t>At February 17, 2014, our Chairman and Chief Executive Officer, Alfred E. Mann beneficially owned 40.6%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3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20" w:lineRule="exact"/>
        <w:rPr>
          <w:sz w:val="20"/>
          <w:szCs w:val="20"/>
          <w:color w:val="auto"/>
        </w:rPr>
      </w:pPr>
    </w:p>
    <w:p>
      <w:pPr>
        <w:ind w:left="120" w:right="20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51"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As of February 17, 2014, we had 377,208,424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64" w:lineRule="exact"/>
        <w:rPr>
          <w:sz w:val="20"/>
          <w:szCs w:val="20"/>
          <w:color w:val="auto"/>
        </w:rPr>
      </w:pPr>
    </w:p>
    <w:p>
      <w:pPr>
        <w:jc w:val="both"/>
        <w:ind w:right="320" w:firstLine="228"/>
        <w:spacing w:after="0" w:line="259"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including through the ATM Agreements, or additional convertible debt, the market price of our common stock may decline and our existing stockholders may experience significant dilution.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6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ind w:firstLine="228"/>
        <w:spacing w:after="0" w:line="310" w:lineRule="auto"/>
        <w:rPr>
          <w:sz w:val="20"/>
          <w:szCs w:val="20"/>
          <w:color w:val="auto"/>
        </w:rPr>
      </w:pPr>
      <w:r>
        <w:rPr>
          <w:rFonts w:ascii="Arial" w:cs="Arial" w:eastAsia="Arial" w:hAnsi="Arial"/>
          <w:sz w:val="15"/>
          <w:szCs w:val="15"/>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13"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for AFREZZA, filling and packaging. We believe the Danbury facility will have sufficient space to satisfy potential commercial demand for the launch of AFREZZA and, with the expansion completed, the first few years thereafter for AFREZZA and other AFREZZA-related products.</w:t>
      </w:r>
    </w:p>
    <w:p>
      <w:pPr>
        <w:spacing w:after="0" w:line="35"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We own and occupy approximately 142,000 square feet of laboratory, office and warehouse space in Valencia, California. The facility contains our principal executive offices and houses our research and development laboratories for our cancer and other programs. We also use this facility to provide support for the development of our AFREZZA programs.</w:t>
      </w:r>
    </w:p>
    <w:p>
      <w:pPr>
        <w:spacing w:after="0" w:line="59"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Our obligations under the Facility Agreement and the Milestone Agreement are secured by certain mortgages on our facilities in Danbury, Connecticut and Valencia, California.</w:t>
      </w:r>
    </w:p>
    <w:p>
      <w:pPr>
        <w:spacing w:after="0" w:line="51"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We lease approximately 23,000 square feet of office space in Paramus, New Jersey pursuant to a lease that expires in May 2014. The facility houses our medical, regulatory affairs, clinical operations and administrative staff.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w:t>
      </w:r>
    </w:p>
    <w:p>
      <w:pPr>
        <w:spacing w:after="0" w:line="96" w:lineRule="exact"/>
        <w:rPr>
          <w:sz w:val="20"/>
          <w:szCs w:val="20"/>
          <w:color w:val="auto"/>
        </w:rPr>
      </w:pPr>
    </w:p>
    <w:p>
      <w:pPr>
        <w:ind w:right="300" w:firstLine="228"/>
        <w:spacing w:after="0" w:line="331" w:lineRule="auto"/>
        <w:rPr>
          <w:sz w:val="20"/>
          <w:szCs w:val="20"/>
          <w:color w:val="auto"/>
        </w:rPr>
      </w:pPr>
      <w:r>
        <w:rPr>
          <w:rFonts w:ascii="Arial" w:cs="Arial" w:eastAsia="Arial" w:hAnsi="Arial"/>
          <w:sz w:val="16"/>
          <w:szCs w:val="16"/>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2012</w:t>
            </w:r>
          </w:p>
        </w:tc>
        <w:tc>
          <w:tcPr>
            <w:tcW w:w="3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First quarter</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3.48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Third quarter</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r>
      <w:tr>
        <w:trPr>
          <w:trHeight w:val="376"/>
        </w:trPr>
        <w:tc>
          <w:tcPr>
            <w:tcW w:w="568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Second quarter</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8.06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Fourth quarter</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5.84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closing sales price of our common stock on the NASDAQ Global Market was $5.58 on February 17, 2014 and there were 199 registered holders of record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96"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or the Exchange Act, except to the extent we specifically incorporate this section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120015</wp:posOffset>
            </wp:positionV>
            <wp:extent cx="4347845" cy="3001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4784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Assumes a $100 investment, on December 31, 2008, in (i) our common stock, (ii) the securities comprising the NASDAQ Composite Index and (iii) the securities comprising the NASDAQ Biotechnology Index.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right="120" w:firstLine="228"/>
        <w:spacing w:after="0" w:line="298"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Facility Agreement, we are restricted from distributing any of our assets or declaring and distributing a dividend to our stockholders.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 The selected financial data included in this section are not intended to replace our audited financial statements and the related notes included elsewhere in this annual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9"/>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(In thousands, except per share amounts)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140,589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146,995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4"/>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(209,778)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(152,498)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(140,539)</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(146,960)</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(169,401)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w w:val="99"/>
              </w:rPr>
              <w:t>Interest expense on note payable to principal stockholder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(10,249)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(10,883)</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(160,804)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(169,774)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(169,366)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(191,490)</w:t>
            </w: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4"/>
            <w:vMerge w:val="continue"/>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Shares used to compute basic and diluted net loss per share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5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66,061</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247,397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277,256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199,553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251,314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209,335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Facility financing obligation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payable to our principal stockholder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Deficit accumulated during the development stage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(1,604,182)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(1,774,742)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(1,935,546)</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(2,104,912)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(2,296,402)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(185,532)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(313,652)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(110,679)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(30,713)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20" w:firstLine="228"/>
        <w:spacing w:after="0" w:line="332" w:lineRule="auto"/>
        <w:rPr>
          <w:sz w:val="20"/>
          <w:szCs w:val="20"/>
          <w:color w:val="auto"/>
        </w:rPr>
      </w:pPr>
      <w:r>
        <w:rPr>
          <w:rFonts w:ascii="Arial" w:cs="Arial" w:eastAsia="Arial" w:hAnsi="Arial"/>
          <w:sz w:val="16"/>
          <w:szCs w:val="16"/>
          <w:color w:val="auto"/>
        </w:rPr>
        <w:t>We are a biopharmaceutical company focused on the discovery and development of therapeutic products for diseases such as diabetes. Our lead product candidate, AFREZZA, is an ultra rapid-acting insulin therapy that is intended to improve glycemic control in adults with type 1 or type 2 diabetes.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are a development stage enterprise and have incurred significant losses since our inception in 1991. As of December 31, 2013, we have incurred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cumulative net loss of $2.3 billion and a stockholders’ deficit of $30.7 million. We incurred net losses of approximately $160.8 million, $169.4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$191.5 million in the years ended December 31, 2011, 2012 and 2013, respectively. To date, we have not generated any product revenues and have funded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operations through the sale of equity securities and convertible debt securities, the Facility Agreement, and borrowings under a loan arrangement provided by 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principal stockholder, or the Loan Arrangement. As discussed below in “Liquidity and Capital Resources,” if we are unable to obtain additional funding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there will continue to be substantial doubt about our ability to continue as a going concern.</w:t>
      </w:r>
    </w:p>
    <w:p>
      <w:pPr>
        <w:spacing w:after="0" w:line="84"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for at least the next several years as we:</w:t>
      </w:r>
    </w:p>
    <w:p>
      <w:pPr>
        <w:spacing w:after="0" w:line="62" w:lineRule="exact"/>
        <w:rPr>
          <w:sz w:val="20"/>
          <w:szCs w:val="20"/>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formulation technology for the pulmonary delivery of other drugs.</w:t>
      </w:r>
    </w:p>
    <w:p>
      <w:pPr>
        <w:spacing w:after="0" w:line="90"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our potential inability to enter into sales and marketing collaborations or to commercialize AFREZZA in a timely manner. Additional significant risks also include the results of our research and development efforts, competition from other products and technologies and uncertainties associated with obtaining and enforcing patent rights.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39"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Clinical development timelines, likelihood of success and total costs vary widely. We are focused on advancing AFREZZA through regulatory filings.</w:t>
      </w:r>
    </w:p>
    <w:p>
      <w:pPr>
        <w:spacing w:after="0" w:line="11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62"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During the first quarter of 2011, we implemented a restructuring to streamline operations, reduce operating expenses, extend our cash runway and focus our resources on securing FDA approval of the NDA for AFREZZA. In connection with the restructuring, we recorded charges to research and development expenses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approximately $4.7 million for employee severance and other related termination benefits. The restructuring resulted in research and development operating cost savings of approximately $9.5 million in 2011. These savings were partially offset by increased costs associated with the additional trials required by the FDA.</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59"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In connection with the restructuring, we recorded charges to general and administrative expenses of approximately $1.6 million for employee severance and other related termination benefits. The restructuring resulted in general and administrative operating cost savings of approximately $2.8 million in 2011. These savings were offset by increased professional fees.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 Rights</w:t>
      </w:r>
    </w:p>
    <w:p>
      <w:pPr>
        <w:spacing w:after="0" w:line="96"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 xml:space="preserve">In connection with the execution of the Facility Agreement on July 1, 2013, we issued Milestone Rights to the Milestone Purchasers. The Milestone Rights provide the Milestone Purchasers certain rights to receive payments up to $90.0 million upon the occurrence of specified strategic and sales milestones, including the first commercial sale of an AFREZZA product, and the achievement of specified net sales figures. We analyzed the Milestone Rights under the provisions of Financial Accounting Standards Board, or FASB, Accounting Standards Codification, or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referred to as ASC 815, and determined that the instruments do not meet the definition of a freestanding derivative. Since we have not elected to apply the fair value option to the Milestone Rights, we have recorded the Milestone Rights at their estimated fair value and accounted for the Milestone Rights as a liability by applying the indexed debt guidance contained in paragraphs ASC 470-10-25-3 and 35-4.</w:t>
      </w:r>
    </w:p>
    <w:p>
      <w:pPr>
        <w:spacing w:after="0" w:line="37"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w:t>
      </w:r>
    </w:p>
    <w:p>
      <w:pPr>
        <w:spacing w:after="0" w:line="35"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The Milestone Rights liability will be remeasured as the specified milestone events are achieved. Specifically, as each milestone event is achieved, the portion of the initially recorded Milestone Rights liability that pertains to such milestone event being achieved, will be remeasured to the amount of the specified related milestone payment. The resulting change in the balance of the Milestone Rights liability due to remeasurement will be recorded in our Statement of Operations as interest expense. Furthermore, the Milestone Rights liability will be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reduced upon each milestone payment being paid.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Asset</w:t>
      </w:r>
    </w:p>
    <w:p>
      <w:pPr>
        <w:spacing w:after="0" w:line="9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In connection with the issuance of the first tranche of the 2019 notes and the Milestone Rights, we recorded a commitment asset, or the Commitment Asset, on July 1, 2013. The Commitment Asset represents the right to receive additional funding under future tranches of 2019 notes pursuant to the Facility Agreement. The initial value of the Commitment Asset was calculated using the income approach by estimating the fair value of the future tranches using a market debt rate commensurate with the risk of the future tranches and the fair value of the cash expected to be received by us and by assessing the probability of the commitments being funded in the future based on the operational hurdles required for funding being met. The Commitment Asset attributable to each future tranche of 2019 notes under the Facility Agreement is derecognized and recorded as a debt discount on the 2019 notes when issued. The debt discount is amortized using the effective interest rate method over the life of the 2019 notes. Prior to derecognition occurring, we monitor the Commitment Asset on an ongoing basis to determine whether an impairment indicator is present that would result in a full or partial write down of the Commitment Asset as a result of events that may lead to the subsequent tranches of 2019 notes not being issued. Based on the monitoring procedures performed through December 31, 2013, we did not identify any indicators of impairment.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right="320" w:firstLine="228"/>
        <w:spacing w:after="0" w:line="256" w:lineRule="auto"/>
        <w:rPr>
          <w:sz w:val="20"/>
          <w:szCs w:val="20"/>
          <w:color w:val="auto"/>
        </w:rPr>
      </w:pPr>
      <w:r>
        <w:rPr>
          <w:rFonts w:ascii="Arial" w:cs="Arial" w:eastAsia="Arial" w:hAnsi="Arial"/>
          <w:sz w:val="18"/>
          <w:szCs w:val="18"/>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2" w:lineRule="exact"/>
        <w:rPr>
          <w:sz w:val="20"/>
          <w:szCs w:val="20"/>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legal ownership or title to the assets;</w:t>
      </w:r>
    </w:p>
    <w:p>
      <w:pPr>
        <w:spacing w:after="0" w:line="90" w:lineRule="exact"/>
        <w:rPr>
          <w:rFonts w:ascii="Arial" w:cs="Arial" w:eastAsia="Arial" w:hAnsi="Arial"/>
          <w:sz w:val="18"/>
          <w:szCs w:val="18"/>
          <w:color w:val="auto"/>
        </w:rPr>
      </w:pPr>
    </w:p>
    <w:p>
      <w:pPr>
        <w:ind w:left="440" w:right="260" w:hanging="216"/>
        <w:spacing w:after="0" w:line="268"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90"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62" w:lineRule="exact"/>
        <w:rPr>
          <w:sz w:val="20"/>
          <w:szCs w:val="20"/>
          <w:color w:val="auto"/>
        </w:rPr>
      </w:pPr>
    </w:p>
    <w:p>
      <w:pPr>
        <w:ind w:right="500" w:firstLine="228"/>
        <w:spacing w:after="0" w:line="332" w:lineRule="auto"/>
        <w:rPr>
          <w:sz w:val="20"/>
          <w:szCs w:val="20"/>
          <w:color w:val="auto"/>
        </w:rPr>
      </w:pPr>
      <w:r>
        <w:rPr>
          <w:rFonts w:ascii="Arial" w:cs="Arial" w:eastAsia="Arial" w:hAnsi="Arial"/>
          <w:sz w:val="16"/>
          <w:szCs w:val="16"/>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Expenses</w:t>
      </w:r>
    </w:p>
    <w:p>
      <w:pPr>
        <w:spacing w:after="0" w:line="96" w:lineRule="exact"/>
        <w:rPr>
          <w:sz w:val="20"/>
          <w:szCs w:val="20"/>
          <w:color w:val="auto"/>
        </w:rPr>
      </w:pPr>
    </w:p>
    <w:p>
      <w:pPr>
        <w:ind w:right="260" w:firstLine="228"/>
        <w:spacing w:after="0" w:line="306" w:lineRule="auto"/>
        <w:rPr>
          <w:sz w:val="20"/>
          <w:szCs w:val="20"/>
          <w:color w:val="auto"/>
        </w:rPr>
      </w:pPr>
      <w:r>
        <w:rPr>
          <w:rFonts w:ascii="Arial" w:cs="Arial" w:eastAsia="Arial" w:hAnsi="Arial"/>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37" w:lineRule="exact"/>
        <w:rPr>
          <w:sz w:val="20"/>
          <w:szCs w:val="20"/>
          <w:color w:val="auto"/>
        </w:rPr>
      </w:pPr>
    </w:p>
    <w:p>
      <w:pPr>
        <w:jc w:val="both"/>
        <w:ind w:right="320" w:firstLine="228"/>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 xml:space="preserve">We account for stock-based compensation in accordance with ASC 718 </w:t>
      </w:r>
      <w:r>
        <w:rPr>
          <w:rFonts w:ascii="Arial" w:cs="Arial" w:eastAsia="Arial" w:hAnsi="Arial"/>
          <w:sz w:val="16"/>
          <w:szCs w:val="16"/>
          <w:i w:val="1"/>
          <w:iCs w:val="1"/>
          <w:color w:val="auto"/>
        </w:rPr>
        <w:t>Compensation- Stock Compensation</w:t>
      </w:r>
      <w:r>
        <w:rPr>
          <w:rFonts w:ascii="Arial" w:cs="Arial" w:eastAsia="Arial" w:hAnsi="Arial"/>
          <w:sz w:val="16"/>
          <w:szCs w:val="16"/>
          <w:color w:val="auto"/>
        </w:rPr>
        <w:t>.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 As of December 31, 2013, we had $107,108 and $3.7 million of unrecognized expenses related to performance-based options and restricted stock units, respectively, for milestones where achievement was not considered probable.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Contracts</w:t>
      </w:r>
    </w:p>
    <w:p>
      <w:pPr>
        <w:spacing w:after="0" w:line="96" w:lineRule="exact"/>
        <w:rPr>
          <w:sz w:val="20"/>
          <w:szCs w:val="20"/>
          <w:color w:val="auto"/>
        </w:rPr>
      </w:pPr>
    </w:p>
    <w:p>
      <w:pPr>
        <w:ind w:right="240" w:firstLine="228"/>
        <w:spacing w:after="0" w:line="314" w:lineRule="auto"/>
        <w:rPr>
          <w:sz w:val="20"/>
          <w:szCs w:val="20"/>
          <w:color w:val="auto"/>
        </w:rPr>
      </w:pPr>
      <w:r>
        <w:rPr>
          <w:rFonts w:ascii="Arial" w:cs="Arial" w:eastAsia="Arial" w:hAnsi="Arial"/>
          <w:sz w:val="15"/>
          <w:szCs w:val="15"/>
          <w:color w:val="auto"/>
        </w:rPr>
        <w:t>In February and October 2012, we entered into agreements with The Mann Group whereby we agreed to sell and The Mann Group agreed to purchase common stock and/or warrants. These agreements have been accounted for as forward contracts, having met the definition of derivative instruments in accordance with the provisions of ASC 815. We determine the fair value of the forward contract upon its issuance, record fair value adjustments of the forward contract to Other income (expense) during the reporting period and through the settlement of the forward contract, and reclassify the forward contract to equity upon settlement of the forward contract. The fair value of the forward purchase contract is highly sensitive to the discount applied for lack of marketability and the stock price, and changes in this discount and/or the stock price could cause the value of the forward purchase contract to change significantly.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must make management judgments when determining our provision for income taxes, our deferred tax assets and liabilities and any valuation allowance recorded against our net deferred tax assets. At December 31, 2013, we have established a valuation allowance of $817.0 million against all of our net deferred tax asset balance,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2012 and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During the year ended December 31, 2012, we recognized $35,000 in revenue under a license agreement, and during the year ended December 31, 2013, we recognized no revenue. We do not anticipate sales of any product prior to regulatory approval and commercialization of AFREZZA.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 2012 and 2013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vMerge w:val="restart"/>
          </w:tcPr>
          <w:p>
            <w:pPr>
              <w:jc w:val="right"/>
              <w:ind w:right="172"/>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47,936</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(5,225)</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Manufacturing</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40,094</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40,530</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436</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(1,263)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14,242</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221"/>
        </w:trPr>
        <w:tc>
          <w:tcPr>
            <w:tcW w:w="4840" w:type="dxa"/>
            <w:vAlign w:val="bottom"/>
            <w:vMerge w:val="continue"/>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101,522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109,719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8,197</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The increase in research and development expenses for the year ended December 31, 2013 compared to the year ended December 31, 2012, was driven by an increase in stock-based compensation expense of $14.2 million in connection with company-wide performance-based grants in the first and second quarters of 2013, as well as a full year of expense from grants in early 2012, and the achievement of predetermined milestones in the fourth quarter of 2013. This increase is offset by a decrease of $5.2 million in clinical study related expenses from the completion of two Phase 3 studies in the second quarter of 2013, and $1.3 million in reduced research expenses resulting from the positive effect of our cost cutting measures in addition to decreasing efforts in other non-AFREZZA related research as we focused on our primary objective of gaining approval of AFREZZA.</w:t>
      </w:r>
    </w:p>
    <w:p>
      <w:pPr>
        <w:spacing w:after="0" w:line="39"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We anticipate that our overall research and development expenses will increase in 2014 compared to 2013 due to the preparation for commercialization of AFREZZA.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 2012 and 2013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1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1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$38,348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$34,905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(3,443)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7,125</w:t>
            </w:r>
          </w:p>
        </w:tc>
        <w:tc>
          <w:tcPr>
            <w:tcW w:w="5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24,777</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17,652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$45,473</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$59,682</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$14,209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General and administrative expenses for the year ended December 31, 2013 increased as compared to the prior year driven by an increase in stock-based compensation expense of $17.7 million in connection with company-wide performance-based grants to all employees, in the first and second quarters of 2013, as well as a full year of expense from grants in early 2012, and the achievement of predetermined milestones in the fourth quarter of 2013. This increase was partially offset by a $4.2 million decrease in legal and professional fees.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expect general and administrative expenses to be higher in 2014 as compared to 2013 due to increased stock compensation expense.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Other expense for the year ended December 31, 2013 was $0.6 million as compared to other expense of $1.2 million for the year ended December 31, 2012. In 2013, other expense reflects the loss on conversion of debt to equity at the end of 2013 related to the conversion by Deerfield in accordance with the Facility Agreement. In 2012, other expense reflects the adjustment in fair value of forward purchase contracts with our principal stockholder.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96"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Interest expense for the year ended December 31, 2013 was relatively consistent compared to the year ended December 31, 2012, due to lower interest expense on our note payable to our principal stockholder in 2013 due to a lower carrying value being offset by higher interest expense associated with the 2019 notes issued in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and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During the years ended December 31, 2011 and December 31, 2012, we recognized $50,000 and $35,000, respectively, in revenue under a license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 2011 and 2012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22,656</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Manufacturing</w:t>
            </w:r>
          </w:p>
        </w:tc>
        <w:tc>
          <w:tcPr>
            <w:tcW w:w="3120" w:type="dxa"/>
            <w:vAlign w:val="bottom"/>
            <w:gridSpan w:val="3"/>
          </w:tcPr>
          <w:p>
            <w:pPr>
              <w:jc w:val="right"/>
              <w:ind w:right="280"/>
              <w:spacing w:after="0"/>
              <w:rPr>
                <w:sz w:val="20"/>
                <w:szCs w:val="20"/>
                <w:color w:val="auto"/>
              </w:rPr>
            </w:pPr>
            <w:r>
              <w:rPr>
                <w:rFonts w:ascii="Arial" w:cs="Arial" w:eastAsia="Arial" w:hAnsi="Arial"/>
                <w:sz w:val="18"/>
                <w:szCs w:val="18"/>
                <w:color w:val="auto"/>
              </w:rPr>
              <w:t>58,523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40,094</w:t>
            </w:r>
          </w:p>
        </w:tc>
        <w:tc>
          <w:tcPr>
            <w:tcW w:w="50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(18,429)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3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11,399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(3,785)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120" w:type="dxa"/>
            <w:vAlign w:val="bottom"/>
            <w:gridSpan w:val="3"/>
          </w:tcPr>
          <w:p>
            <w:pPr>
              <w:jc w:val="right"/>
              <w:ind w:right="220"/>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4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gridSpan w:val="3"/>
          </w:tcPr>
          <w:p>
            <w:pPr>
              <w:jc w:val="right"/>
              <w:ind w:right="280"/>
              <w:spacing w:after="0"/>
              <w:rPr>
                <w:sz w:val="20"/>
                <w:szCs w:val="20"/>
                <w:color w:val="auto"/>
              </w:rPr>
            </w:pPr>
            <w:r>
              <w:rPr>
                <w:rFonts w:ascii="Arial" w:cs="Arial" w:eastAsia="Arial" w:hAnsi="Arial"/>
                <w:sz w:val="18"/>
                <w:szCs w:val="18"/>
                <w:color w:val="auto"/>
              </w:rPr>
              <w:t>$99,959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101,522</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1,563</w:t>
            </w:r>
          </w:p>
        </w:tc>
        <w:tc>
          <w:tcPr>
            <w:tcW w:w="5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The increase in research and development expenses for the year ended December 31, 2012 compared to the year ended December 31, 2011, was due to $24.9 million of increased clinical trial related expenses in connection with studies 171 and 175 conducted in 2012 and increased clinical distribution costs in support of our clinical trials, offset by the non-recurring $16.0 million expense recorded in 2011 related to our termination of the Supply Agreement with Organon and receipt of insulin, decreased salary related expenses of $8.6 million due to the February 2011 restructuring as well as the positive effect of our cost cutting measures on operating expenses.</w:t>
      </w:r>
    </w:p>
    <w:p>
      <w:pPr>
        <w:spacing w:after="0" w:line="62" w:lineRule="exact"/>
        <w:rPr>
          <w:sz w:val="20"/>
          <w:szCs w:val="20"/>
          <w:color w:val="auto"/>
        </w:rPr>
      </w:pPr>
    </w:p>
    <w:p>
      <w:pPr>
        <w:ind w:right="140" w:firstLine="228"/>
        <w:spacing w:after="0" w:line="284" w:lineRule="auto"/>
        <w:rPr>
          <w:sz w:val="20"/>
          <w:szCs w:val="20"/>
          <w:color w:val="auto"/>
        </w:rPr>
      </w:pPr>
      <w:r>
        <w:rPr>
          <w:rFonts w:ascii="Arial" w:cs="Arial" w:eastAsia="Arial" w:hAnsi="Arial"/>
          <w:sz w:val="16"/>
          <w:szCs w:val="16"/>
          <w:color w:val="auto"/>
        </w:rPr>
        <w:t>In 2012, clinical trial related expenses increased $24.9 million in connection with studies 171 and 175 subsequent to completion of enrollment in the end of September and early October of 2012, partially offset by $2.1 million in salary related cost savings resulting from the February 2011 reduction in force. In 2012, manufacturing expenses decreased as no insulin purchases were made subsequent to the termination of the Supply Agreement in 2011. In 2011, we paid</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$16.0 million in connection with the settlement of the dispute arising from our termination of the Supply Agreement. Additionally, the February 2011 reduction in force resulted in $4.3 million in salary related manufacturing cost savings partially offset by increased clinical distribution costs in support of our clinical trials. Decreased salary related expenses of $2.2 million resulting from the February 2011 reduction in force and $0.9 million in reduced purchased services contributed to decreased research expenses in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 2011 and 2012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76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62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$34,792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$38,348</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$ 3,556</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5,838</w:t>
            </w:r>
          </w:p>
        </w:tc>
        <w:tc>
          <w:tcPr>
            <w:tcW w:w="580" w:type="dxa"/>
            <w:vAlign w:val="bottom"/>
          </w:tcPr>
          <w:p>
            <w:pPr>
              <w:jc w:val="right"/>
              <w:spacing w:after="0"/>
              <w:rPr>
                <w:sz w:val="20"/>
                <w:szCs w:val="20"/>
                <w:color w:val="auto"/>
              </w:rPr>
            </w:pPr>
            <w:r>
              <w:rPr>
                <w:rFonts w:ascii="Arial" w:cs="Arial" w:eastAsia="Arial" w:hAnsi="Arial"/>
                <w:sz w:val="18"/>
                <w:szCs w:val="18"/>
                <w:color w:val="auto"/>
              </w:rPr>
              <w:t>7,125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$40,630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General and administrative expenses for the year ended December 31, 2012 increased as compared to the prior year due to a litigation settlement charge of</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$6.5 million, increased stock-based compensation expense of $1.3 million resulting from special awards issued to employees, partially offset by decreased salary related costs of $2.6 million as a result of the February 2011 reduction in force.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Other expense for the year ended December 31, 2012 was $1.2 million as compared to other income of $1.5 million for the year ended December 31, 2011. In 2012, other expense reflects the adjustment in fair value of forward purchase contracts with our principal stockholder. In 2011, other income is comprised of realized gains of $1.3 million on the termination of foreign exchange hedging contracts related to the Supply Agreement with Organon. We terminated these contracts in the first quarter of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96"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Interest expense for the year ended December 31, 2012 increased compared to the year ended December 31, 2011, due to the interest expense associated with additional principal drawn down and capitalization of accrued interest to principal in 2012 under a loan arrangement with The Mann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We have funded our operations through the sale of equity securities and convertible debt securities and borrowings under a loan arrangement with The Mann Group.</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 xml:space="preserve">In October 2007, we entered into a $350.0 million loan arrangement with our principal stockholder, or the Loan Arrangement.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Until January 1, 2013, interest on outstanding principal amounts accrued at a fixed rate equal to the one-year London Interbank Offered Rate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Based on the amended terms of the agreement, the rate was fixed at 5.84% going forward. We amended the promissory note underlying the Loan Arrangement on October 31, 2013 to extend the maturity date to January 5, 2020 and extend the date through which we can borrow under the promissory note to December 31, 2019. We also increased the aggregate borrowing amount under the Loan Arrangement from $350.0 million to $370.0 million but provided that repayments or cancellations of principal under the Loan Arrangement will not be available for reborrowing.</w:t>
      </w:r>
    </w:p>
    <w:p>
      <w:pPr>
        <w:spacing w:after="0" w:line="3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As of December 31, 2013, the total principal amount outstanding under the Loan Arrangement was $49.5 million, and the amount available for future borrowings was $30.1 million. We anticipate using a portion of these available borrowings to capitalize into principal, upon mutual agreement of the parties, accrued interest as it becomes due and payable under the Loan Arrangement. Interest is due and payable quarterly in arrears on the first day of each calendar quarter for the preceding quarter, or at such other time as we and The Mann Group mutually agree. All or any portion of accrued and unpaid interest that becomes due and payable may be paid-in-kind and capitalized at any time upon mutual agreement of both parties. The Mann Group can require us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prepay up to $200.0 million in advances that have been outstanding for at least 12 months (less approximately $105.0 million aggregate principal amount that was cancelled in connection with two common stock purchase agreements). If The Mann Group exercises its right to require prepayment, we will have 90 days after The Mann Group provides written notice (or the number of days to maturity of the note if less than 90 days) to prepay such advances. However, pursuant to a letter agreement entered into in August 2010, The Mann Group has agreed to not require us to prepay amounts outstanding under the amended and restated promissory note if the prepayment would require us to use our working capital resources. In addition, The Mann Group entered into a subordination agreement with Deerfield pursuant to which The Mann Group agreed with Deerfield not to demand or accept any payment under the Loan Arrangement until our payment obligations to Deerfield under the Facility Agreement have been satisfied in full. Subject to the foregoing, in the event of a default under our loan arrangement with The Mann Group,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46"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On March 18, 2013, we entered into at-the-market issuance sales agreements with two sales agents, under which we were permitted to issue and sell shares of our common stock having an aggregate offering price of up to $50.0 million under each sales agreement (provided that in no event were we permitted to issue and sell more than $50.0 million of shares of our common stock under both agreements in the aggregate) from time to time through either of the sales agents. As of December 31, 2013, we sold $48.9 million in common stock through these sales agreements, net of fees, and no further sales under these agreements will be made.</w:t>
      </w:r>
    </w:p>
    <w:p>
      <w:pPr>
        <w:spacing w:after="0" w:line="62"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On July 1, 2013, we entered into the Facility Agreement with Deerfield, providing for the sale of up to $160.0 million of 2019 notes to Deerfield in four equal tranches of $40.0 million principal amount. In connection with the Facility Agreement, on July 1, 2013 we also issued the Milestone Rights to the Milestone Purchasers. The Milestone Rights provide Milestone Purchasers certain rights to receive payments of up to $90.0 million upon the occurrence of specified strategic and sales milestones including the first commercial sale of an AFREZZA product and the achievement of specified net sales figures.</w:t>
      </w:r>
    </w:p>
    <w:p>
      <w:pPr>
        <w:spacing w:after="0" w:line="32"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On July 1, 2013, Deerfield purchased the first tranche of 2019 notes and the Milestone Rights for an aggregate of $40.0 million. The closing of the second tranche of 2019 notes, which was subject to achievement and reporting of certain results from our two Phase 3 clinical studies of AFREZZA, occurred on September 5, 2013. The closing of the third tranche of 2019 notes occurred in connection with the repayment of our 3.75% Senior Convertible notes due 2013, or the 2013 notes, on December 9, 2013. There can be no assurance that the conditions required for the purchase of the fourth tranche of 2019 notes will be met or met in a timeframe necessary to support our liquidity needs.</w:t>
      </w:r>
    </w:p>
    <w:p>
      <w:pPr>
        <w:spacing w:after="0" w:line="6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On February 28, 2014, we amended our existing facility agreement to provide for the issuance of tranche B notes to Deerfield in a maximum aggregate principal amount equal to (x) if the FDA approves the NDA for AFFREZZA and Deerfield purchases the fourth tranche of 2019 notes originally issuable pursuant to the Facility Agreement, 150% of the aggregate principal amount of 2019 notes that Deerfield has converted into our common stock on and after the effective date of the amendment, up to $90.0 million, and (y) otherwise, 33.33% of the aggregate principal amount of 2019 notes that Deerfield has converted into our common stock on and after the effective date of the amendment, up to $20.0 million, in each case subject to the satisfaction of certain other conditions. The amended Facility Agreement also provides that, subject to certain limitations, Deerfield may convert up to an additional $60.0 million of the 2019 notes issued and outstanding on the date of the amendment into shares of our common stock following the effective date of the amendment. There can be no assurance that the conditions required for the purchase of additional 2019 notes pursuant to the amendment will be met or met or met in a timeframe necessary to support our liquidity needs.</w:t>
      </w:r>
    </w:p>
    <w:p>
      <w:pPr>
        <w:spacing w:after="0" w:line="39"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On March 3, 2014, we entered into the ATM Agreements, under which we may issue or sell shares of our common stock having an aggregate offering price of up to $50.0 million from time to time through MLV or Brinson Patrick, as our sales agents. We expect that all or substantially all sales of common stock made under the ATM Agreements will be made in “at the market” offerings as defined in Rule 415 of the Securities Act.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have not yet sold or issued any shares of our common stock under the ATM Agreements. There can be no assurance that we will be able to access capital through the ATM Agreements on a timely basis, or at all.</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During the year ended December 31, 2013, we used $128.7 million of cash for our operations and had a net loss of $191.5 million, which included $59.2 million of non-cash charges consisting of depreciation and accretion, and stock-based compensation. By comparison, during the year ended December 31, 2012, we used $119.9 million of cash for our operations and had a net loss of $169.4 million, which included $36.2 million of non-cash charges consisting of depreciation and accretion, stock-based compensation, fair value of forward purchase contracts and common stock issued pursuant to litigation settlement. The operating cash flow decreased by $10.6 million due to decreases in the following: accrued expenses associated with the clinical trials, accrued interest associated with our loan arrangement with The Mann Group due to the capitalization of the outstanding balance in October 2013, and accrued expenses related to equipment in 2013. As a result, cash used for operations for the year ended December 31, 2013 increased by $8.9 million compared to the prior year. We expect our negative operating cash flow to continue at least until we obtain regulatory approval and achieve commercialization of AFREZZA.</w:t>
      </w:r>
    </w:p>
    <w:p>
      <w:pPr>
        <w:spacing w:after="0" w:line="37"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During the year ended December 31, 2013 we used $8.0 million of cash for investing activities, compared to $0.6 million of cash used for the year ended December 31, 2012. The increase of $7.4 million from prior year is due to the purchased $8.0 million of machinery and equipment to expand our manufacturing operations and our quality systems that support clinical trials for AFREZZA in the current year, as compared to $0.6 million of machinery and equipment purchased in 2012.</w:t>
      </w:r>
    </w:p>
    <w:p>
      <w:pPr>
        <w:spacing w:after="0" w:line="62"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Our financing activities generated $145.7 million of cash for the year ended December 31, 2013, as compared to $179.6 million for the year ended December 31, 2012. For the year ended December 31, 2013, cash provided by financing activities was from $119.5 million in proceeds received from the issuance of the 2019 notes and the Milestone Rights and $94.2 million in net proceeds from the warrants exercised. Additionally, there were $48.9 million in net proceeds from use of our prior at-the-market issuance sales agreements. On December 15, 2013, we paid $115.0 million to repay the 2013 notes upon maturity. For the year ended December 31, 2012, cash from financing activities include $167.7 million in net proceeds from the sale of common stock during the first and fourth quarter and $12.8 million in borrowings from The Mann Group.</w:t>
      </w:r>
    </w:p>
    <w:p>
      <w:pPr>
        <w:spacing w:after="0" w:line="39" w:lineRule="exact"/>
        <w:rPr>
          <w:sz w:val="20"/>
          <w:szCs w:val="20"/>
          <w:color w:val="auto"/>
        </w:rPr>
      </w:pPr>
    </w:p>
    <w:p>
      <w:pPr>
        <w:ind w:firstLine="228"/>
        <w:spacing w:after="0" w:line="312" w:lineRule="auto"/>
        <w:rPr>
          <w:sz w:val="20"/>
          <w:szCs w:val="20"/>
          <w:color w:val="auto"/>
        </w:rPr>
      </w:pPr>
      <w:r>
        <w:rPr>
          <w:rFonts w:ascii="Arial" w:cs="Arial" w:eastAsia="Arial" w:hAnsi="Arial"/>
          <w:sz w:val="15"/>
          <w:szCs w:val="15"/>
          <w:color w:val="auto"/>
        </w:rPr>
        <w:t>As of December 31, 2013, we had $70.8 million in cash and cash equivalents. We believe that our existing capital resources will enable us to continue planned operations at least into the third quarter of 2014. However, we cannot provide assurances that our plans will not change or that changed circumstances will not result in the depletion of the capital resources more rapidly than we currently anticipate. We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our other ongoing activities. However, we cannot provide assurances that such additional capital will be available whether through the sale of equity or debt securities, a strategic business collaboration with a pharmaceutical company, the establishment of other funding facilities, licensing arrangements, asset sales or other means.</w:t>
      </w:r>
    </w:p>
    <w:p>
      <w:pPr>
        <w:spacing w:after="0" w:line="24" w:lineRule="exact"/>
        <w:rPr>
          <w:sz w:val="20"/>
          <w:szCs w:val="20"/>
          <w:color w:val="auto"/>
        </w:rPr>
      </w:pPr>
    </w:p>
    <w:p>
      <w:pPr>
        <w:ind w:right="380" w:firstLine="228"/>
        <w:spacing w:after="0" w:line="33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We are expending a portion of our capital to scale up our manufacturing capabilities in our Danbury facilities. We also intend to use our capital resources for general corporate purposes.</w:t>
      </w:r>
    </w:p>
    <w:p>
      <w:pPr>
        <w:spacing w:after="0" w:line="4" w:lineRule="exact"/>
        <w:rPr>
          <w:sz w:val="20"/>
          <w:szCs w:val="20"/>
          <w:color w:val="auto"/>
        </w:rPr>
      </w:pPr>
    </w:p>
    <w:p>
      <w:pPr>
        <w:jc w:val="both"/>
        <w:ind w:right="200" w:firstLine="228"/>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9"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including sales of our common stock through the ATM Agreements, or the establishment of other funding facilities. Issuances of debt or additional equity could impact the rights of our existing stockholders, dilute the ownership percentages of our existing stockholders and may impose restrictions on our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39"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2013, we did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(excluding payments in respect of the Milestone Rights) below are estimated based on current information. Future payments relate to operating lease obligations, the senior convertible notes, and open purchase order and supply commitments consisted of the following at December 31, 2013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Payments Due in</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48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Less Than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More Than</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gridSpan w:val="2"/>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One Year</w:t>
            </w: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3"/>
              </w:rPr>
              <w:t>1-3 Years</w:t>
            </w:r>
          </w:p>
        </w:tc>
        <w:tc>
          <w:tcPr>
            <w:tcW w:w="400" w:type="dxa"/>
            <w:vAlign w:val="bottom"/>
          </w:tcPr>
          <w:p>
            <w:pPr>
              <w:spacing w:after="0"/>
              <w:rPr>
                <w:sz w:val="14"/>
                <w:szCs w:val="14"/>
                <w:color w:val="auto"/>
              </w:rPr>
            </w:pPr>
          </w:p>
        </w:tc>
        <w:tc>
          <w:tcPr>
            <w:tcW w:w="10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56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84"/>
              </w:rPr>
              <w:t>5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Open purchase order and supply commitments(1)</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$ 23,991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7,470</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2015 notes(2)</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5,750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103,610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payable to principal stockholder(3)</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Facility financing obligation(4)</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11,066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3"/>
          </w:tcPr>
          <w:p>
            <w:pPr>
              <w:ind w:left="220"/>
              <w:spacing w:after="0"/>
              <w:rPr>
                <w:sz w:val="20"/>
                <w:szCs w:val="20"/>
                <w:color w:val="auto"/>
              </w:rPr>
            </w:pPr>
            <w:r>
              <w:rPr>
                <w:rFonts w:ascii="Arial" w:cs="Arial" w:eastAsia="Arial" w:hAnsi="Arial"/>
                <w:sz w:val="18"/>
                <w:szCs w:val="18"/>
                <w:color w:val="auto"/>
              </w:rPr>
              <w:t>Total contractual obligations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$ 44,027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205,436</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119,585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40" w:hanging="452"/>
        <w:spacing w:after="0" w:line="30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include future interest payments at fixed rates of 5.75% and payment of the notes in full upon maturity in 2015.</w:t>
      </w:r>
    </w:p>
    <w:p>
      <w:pPr>
        <w:spacing w:after="0" w:line="63"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obligation for the note payable to the principal stockholder includes future principal and interest payments related to the $49.5 million of borrowings as of December 31, 2013. Interest is paid based on a fixed rate equal to the one-year LIBOR rate on December 31, 2013 plus 5% and the outstanding principal amount and all accrued interest thereon will be due on January 5, 2020.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facility financing obligation includes the first three tranches of the 2019 notes sold to Deerfield pursuant to the Facility Agreement, in an aggregate principal amount of $120.0 million, and future interest payments at fixed rates of 9.75% and required amortization payments of the 2019 notes as specified in the Facility Agreement. The calculation takes into account the conversion of $6.5 million of principal amount of 2019 notes into common stock in December 2013. In January 2014, an additional $33.5 million of principal was converted into common stock, consequently relieving us of that commitment and the interest associated with that portion of the 2019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 description of our related party transactions see Note 6 — Related-Party Arrangements in the notes to our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20" w:firstLine="228"/>
        <w:spacing w:after="0" w:line="291"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 (Topic 220) —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These amendments do not change the current requirements for reporting net income or other comprehensive income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we adopted the new requirements as set forth in ASU 2013-02 in the disclosure of comprehensive income on our consolidated financial statements. The adoption of the new requirements did not have a significant impact on our consolidated financial statements.</w:t>
      </w:r>
    </w:p>
    <w:p>
      <w:pPr>
        <w:spacing w:after="0" w:line="39"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 xml:space="preserve">In July, 2013, the FASB ASU 2013-11, </w:t>
      </w:r>
      <w:r>
        <w:rPr>
          <w:rFonts w:ascii="Arial" w:cs="Arial" w:eastAsia="Arial" w:hAnsi="Arial"/>
          <w:sz w:val="16"/>
          <w:szCs w:val="16"/>
          <w:i w:val="1"/>
          <w:iCs w:val="1"/>
          <w:color w:val="auto"/>
        </w:rPr>
        <w:t>Income Taxes (Topic 740): Presentation of an Unrecognized Tax Benefit when a Net Operating Loss Carryforward, a</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Tax Loss, or a Tax Credit Carryforward Exists (a consensus of the FASB Emerging Issues Task Force)</w:t>
      </w:r>
      <w:r>
        <w:rPr>
          <w:rFonts w:ascii="Arial" w:cs="Arial" w:eastAsia="Arial" w:hAnsi="Arial"/>
          <w:sz w:val="16"/>
          <w:szCs w:val="16"/>
          <w:color w:val="auto"/>
        </w:rPr>
        <w:t>. The amendments in this ASU provide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We are evaluating the impact, if any, of the adoption of ASU 2013-11 will have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140" w:firstLine="228"/>
        <w:spacing w:after="0" w:line="286" w:lineRule="auto"/>
        <w:rPr>
          <w:sz w:val="20"/>
          <w:szCs w:val="20"/>
          <w:color w:val="auto"/>
        </w:rPr>
      </w:pPr>
      <w:r>
        <w:rPr>
          <w:rFonts w:ascii="Arial" w:cs="Arial" w:eastAsia="Arial" w:hAnsi="Arial"/>
          <w:sz w:val="16"/>
          <w:szCs w:val="16"/>
          <w:color w:val="auto"/>
        </w:rPr>
        <w:t>We are exposed to market risk related to changes in interest rates impacting our short-term investment portfolio as well as the interest rate on the promissory note underlying our loan arrangement with The Mann Group. The interest rate on amounts borrowed under our loan arrangement with The Mann Group for the year ended December 31, 2013 was a fixed rate equal to 5.84%. As of December 31, 2013, the total principal amount outstanding under the Loan Arrangement was $49.5 million. We also have debt related to the 2015 notes at a fixed interest rate of 5.75% and debt related to the Facility Agreement at a fixed interest rate of 9.75%. Due to the fixed interest rates of our debt, we do not currently have any exposure to changes in our interest expense as a result of changes in interest rates. 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 We continue to utilize our loan arrangement with The Mann Group to fund operations. As of December 31, 2013, the amount available for borrowing under our loan arrangement with The Mann Group was $30.1 million. If a 10% change in interest rates were to have occurred on December 31, 2013, this change would not have had a material effect on the value of our short-term investment portfolio or on our interest expense obligations with respect to outstanding borrowed amounts.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Our management, with the participation of our chief executive and financial officers, evaluated the effectiveness of our disclosure controls and procedures, as defined in Rules 13a-15(e) and 15d-15(e) under the Exchange Act, as of December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2013, our chief executive officer and chief financial officer concluded that, as of such date, our disclosure controls and procedures were effective at a reasonable assurance level.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Based on our evaluation under the framework set forth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 (1992)</w:t>
      </w:r>
      <w:r>
        <w:rPr>
          <w:rFonts w:ascii="Arial" w:cs="Arial" w:eastAsia="Arial" w:hAnsi="Arial"/>
          <w:sz w:val="16"/>
          <w:szCs w:val="16"/>
          <w:color w:val="auto"/>
        </w:rPr>
        <w:t>, our management concluded that our internal control over financial reporting was effective as of December 31, 2013. Deloitte &amp; Touche LLP,</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independent registered public accounting firm that audited the financial statements included in this 2013 Form 10-K, has issued an attestation report on our internal control over financial reporting as of December 31, 2013, which is included herein.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2013 identified in connection with the evaluation required by Rule 13a-15(d) and 15d-15(d) of the Exchange Act that have materially affected, or is reasonably likely to materially affect, our internal control over financial reporting.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84"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MannKind Corporation and subsidiaries (the “Company”) as of December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2" w:lineRule="exact"/>
        <w:rPr>
          <w:sz w:val="20"/>
          <w:szCs w:val="20"/>
          <w:color w:val="auto"/>
        </w:rPr>
      </w:pPr>
    </w:p>
    <w:p>
      <w:pPr>
        <w:jc w:val="both"/>
        <w:ind w:right="360" w:firstLine="228"/>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(1992) issued by the Committee of Sponsoring Organizations of the Treadway Commission.</w:t>
      </w:r>
    </w:p>
    <w:p>
      <w:pPr>
        <w:spacing w:after="0" w:line="4" w:lineRule="exact"/>
        <w:rPr>
          <w:sz w:val="20"/>
          <w:szCs w:val="20"/>
          <w:color w:val="auto"/>
        </w:rPr>
      </w:pPr>
    </w:p>
    <w:p>
      <w:pPr>
        <w:jc w:val="both"/>
        <w:ind w:right="540" w:firstLine="22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2013 of the Company and our report dated March 3, 2014 expressed an unqualified opinion on those financial statements and includes an explanatory paragraph relating to the Company’s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Deerfield Facility Amendment</w:t>
      </w:r>
    </w:p>
    <w:p>
      <w:pPr>
        <w:spacing w:after="0" w:line="90"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On February 28, 2014, we entered into a First Amendment to Facility Agreement and Registration Rights Agreement with Deerfield to provide for the issuance pursuant to the Facility Agreement of tranche B notes to Deerfield in a maximum principal amount equal to (x) if the FDA approves the NDA for AFFREZZA and Deerfield purchased the fourth tranche of 2019 notes, 150% of the aggregate principal amount of the 2019 notes that Deerfield has converted into our common stock on and after the effective date of the amendment, up to $90.0 million, and (y) otherwise, 33.33% of the aggregate principal amount of the 2019 notes that Deerfield has converted into our common stock on and after the effective date of the amendment, up to $20.0 million, in each case subject to the satisfaction of certain other conditions. Any tranche B notes, if and when issued, would bear interest at the rate of 9.75% per year, subject to reduction to 8.75% if we enter into a collaboration with a third party to commercialize AFFREZZA, on the outstanding principal amount, payable in cash quarterly in arrears on the last business day of December, March, June and September of each year. We are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will be prepayable without penalty or premium commencing two years after issuance thereof.</w:t>
      </w:r>
    </w:p>
    <w:p>
      <w:pPr>
        <w:spacing w:after="0" w:line="46" w:lineRule="exact"/>
        <w:rPr>
          <w:sz w:val="20"/>
          <w:szCs w:val="20"/>
          <w:color w:val="auto"/>
        </w:rPr>
      </w:pPr>
    </w:p>
    <w:p>
      <w:pPr>
        <w:ind w:right="220" w:firstLine="228"/>
        <w:spacing w:after="0" w:line="291" w:lineRule="auto"/>
        <w:rPr>
          <w:sz w:val="20"/>
          <w:szCs w:val="20"/>
          <w:color w:val="auto"/>
        </w:rPr>
      </w:pPr>
      <w:r>
        <w:rPr>
          <w:rFonts w:ascii="Arial" w:cs="Arial" w:eastAsia="Arial" w:hAnsi="Arial"/>
          <w:sz w:val="16"/>
          <w:szCs w:val="16"/>
          <w:color w:val="auto"/>
        </w:rPr>
        <w:t>In addition, pursuant to the amendment, the outstanding 2019 notes held by Deerfield were amended and restated such that Deerfield may, subject to certain limitations, convert up to an additional $60.0 million principal amount under such 2019 notes into common stock after the effective date of the amendment. Pursuant to the amendment, we also amended our Registration Rights Agreement with Deerfield dated July 1, 2013 and agreed to register for resale up to 12,000,000 shares of common stock issuable upon conversion of the outstanding 2019 notes, as amended and restated, as of the date of the amendment, at a minimum conversion price of $5.00 per share unless we otherwise consent. The conversion price will be determined by the average of the volume weighted average prices per share during the three trading days immediately preceding the election to convert.</w:t>
      </w:r>
    </w:p>
    <w:p>
      <w:pPr>
        <w:spacing w:after="0" w:line="39"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relied on the exemption from registration contained in Section 4(a)(2) of the Securities Act and Regulation D, Rule 506 thereunder, in connection with the amendment and restatement of the 2019 notes as described above.</w:t>
      </w:r>
    </w:p>
    <w:p>
      <w:pPr>
        <w:spacing w:after="0" w:line="51" w:lineRule="exact"/>
        <w:rPr>
          <w:sz w:val="20"/>
          <w:szCs w:val="20"/>
          <w:color w:val="auto"/>
        </w:rPr>
      </w:pPr>
    </w:p>
    <w:p>
      <w:pPr>
        <w:jc w:val="both"/>
        <w:ind w:right="180" w:firstLine="228"/>
        <w:spacing w:after="0" w:line="256" w:lineRule="auto"/>
        <w:rPr>
          <w:sz w:val="20"/>
          <w:szCs w:val="20"/>
          <w:color w:val="auto"/>
        </w:rPr>
      </w:pPr>
      <w:r>
        <w:rPr>
          <w:rFonts w:ascii="Arial" w:cs="Arial" w:eastAsia="Arial" w:hAnsi="Arial"/>
          <w:sz w:val="18"/>
          <w:szCs w:val="18"/>
          <w:color w:val="auto"/>
        </w:rPr>
        <w:t>The foregoing description of the amendment is not complete and is qualified in its entirety by reference to the full text of the amendment, a copy of which is filed herewith as Exhibit 10.39 to this Annual Report on Form 10-K. The foregoing description of the amended and restated form of 2019 note is not complete and is qualified in its entirety by reference to the full text of the form of amended and restated 2019 note, a copy of which is filed herewith as Exhibit 4.7 to this Annual Report on Form 10-K.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Issuance Sales Agreements</w:t>
      </w:r>
    </w:p>
    <w:p>
      <w:pPr>
        <w:spacing w:after="0" w:line="90"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On March 3, 2014, we entered into an At-The-Market Issuance Sales Agreement with MLV and an At-The-Market Issuance Sales Agreement with Brinson Patrick. We refer to the foregoing agreements as the “ATM Agreements.” Under each ATM Agreement, we may issue and sell shares of our common stock having an aggregate offering price of up to $50.0 million (provided that in no event may we issue and sell more than $50.0 million of our common stock under both agreements in the aggregate) from time to time through MLV or Brinson Patrick, as applicable, as our sales agent. We will issue and sell shares under only one ATM Agreement at any one time.</w:t>
      </w:r>
    </w:p>
    <w:p>
      <w:pPr>
        <w:spacing w:after="0" w:line="62" w:lineRule="exact"/>
        <w:rPr>
          <w:sz w:val="20"/>
          <w:szCs w:val="20"/>
          <w:color w:val="auto"/>
        </w:rPr>
      </w:pPr>
    </w:p>
    <w:p>
      <w:pPr>
        <w:ind w:right="360" w:firstLine="228"/>
        <w:spacing w:after="0" w:line="294" w:lineRule="auto"/>
        <w:rPr>
          <w:sz w:val="20"/>
          <w:szCs w:val="20"/>
          <w:color w:val="auto"/>
        </w:rPr>
      </w:pPr>
      <w:r>
        <w:rPr>
          <w:rFonts w:ascii="Arial" w:cs="Arial" w:eastAsia="Arial" w:hAnsi="Arial"/>
          <w:sz w:val="16"/>
          <w:szCs w:val="16"/>
          <w:color w:val="auto"/>
        </w:rPr>
        <w:t>MLV and Brinson Patrick may each sell the common stock by any method that is deemed to be an “at-the-market” equity offering as defined in Rule 415 promulgated under the Securities Act, including sales made directly on or through The NASDAQ Global Market or to or through a market maker. MLV and Brinson Patrick may each also sell the common stock in negotiated transactions, subject to our approval. Subject to the terms and conditions of the respective ATM Agreements, MLV and Brinson Patrick will use commercially reasonable efforts consistent with their respective normal trading and sales practices and applicable laws, rules and regulations to sell our common stock from time to time, based upon our instructions (including any price, time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size limits or other parameters or conditions we may impose). We are not obligated to make any sales of common stock under either of the ATM Agreements. The offering of shares of our common stock pursuant to either ATM Agreement will terminate upon the earlier of (1) the sale of all common stock subject to the applicable ATM Agreement, (2) March 3, 2017 and (3) termination of the applicable ATM Agreement. Each ATM Agreement may be terminated by us or by MLV or Brinson Patrick, as applicable, at any time upon 10 days’ notice to the other party, or by MLV or Brinson Patrick, as applicable, at any time in certain circumstances, including but not limited to the occurrence of a material adverse change in us. We will pay MLV and Brinson Patrick a commission of up to 3.0% of the gross proceeds of the sales price per share of any common stock sold through MLV or Brinson Patrick, respectively, under their respective ATM Agreements. We have also provided MLV and Brinson Patrick with customary indemnification rights and reimbursement for up to $25,000 of legal expenses each.</w:t>
      </w:r>
    </w:p>
    <w:p>
      <w:pPr>
        <w:spacing w:after="0" w:line="64"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The foregoing description of the ATM Agreements is not complete and is qualified in its entirety by reference to the full text of the agreements, copies of which are filed herewith as Exhibits 10.31 and 10.32 to this Annual Report on Form 10-K.</w:t>
      </w:r>
    </w:p>
    <w:p>
      <w:pPr>
        <w:spacing w:after="0" w:line="5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foregoing description of the ATM Agreements shall not constitute an offer to sell or the solicitation of an offer to buy the securities discussed above in this Item 9B, nor shall there be any offer, solicitation or sale of the securities in any state in which such offer, solicitation or sale would be unlawful prior to registration or qualification under the securities laws of any such state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jc w:val="both"/>
        <w:ind w:right="80" w:firstLine="228"/>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our Proxy Statement within 120 days after the end of our fiscal year ended December 31, 2013 pursuant to Regulations 14A for our 2014 Annual Meeting of Stockholders, and the information included in the Proxy Statement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640" w:firstLine="236"/>
        <w:spacing w:after="0" w:line="268" w:lineRule="auto"/>
        <w:tabs>
          <w:tab w:leader="none" w:pos="46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“Executive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Registrant” in Part I, Item 1 of this Annual Report on Form 10-K.</w:t>
      </w:r>
    </w:p>
    <w:p>
      <w:pPr>
        <w:spacing w:after="0" w:line="50" w:lineRule="exact"/>
        <w:rPr>
          <w:rFonts w:ascii="Arial" w:cs="Arial" w:eastAsia="Arial" w:hAnsi="Arial"/>
          <w:sz w:val="18"/>
          <w:szCs w:val="18"/>
          <w:color w:val="auto"/>
        </w:rPr>
      </w:pPr>
    </w:p>
    <w:p>
      <w:pPr>
        <w:ind w:right="120" w:firstLine="236"/>
        <w:spacing w:after="0" w:line="259" w:lineRule="auto"/>
        <w:tabs>
          <w:tab w:leader="none" w:pos="47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 governance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the section entitled “Proposal 1- Election of Directors” and “Corporate Governance Principles and Board and Committee Matters” in the Proxy Statement, and is incorporated herein by reference.</w:t>
      </w:r>
    </w:p>
    <w:p>
      <w:pPr>
        <w:spacing w:after="0" w:line="59"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Additional information required by this Item is incorporated herein by reference to the section entitled “Section 16(a) Beneficial Ownership Reporting Compliance” in the Proxy Statement.</w:t>
      </w:r>
    </w:p>
    <w:p>
      <w:pPr>
        <w:spacing w:after="0" w:line="51"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information under the caption “Executive Compensation,” “Compensation of Directors,” “Compensation Committee Interlocks and Insider Participation” and “Compensation Committee Report” in the Proxy Statement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The information under the captions “Security Ownership of Certain Beneficial Owners and Management” and “Securities Authorized for Issuance under Equity Compensation Plans” in the Proxy Statement is incorporated herein by this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9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The information under the caption “Principal Accounting Fees and Services” and “Pre-Approval Policies and Procedures” in the Proxy Statement is incorporated herein by reference.</w:t>
      </w:r>
    </w:p>
    <w:p>
      <w:pPr>
        <w:spacing w:after="0" w:line="51"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90" w:lineRule="exact"/>
        <w:rPr>
          <w:sz w:val="20"/>
          <w:szCs w:val="20"/>
          <w:color w:val="auto"/>
        </w:rPr>
      </w:pPr>
    </w:p>
    <w:p>
      <w:pPr>
        <w:ind w:left="460" w:right="120" w:firstLine="438"/>
        <w:spacing w:after="0" w:line="332" w:lineRule="auto"/>
        <w:rPr>
          <w:sz w:val="20"/>
          <w:szCs w:val="20"/>
          <w:color w:val="auto"/>
        </w:rPr>
      </w:pPr>
      <w:r>
        <w:rPr>
          <w:rFonts w:ascii="Arial" w:cs="Arial" w:eastAsia="Arial" w:hAnsi="Arial"/>
          <w:sz w:val="16"/>
          <w:szCs w:val="16"/>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Report of Independent Registered Public Accounting Firm</w:t>
              </w:r>
            </w:hyperlink>
          </w:p>
        </w:tc>
        <w:tc>
          <w:tcPr>
            <w:tcW w:w="350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Statements of Operations</w:t>
              </w:r>
            </w:hyperlink>
          </w:p>
        </w:tc>
        <w:tc>
          <w:tcPr>
            <w:tcW w:w="4880" w:type="dxa"/>
            <w:vAlign w:val="bottom"/>
            <w:gridSpan w:val="6"/>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Comprehensive Loss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Stockholders’ Equity (Deficit)</w:t>
              </w:r>
            </w:hyperlink>
          </w:p>
        </w:tc>
        <w:tc>
          <w:tcPr>
            <w:tcW w:w="3520" w:type="dxa"/>
            <w:vAlign w:val="bottom"/>
            <w:gridSpan w:val="2"/>
          </w:tcPr>
          <w:p>
            <w:pPr>
              <w:spacing w:after="0"/>
              <w:rPr>
                <w:sz w:val="17"/>
                <w:szCs w:val="17"/>
                <w:color w:val="auto"/>
              </w:rPr>
            </w:pPr>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196"/>
        </w:trPr>
        <w:tc>
          <w:tcPr>
            <w:tcW w:w="7640" w:type="dxa"/>
            <w:vAlign w:val="bottom"/>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36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100"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4" w:lineRule="exact"/>
        <w:rPr>
          <w:sz w:val="20"/>
          <w:szCs w:val="20"/>
          <w:color w:val="auto"/>
        </w:rPr>
      </w:pPr>
    </w:p>
    <w:p>
      <w:pPr>
        <w:ind w:right="60" w:firstLine="236"/>
        <w:spacing w:after="0" w:line="268" w:lineRule="auto"/>
        <w:tabs>
          <w:tab w:leader="none" w:pos="4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51" w:lineRule="exact"/>
        <w:rPr>
          <w:sz w:val="20"/>
          <w:szCs w:val="20"/>
          <w:color w:val="auto"/>
        </w:rPr>
      </w:pPr>
    </w:p>
    <w:p>
      <w:pPr>
        <w:ind w:left="5620" w:right="1520" w:hanging="5384"/>
        <w:spacing w:after="0" w:line="440" w:lineRule="auto"/>
        <w:tabs>
          <w:tab w:leader="none" w:pos="4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 The following exhibits are filed or furnished as part of, or incorporated by reference into, this Annual Report on Form 10-K: 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0900" w:type="dxa"/>
            <w:vAlign w:val="bottom"/>
            <w:gridSpan w:val="3"/>
          </w:tcPr>
          <w:p>
            <w:pPr>
              <w:ind w:left="47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5"/>
                <w:szCs w:val="15"/>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280" w:type="dxa"/>
            <w:vAlign w:val="bottom"/>
          </w:tcPr>
          <w:p>
            <w:pPr>
              <w:spacing w:after="0"/>
              <w:rPr>
                <w:sz w:val="15"/>
                <w:szCs w:val="15"/>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6620" w:type="dxa"/>
            <w:vAlign w:val="bottom"/>
            <w:gridSpan w:val="2"/>
          </w:tcPr>
          <w:p>
            <w:pPr>
              <w:ind w:left="800"/>
              <w:spacing w:after="0" w:line="195" w:lineRule="exact"/>
              <w:rPr>
                <w:sz w:val="20"/>
                <w:szCs w:val="20"/>
                <w:color w:val="auto"/>
              </w:rPr>
            </w:pPr>
            <w:r>
              <w:rPr>
                <w:rFonts w:ascii="Arial" w:cs="Arial" w:eastAsia="Arial" w:hAnsi="Arial"/>
                <w:sz w:val="18"/>
                <w:szCs w:val="18"/>
                <w:color w:val="auto"/>
                <w:w w:val="90"/>
              </w:rPr>
              <w:t>Amended and Restated Certificate of Incorporation (incorporated by reference to</w:t>
            </w:r>
          </w:p>
        </w:tc>
        <w:tc>
          <w:tcPr>
            <w:tcW w:w="4280" w:type="dxa"/>
            <w:vAlign w:val="bottom"/>
          </w:tcPr>
          <w:p>
            <w:pPr>
              <w:spacing w:after="0" w:line="195" w:lineRule="exact"/>
              <w:rPr>
                <w:sz w:val="20"/>
                <w:szCs w:val="20"/>
                <w:color w:val="auto"/>
              </w:rPr>
            </w:pPr>
            <w:r>
              <w:rPr>
                <w:rFonts w:ascii="Arial" w:cs="Arial" w:eastAsia="Arial" w:hAnsi="Arial"/>
                <w:sz w:val="18"/>
                <w:szCs w:val="18"/>
                <w:color w:val="auto"/>
                <w:w w:val="99"/>
              </w:rPr>
              <w:t>MannKind’s Registration Statement on Form S-1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1"/>
              </w:rPr>
              <w:t>Certificate of Amendment of Amended and Restated Certificate of Incorporation (incorporated by reference to MannKind’s Quarterly Report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on Form 10-Q (File No. 000-50865), originally filed with the SEC on August 9,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89"/>
              </w:rPr>
              <w:t>Certificate of Amendment of Amended and Restated Certificate of Incorporation (incorporated by reference to MannKind’s Quarterly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Form 10-Q (File No. 000-50865), originally filed with the SEC on August 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0"/>
              </w:rPr>
              <w:t>Certificate of Amendment of Amended and Restated Certificate of Incorporation (incorporated by reference to MannKind’s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1"/>
              </w:rPr>
              <w:t>Amended and Restated Bylaws (incorporated by reference to MannKind’s Current Report on Form 8-K (File No. 000-50865), originally filed</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with the SEC on November 19,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2"/>
              </w:rPr>
              <w:t>Form of common stock certificate (incorporated by reference to MannKind’s Annual Report on Form 10-K (File No. 000-50865), originally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filed with the SEC on March 18,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89"/>
              </w:rPr>
              <w:t>Registration Rights Agreement, dated October 15, 1998 by and among CTL Immuno Therapies Corp., Medical Research Group, LLC, McLean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4"/>
              </w:rPr>
              <w:t>Watson Advisory Inc. and Alfred E. Mann, as amended (incorporated by reference to MannKind’s Registration Statement on Form S-1</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(File 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0"/>
              </w:rPr>
              <w:t>Indenture, by and between MannKind and Wells Fargo Bank, N.A., dated August 24, 2010 (incorporated by reference to MannKind’s Current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Report on Form 8-K (File No. 000-50865), originally filed with the SEC on August 24,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3"/>
              </w:rPr>
              <w:t>Form of 5.75% Senior Convertible Note due 2015 (incorporated by reference to MannKind’s Current Report on Form 8-K (File No. 000-</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50865), originally filed with the SEC on August 24,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89"/>
              </w:rPr>
              <w:t>Form of Warrant to Purchase Common Stock issued February 8, 2012 (incorporated by reference to MannKind’s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(File No. 000-50865), originally filed with the SEC on February 6,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0"/>
              </w:rPr>
              <w:t>Form of 9.75% Senior Secured Convertible Promissory Note due 2019 (incorporated by reference to MannKind’s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(File No. 000-50865), originally filed with the SEC on July 1, 2013).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Form of Amended and Restated 9.75% Senior Secured Convertible Promissory Note due 2019.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89"/>
              </w:rPr>
              <w:t>Milestone Rights Purchase Agreement, dated as of July 1, 2013, by and among MannKind, Deerfield Private Design Fund II, L.P. and Horizon</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4"/>
              </w:rPr>
              <w:t>Santé FLML SÁRL (incorporated by reference to MannKind’s Current Report on Form 8-K (File No. 000-50865), originally filed with the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SEC on July 1,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89"/>
              </w:rPr>
              <w:t>Guaranty and Security Agreement, dated as of July 1, 2013, by and among MannKind, MannKind LLC, Deerfield Private Design Fund II, L.P.,</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1"/>
              </w:rPr>
              <w:t>Deerfield Private Design International II, L.P. and Horizon Santé FLML SÁRL (incorporated by reference to MannKind’s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3"/>
              </w:rPr>
              <w:t>Registration Rights Agreement, dated as of July 1, 2013, by and among MannKind, Deerfield Private Design Fund II, L.P. and Deerfield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w w:val="92"/>
              </w:rPr>
              <w:t>Private Design International II, L.P. (incorporated by reference to MannKind’s Current Report on Form 8-K (File No. 000-50865), originally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800"/>
              <w:spacing w:after="0"/>
              <w:rPr>
                <w:sz w:val="20"/>
                <w:szCs w:val="20"/>
                <w:color w:val="auto"/>
              </w:rPr>
            </w:pPr>
            <w:r>
              <w:rPr>
                <w:rFonts w:ascii="Arial" w:cs="Arial" w:eastAsia="Arial" w:hAnsi="Arial"/>
                <w:sz w:val="18"/>
                <w:szCs w:val="18"/>
                <w:color w:val="auto"/>
              </w:rPr>
              <w:t>filed with the SEC on July 1, 2013).</w:t>
            </w:r>
          </w:p>
        </w:tc>
      </w:tr>
      <w:tr>
        <w:trPr>
          <w:trHeight w:val="365"/>
        </w:trPr>
        <w:tc>
          <w:tcPr>
            <w:tcW w:w="500" w:type="dxa"/>
            <w:vAlign w:val="bottom"/>
          </w:tcPr>
          <w:p>
            <w:pPr>
              <w:spacing w:after="0"/>
              <w:rPr>
                <w:sz w:val="24"/>
                <w:szCs w:val="24"/>
                <w:color w:val="auto"/>
              </w:rPr>
            </w:pPr>
          </w:p>
        </w:tc>
        <w:tc>
          <w:tcPr>
            <w:tcW w:w="6620" w:type="dxa"/>
            <w:vAlign w:val="bottom"/>
            <w:gridSpan w:val="2"/>
          </w:tcPr>
          <w:p>
            <w:pPr>
              <w:ind w:left="5120"/>
              <w:spacing w:after="0"/>
              <w:rPr>
                <w:sz w:val="20"/>
                <w:szCs w:val="20"/>
                <w:color w:val="auto"/>
              </w:rPr>
            </w:pPr>
            <w:r>
              <w:rPr>
                <w:rFonts w:ascii="Arial" w:cs="Arial" w:eastAsia="Arial" w:hAnsi="Arial"/>
                <w:sz w:val="18"/>
                <w:szCs w:val="18"/>
                <w:color w:val="auto"/>
              </w:rPr>
              <w:t>61</w:t>
            </w:r>
          </w:p>
        </w:tc>
        <w:tc>
          <w:tcPr>
            <w:tcW w:w="42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2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3"/>
              </w:rPr>
              <w:t>Facility Agreement, dated as of July 1, 2013, by and among MannKind Corporation, Deerfield Private Design Fund II, L.P. and Deerfield</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2"/>
              </w:rPr>
              <w:t>Private Design International II, L.P (incorporated by reference to MannKind’s Current Report on Form 8-K (File No. 000-50865), originally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filed with the SEC on July 1,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4"/>
              </w:rPr>
              <w:t>First Amendment to Facility Agreement and Registration Rights Agreement, dated as of February 28, 2014, by and among MannKind,</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Deerfield Private Design Fund II, L.P. and Deerfield Private Design International II, L.P. (included as Exhibit 10.39).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Opinion of Cooley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2"/>
              </w:rPr>
              <w:t>Amended and Restated Promissory Note made by MannKind in favor of The Mann Group LLC, dated October 18, 2012 (incorporated by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reference to MannKind’s Current Report on Form 8-K (File No. 000-50865), originally filed with the SEC on October 19,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Agreement, dated September 13, 2006, between MannKind and Torcon, Inc. (incorporated by reference to MannKind’s Quarterly Report on</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Form 10-Q (File No. 000-50865), originally filed with the SEC on August 9,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8"/>
              </w:rPr>
              <w:t>Securities Purchase Agreement, dated August 2, 2005 by and among MannKind and the purchasers listed on Exhibit A thereto (incorporated by</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reference to MannKind’s Current Report on Form 8-K (File No. 000-50865), originally filed with the SEC on August 5,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7"/>
              </w:rPr>
              <w:t>10.4**</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Supply Agreement, dated December 31, 2004, between MannKind and Vaupell, Inc. (incorporated by reference to MannKind’s Current Report</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on Form 8-K (File No. 000-50865), originally filed with the SEC on February 23,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Form of Indemnity Agreement entered into between MannKind and each of its directors and officers</w:t>
            </w:r>
          </w:p>
        </w:tc>
      </w:tr>
      <w:tr>
        <w:trPr>
          <w:trHeight w:val="216"/>
        </w:trPr>
        <w:tc>
          <w:tcPr>
            <w:tcW w:w="500" w:type="dxa"/>
            <w:vAlign w:val="bottom"/>
          </w:tcPr>
          <w:p>
            <w:pPr>
              <w:spacing w:after="0"/>
              <w:rPr>
                <w:sz w:val="18"/>
                <w:szCs w:val="18"/>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5"/>
              </w:rPr>
              <w:t>(incorporated by reference to MannKind’s Registration Statement on Form S-1 (File No. 333-115020), originally filed with the SEC on</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3"/>
              </w:rPr>
              <w:t>Description of Officers’ Incentive Program (incorporated by reference to MannKind’s Annual Report on Form 10-K (File No. 000-50865),</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originally filed with the SEC on March 16,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Executive Severance Agreement, dated October 10, 2007, between MannKind and Hakan Edstrom (incorporated by reference to MannKind’s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Executive Severance Agreement, dated October 10, 2007, between MannKind and David Thomson (incorporated by reference to MannKind’s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8"/>
              </w:rPr>
              <w:t>Executive Severance Agreement, dated October 10, 2007, between MannKind and Juergen Martens (incorporated by reference to MannKind’s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89"/>
              </w:rPr>
              <w:t>Executive Severance Agreement, dated October 10, 2007, between MannKind and Diane Palumbo (incorporated by reference to MannKind’s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0"/>
              </w:rPr>
              <w:t>Executive Severance Agreement, dated April 21, 2008, between MannKind and Matthew J. Pfeffer (incorporated by reference to MannKind’s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w w:val="91"/>
              </w:rPr>
              <w:t>Change of Control Agreement, dated October 10, 2007, between MannKind and Hakan Edstrom (incorporated by reference to MannKind’s</w:t>
            </w:r>
          </w:p>
        </w:tc>
      </w:tr>
      <w:tr>
        <w:trPr>
          <w:trHeight w:val="222"/>
        </w:trPr>
        <w:tc>
          <w:tcPr>
            <w:tcW w:w="500" w:type="dxa"/>
            <w:vAlign w:val="bottom"/>
          </w:tcPr>
          <w:p>
            <w:pPr>
              <w:spacing w:after="0"/>
              <w:rPr>
                <w:sz w:val="19"/>
                <w:szCs w:val="19"/>
                <w:color w:val="auto"/>
              </w:rPr>
            </w:pPr>
          </w:p>
        </w:tc>
        <w:tc>
          <w:tcPr>
            <w:tcW w:w="10880" w:type="dxa"/>
            <w:vAlign w:val="bottom"/>
            <w:gridSpan w:val="3"/>
          </w:tcPr>
          <w:p>
            <w:pPr>
              <w:ind w:left="78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65"/>
        </w:trPr>
        <w:tc>
          <w:tcPr>
            <w:tcW w:w="500" w:type="dxa"/>
            <w:vAlign w:val="bottom"/>
          </w:tcPr>
          <w:p>
            <w:pPr>
              <w:spacing w:after="0"/>
              <w:rPr>
                <w:sz w:val="24"/>
                <w:szCs w:val="24"/>
                <w:color w:val="auto"/>
              </w:rPr>
            </w:pPr>
          </w:p>
        </w:tc>
        <w:tc>
          <w:tcPr>
            <w:tcW w:w="6620" w:type="dxa"/>
            <w:vAlign w:val="bottom"/>
            <w:gridSpan w:val="2"/>
          </w:tcPr>
          <w:p>
            <w:pPr>
              <w:ind w:left="5120"/>
              <w:spacing w:after="0"/>
              <w:rPr>
                <w:sz w:val="20"/>
                <w:szCs w:val="20"/>
                <w:color w:val="auto"/>
              </w:rPr>
            </w:pPr>
            <w:r>
              <w:rPr>
                <w:rFonts w:ascii="Arial" w:cs="Arial" w:eastAsia="Arial" w:hAnsi="Arial"/>
                <w:sz w:val="18"/>
                <w:szCs w:val="18"/>
                <w:color w:val="auto"/>
              </w:rPr>
              <w:t>62</w:t>
            </w:r>
          </w:p>
        </w:tc>
        <w:tc>
          <w:tcPr>
            <w:tcW w:w="42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20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10.13*</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Change of Control Agreement, dated October 10, 2007, between MannKind and David Thomson (incorporated by reference to MannKind’s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10.14*</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Change of Control Agreement, dated October 10, 2007, between MannKind and Juergen Martens (incorporated by reference to MannKind’s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Change of Control Agreement, dated October 10, 2007, between MannKind and Diane Palumbo (incorporated by reference to MannKind’s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Change of Control Agreement, dated April 21, 2008, between MannKind and Matthew J. Pfeffer (incorporated by reference to MannKind’s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 No. 000-50865), as amended, filed with the SEC on October 17,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2004 Equity Incentive Plan, as amended (incorporated by reference to MannKind’s proxy statement on Schedule 14A (File No. 000-50865),</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originally filed with the SEC on April 6,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Form of Stock Option Agreement under the 2004 Equity Incentive Plan (incorporated by reference to MannKind’s Registration Statement 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Form S-1 (File 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8"/>
              </w:rPr>
              <w:t>Form of Phantom Stock Award Agreement under the 2004 Equity Incentive Plan (incorporated by reference to MannKind’s Current Report 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Form 8-K (File No. 000-50865), originally filed with the SEC on December 14,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2004 Non-Employee Directors’ Stock Option Plan and form of stock option agreement there under (incorporated by reference to MannKind’s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Annual Report on Form 10-K (File No. 000-50865), originally filed with the SEC on March 16,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2004 Employee Stock Purchase Plan and form of offering document there under (incorporated by reference to MannKind’s Registration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Statement on Form S-1 (File 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10.22*</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Pharmaceutical Discovery Corporation 1999 Stock Plan and form of stock option plan there under (incorporated by reference to MannKind’s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 on Form S-1 (File 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10.23*</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AlleCure Corp. 2000 Stock Option and Stock Plan (incorporated by reference to MannKind’s Registration Statement on Form S-1 (File</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10.24*</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8"/>
              </w:rPr>
              <w:t>CTL Immunotherapies Corp. 2000 Stock Option and Stock Plan (incorporated by reference to MannKind’s Registration Statement on Form S-</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1 (File No. 333-115020), originally filed with the SEC on April 30, 2004, as 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10.25*</w:t>
            </w:r>
          </w:p>
        </w:tc>
        <w:tc>
          <w:tcPr>
            <w:tcW w:w="46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2001 Stock Awards Plan (incorporated by reference to MannKind’s Registration Statement on Form S-1 (File No. 333-115020), originally</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filed with the SEC on April 30, 2004, as amended).</w:t>
            </w: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10.26**</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Letter Agreement, dated June 4, 2011, between MannKind and N.V. Organon (incorporated by reference to MannKind’s Current Report 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8"/>
        </w:trPr>
        <w:tc>
          <w:tcPr>
            <w:tcW w:w="960" w:type="dxa"/>
            <w:vAlign w:val="bottom"/>
            <w:gridSpan w:val="2"/>
          </w:tcPr>
          <w:p>
            <w:pPr>
              <w:spacing w:after="0"/>
              <w:rPr>
                <w:sz w:val="20"/>
                <w:szCs w:val="20"/>
                <w:color w:val="auto"/>
              </w:rPr>
            </w:pPr>
            <w:r>
              <w:rPr>
                <w:rFonts w:ascii="Arial" w:cs="Arial" w:eastAsia="Arial" w:hAnsi="Arial"/>
                <w:sz w:val="18"/>
                <w:szCs w:val="18"/>
                <w:color w:val="auto"/>
              </w:rPr>
              <w:t>10.27**</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Insulin Maintenance and Call-Option Agreement, dated June 19, 2009, by and among Pfizer Manufacturing Frankfurt GmbH, Pfizer Inc. and</w:t>
            </w: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MannKind (incorporated by reference to MannKind’s Quarterly Report on Form 10-Q (File No. 000-50865), originally filed with the SEC on</w:t>
            </w: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May 4, 2009).</w:t>
            </w:r>
          </w:p>
        </w:tc>
      </w:tr>
      <w:tr>
        <w:trPr>
          <w:trHeight w:val="365"/>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gridSpan w:val="2"/>
          </w:tcPr>
          <w:p>
            <w:pPr>
              <w:ind w:left="4660"/>
              <w:spacing w:after="0"/>
              <w:rPr>
                <w:sz w:val="20"/>
                <w:szCs w:val="20"/>
                <w:color w:val="auto"/>
              </w:rPr>
            </w:pPr>
            <w:r>
              <w:rPr>
                <w:rFonts w:ascii="Arial" w:cs="Arial" w:eastAsia="Arial" w:hAnsi="Arial"/>
                <w:sz w:val="18"/>
                <w:szCs w:val="18"/>
                <w:color w:val="auto"/>
              </w:rPr>
              <w:t>63</w:t>
            </w:r>
          </w:p>
        </w:tc>
        <w:tc>
          <w:tcPr>
            <w:tcW w:w="42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040" w:type="dxa"/>
            <w:vAlign w:val="bottom"/>
          </w:tcPr>
          <w:p>
            <w:pPr>
              <w:spacing w:after="0"/>
              <w:rPr>
                <w:sz w:val="14"/>
                <w:szCs w:val="14"/>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Document</w:t>
            </w:r>
          </w:p>
        </w:tc>
        <w:tc>
          <w:tcPr>
            <w:tcW w:w="42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5"/>
              </w:rPr>
              <w:t>Purchase Agreement, dated August 18, 2010, by and between MannKind and Merrill Lynch, Pierce, Fenner &amp; Smith Incorporated, as</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representative for the initial purchasers named therein (incorporated by reference to MannKind’s Current Report on Form 8-K (File No. 000-</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50865), originally filed with the SEC on August 24,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4"/>
              </w:rPr>
              <w:t>Share Lending Agreement, dated August 18, 2010, by and between MannKind and Bank of America, N.A. (incorporated by reference to</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MannKind’s Current Report on Form 8-K (File No. 000-50865), originally filed with the SEC on August 24,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Letter Agreement, dated August 10, 2010, by and between MannKind and Omni Capital Corporation (incorporated by reference to MannKind’s</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Current Report on Form 8-K (File No. 000-50865), originally filed with the SEC on August 11,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At-The-Market Issuance Sales Agreement, dated March 3, 2014, by and between MannKind and MLV &amp; Co.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At-The-Market Issuance Sales Agreement, dated March 3, 2014, by and between MannKind and Meyers Associates, L.P. (doing business as</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Brinson Patrick, a division of Meyers Associates,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10.33*</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Acknowledgment and Agreement, dated as of October 31, 2013, by and between MannKind and The Mann Group LLC (incorporated by</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reference to MannKind’s Current Report on Form 8-K (File No. 000-50865), originally filed with the SEC on November 4,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10.34*</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Non-Employee Director Compensation Program (incorporated by reference to MannKind’s Quarterly Report on Form 10-Q (File No. 000-</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50865), originally filed with the SEC on August 9,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10.35*</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MannKind Corporation 2013 Equity Incentive Plan (incorporated by reference to MannKind’s registration statement on Form S-8 (File No. 000-</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188790), originally filed with the SEC on May 23,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10.36*</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6"/>
              </w:rPr>
              <w:t>Form of Stock Option Grant Notice, Stock Option Agreement and Notice of Exercise under the MannKind 2013 Equity Incentive Plan</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MannKind’s registration statement on Form S-8 (File No. 000-188790), originally filed with the SEC on May 23,</w:t>
            </w:r>
          </w:p>
        </w:tc>
      </w:tr>
      <w:tr>
        <w:trPr>
          <w:trHeight w:val="222"/>
        </w:trPr>
        <w:tc>
          <w:tcPr>
            <w:tcW w:w="500" w:type="dxa"/>
            <w:vAlign w:val="bottom"/>
          </w:tcPr>
          <w:p>
            <w:pPr>
              <w:spacing w:after="0"/>
              <w:rPr>
                <w:sz w:val="19"/>
                <w:szCs w:val="19"/>
                <w:color w:val="auto"/>
              </w:rPr>
            </w:pPr>
          </w:p>
        </w:tc>
        <w:tc>
          <w:tcPr>
            <w:tcW w:w="5040" w:type="dxa"/>
            <w:vAlign w:val="bottom"/>
          </w:tcPr>
          <w:p>
            <w:pPr>
              <w:ind w:left="680"/>
              <w:spacing w:after="0"/>
              <w:rPr>
                <w:sz w:val="20"/>
                <w:szCs w:val="20"/>
                <w:color w:val="auto"/>
              </w:rPr>
            </w:pPr>
            <w:r>
              <w:rPr>
                <w:rFonts w:ascii="Arial" w:cs="Arial" w:eastAsia="Arial" w:hAnsi="Arial"/>
                <w:sz w:val="18"/>
                <w:szCs w:val="18"/>
                <w:color w:val="auto"/>
              </w:rPr>
              <w:t>2013).</w:t>
            </w:r>
          </w:p>
        </w:tc>
        <w:tc>
          <w:tcPr>
            <w:tcW w:w="154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10.37*</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3"/>
              </w:rPr>
              <w:t>Form of Restricted Stock Unit Grant Notice and Restricted Stock Unit Award Agreement under the MannKind 2013 Equity Incentive Plan</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(incorporated by reference to MannKind’s registration statement on Form S-8 (File No. 000-188790), originally filed with the SEC on May 23,</w:t>
            </w:r>
          </w:p>
        </w:tc>
      </w:tr>
      <w:tr>
        <w:trPr>
          <w:trHeight w:val="222"/>
        </w:trPr>
        <w:tc>
          <w:tcPr>
            <w:tcW w:w="500" w:type="dxa"/>
            <w:vAlign w:val="bottom"/>
          </w:tcPr>
          <w:p>
            <w:pPr>
              <w:spacing w:after="0"/>
              <w:rPr>
                <w:sz w:val="19"/>
                <w:szCs w:val="19"/>
                <w:color w:val="auto"/>
              </w:rPr>
            </w:pPr>
          </w:p>
        </w:tc>
        <w:tc>
          <w:tcPr>
            <w:tcW w:w="5040" w:type="dxa"/>
            <w:vAlign w:val="bottom"/>
          </w:tcPr>
          <w:p>
            <w:pPr>
              <w:ind w:left="680"/>
              <w:spacing w:after="0"/>
              <w:rPr>
                <w:sz w:val="20"/>
                <w:szCs w:val="20"/>
                <w:color w:val="auto"/>
              </w:rPr>
            </w:pPr>
            <w:r>
              <w:rPr>
                <w:rFonts w:ascii="Arial" w:cs="Arial" w:eastAsia="Arial" w:hAnsi="Arial"/>
                <w:sz w:val="18"/>
                <w:szCs w:val="18"/>
                <w:color w:val="auto"/>
              </w:rPr>
              <w:t>2013).</w:t>
            </w:r>
          </w:p>
        </w:tc>
        <w:tc>
          <w:tcPr>
            <w:tcW w:w="154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2"/>
              </w:rPr>
              <w:t>Facility Agreement, dated as of July 1, 2013, by and among MannKind, Deerfield Private Design Fund II, L.P. and Deerfield Private Design</w:t>
            </w:r>
          </w:p>
        </w:tc>
      </w:tr>
      <w:tr>
        <w:trPr>
          <w:trHeight w:val="216"/>
        </w:trPr>
        <w:tc>
          <w:tcPr>
            <w:tcW w:w="500" w:type="dxa"/>
            <w:vAlign w:val="bottom"/>
          </w:tcPr>
          <w:p>
            <w:pPr>
              <w:spacing w:after="0"/>
              <w:rPr>
                <w:sz w:val="18"/>
                <w:szCs w:val="18"/>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0"/>
              </w:rPr>
              <w:t>International II, L.P. (incorporated by reference to MannKind’s Current Report on Form 8-K (File No. 000-50865), originally filed with the SEC</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on July 1,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89"/>
              </w:rPr>
              <w:t>First Amendment to Facility Agreement and Registration Rights Agreement, dated as of February 28, 2014, by and among Mannkind, Deerfield</w:t>
            </w:r>
          </w:p>
        </w:tc>
      </w:tr>
      <w:tr>
        <w:trPr>
          <w:trHeight w:val="222"/>
        </w:trPr>
        <w:tc>
          <w:tcPr>
            <w:tcW w:w="500" w:type="dxa"/>
            <w:vAlign w:val="bottom"/>
          </w:tcPr>
          <w:p>
            <w:pPr>
              <w:spacing w:after="0"/>
              <w:rPr>
                <w:sz w:val="19"/>
                <w:szCs w:val="19"/>
                <w:color w:val="auto"/>
              </w:rPr>
            </w:pP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Private Design Fund II, L.P., and Deerfield Private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rPr>
              <w:t>Consent of Cooley LLP (included as Exhibit 5.1).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Certification of the Chief Executive Officer pursuant to Rules 13a-14(a) and 15d-14(a) of the Securities Exchange Act of 1934, as amended.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840" w:type="dxa"/>
            <w:vAlign w:val="bottom"/>
            <w:gridSpan w:val="3"/>
          </w:tcPr>
          <w:p>
            <w:pPr>
              <w:ind w:left="680"/>
              <w:spacing w:after="0"/>
              <w:rPr>
                <w:sz w:val="20"/>
                <w:szCs w:val="20"/>
                <w:color w:val="auto"/>
              </w:rPr>
            </w:pPr>
            <w:r>
              <w:rPr>
                <w:rFonts w:ascii="Arial" w:cs="Arial" w:eastAsia="Arial" w:hAnsi="Arial"/>
                <w:sz w:val="18"/>
                <w:szCs w:val="18"/>
                <w:color w:val="auto"/>
                <w:w w:val="91"/>
              </w:rPr>
              <w:t>Certification of the Chief Financial Officer pursuant to Rules 13a-14(a) and 15d-14(a) of the Securities Exchange Act of 1934, as amended.</w:t>
            </w:r>
          </w:p>
        </w:tc>
      </w:tr>
      <w:tr>
        <w:trPr>
          <w:trHeight w:val="365"/>
        </w:trPr>
        <w:tc>
          <w:tcPr>
            <w:tcW w:w="500" w:type="dxa"/>
            <w:vAlign w:val="bottom"/>
          </w:tcPr>
          <w:p>
            <w:pPr>
              <w:spacing w:after="0"/>
              <w:rPr>
                <w:sz w:val="24"/>
                <w:szCs w:val="24"/>
                <w:color w:val="auto"/>
              </w:rPr>
            </w:pPr>
          </w:p>
        </w:tc>
        <w:tc>
          <w:tcPr>
            <w:tcW w:w="6580" w:type="dxa"/>
            <w:vAlign w:val="bottom"/>
            <w:gridSpan w:val="2"/>
          </w:tcPr>
          <w:p>
            <w:pPr>
              <w:ind w:left="5120"/>
              <w:spacing w:after="0"/>
              <w:rPr>
                <w:sz w:val="20"/>
                <w:szCs w:val="20"/>
                <w:color w:val="auto"/>
              </w:rPr>
            </w:pPr>
            <w:r>
              <w:rPr>
                <w:rFonts w:ascii="Arial" w:cs="Arial" w:eastAsia="Arial" w:hAnsi="Arial"/>
                <w:sz w:val="18"/>
                <w:szCs w:val="18"/>
                <w:color w:val="auto"/>
              </w:rPr>
              <w:t>64</w:t>
            </w:r>
          </w:p>
        </w:tc>
        <w:tc>
          <w:tcPr>
            <w:tcW w:w="42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Description of Document</w:t>
      </w:r>
    </w:p>
    <w:p>
      <w:pPr>
        <w:spacing w:after="0" w:line="136" w:lineRule="exact"/>
        <w:rPr>
          <w:sz w:val="20"/>
          <w:szCs w:val="20"/>
          <w:color w:val="auto"/>
        </w:rPr>
      </w:pPr>
    </w:p>
    <w:p>
      <w:pPr>
        <w:sectPr>
          <w:pgSz w:w="11900" w:h="16838" w:orient="portrait"/>
          <w:cols w:equalWidth="0" w:num="2">
            <w:col w:w="4920" w:space="720"/>
            <w:col w:w="5740"/>
          </w:cols>
          <w:pgMar w:left="240" w:top="459" w:right="279" w:bottom="1440" w:gutter="0" w:footer="0" w:header="0"/>
          <w:type w:val="continuous"/>
        </w:sectPr>
      </w:pPr>
    </w:p>
    <w:p>
      <w:pPr>
        <w:ind w:left="1300" w:hanging="1292"/>
        <w:spacing w:after="0" w:line="33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jc w:val="center"/>
        <w:ind w:left="5620" w:right="700" w:hanging="5612"/>
        <w:spacing w:after="0" w:line="440" w:lineRule="auto"/>
        <w:tabs>
          <w:tab w:leader="none" w:pos="4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 65</w:t>
      </w:r>
    </w:p>
    <w:p>
      <w:pPr>
        <w:sectPr>
          <w:pgSz w:w="11900" w:h="16838" w:orient="portrait"/>
          <w:cols w:equalWidth="0" w:num="1">
            <w:col w:w="11380"/>
          </w:cols>
          <w:pgMar w:left="240" w:top="459" w:right="2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ANN</w:t>
      </w:r>
      <w:r>
        <w:rPr>
          <w:rFonts w:ascii="Arial" w:cs="Arial" w:eastAsia="Arial" w:hAnsi="Arial"/>
          <w:sz w:val="18"/>
          <w:szCs w:val="18"/>
          <w:color w:val="auto"/>
        </w:rPr>
        <w:t>K</w:t>
      </w:r>
      <w:r>
        <w:rPr>
          <w:rFonts w:ascii="Arial" w:cs="Arial" w:eastAsia="Arial" w:hAnsi="Arial"/>
          <w:sz w:val="14"/>
          <w:szCs w:val="14"/>
          <w:color w:val="auto"/>
        </w:rPr>
        <w:t>IND</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2014</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Hakan S. Edstrom, Matthew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37"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40" w:type="dxa"/>
            <w:vAlign w:val="bottom"/>
            <w:gridSpan w:val="2"/>
          </w:tcPr>
          <w:p>
            <w:pPr>
              <w:jc w:val="center"/>
              <w:ind w:right="2580"/>
              <w:spacing w:after="0"/>
              <w:rPr>
                <w:sz w:val="20"/>
                <w:szCs w:val="20"/>
                <w:color w:val="auto"/>
              </w:rPr>
            </w:pPr>
            <w:r>
              <w:rPr>
                <w:rFonts w:ascii="Arial" w:cs="Arial" w:eastAsia="Arial" w:hAnsi="Arial"/>
                <w:sz w:val="14"/>
                <w:szCs w:val="14"/>
                <w:b w:val="1"/>
                <w:bCs w:val="1"/>
                <w:color w:val="auto"/>
                <w:w w:val="90"/>
              </w:rPr>
              <w:t>Title</w:t>
            </w:r>
          </w:p>
        </w:tc>
        <w:tc>
          <w:tcPr>
            <w:tcW w:w="840" w:type="dxa"/>
            <w:vAlign w:val="bottom"/>
          </w:tcPr>
          <w:p>
            <w:pPr>
              <w:spacing w:after="0"/>
              <w:rPr>
                <w:sz w:val="14"/>
                <w:szCs w:val="14"/>
                <w:color w:val="auto"/>
              </w:rPr>
            </w:pPr>
          </w:p>
        </w:tc>
        <w:tc>
          <w:tcPr>
            <w:tcW w:w="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Chief Executive Officer and Chairman of the Board of Directors</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8"/>
        </w:trPr>
        <w:tc>
          <w:tcPr>
            <w:tcW w:w="2380" w:type="dxa"/>
            <w:vAlign w:val="bottom"/>
            <w:gridSpan w:val="2"/>
          </w:tcPr>
          <w:p>
            <w:pPr>
              <w:spacing w:after="0"/>
              <w:rPr>
                <w:sz w:val="20"/>
                <w:szCs w:val="20"/>
                <w:color w:val="auto"/>
              </w:rPr>
            </w:pPr>
            <w:r>
              <w:rPr>
                <w:rFonts w:ascii="Arial" w:cs="Arial" w:eastAsia="Arial" w:hAnsi="Arial"/>
                <w:sz w:val="18"/>
                <w:szCs w:val="18"/>
                <w:color w:val="auto"/>
              </w:rPr>
              <w:t>Alfred E. Mann</w:t>
            </w:r>
          </w:p>
        </w:tc>
        <w:tc>
          <w:tcPr>
            <w:tcW w:w="1780" w:type="dxa"/>
            <w:vAlign w:val="bottom"/>
          </w:tcPr>
          <w:p>
            <w:pPr>
              <w:spacing w:after="0"/>
              <w:rPr>
                <w:sz w:val="18"/>
                <w:szCs w:val="18"/>
                <w:color w:val="auto"/>
              </w:rPr>
            </w:pPr>
          </w:p>
        </w:tc>
        <w:tc>
          <w:tcPr>
            <w:tcW w:w="5240" w:type="dxa"/>
            <w:vAlign w:val="bottom"/>
            <w:gridSpan w:val="3"/>
          </w:tcPr>
          <w:p>
            <w:pPr>
              <w:jc w:val="center"/>
              <w:ind w:right="180"/>
              <w:spacing w:after="0" w:line="202" w:lineRule="exact"/>
              <w:rPr>
                <w:sz w:val="20"/>
                <w:szCs w:val="20"/>
                <w:color w:val="auto"/>
              </w:rPr>
            </w:pPr>
            <w:r>
              <w:rPr>
                <w:rFonts w:ascii="Arial" w:cs="Arial" w:eastAsia="Arial" w:hAnsi="Arial"/>
                <w:sz w:val="18"/>
                <w:szCs w:val="18"/>
                <w:i w:val="1"/>
                <w:iCs w:val="1"/>
                <w:color w:val="auto"/>
                <w:w w:val="92"/>
              </w:rPr>
              <w:t>(Principal Executive Officer)</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Hakan S. Edstrom</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President, Chief Operating Officer and 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7"/>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J. Pfeffer</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Corporate Vice President and Chief Financial Officer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8"/>
        </w:trPr>
        <w:tc>
          <w:tcPr>
            <w:tcW w:w="238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1780" w:type="dxa"/>
            <w:vAlign w:val="bottom"/>
          </w:tcPr>
          <w:p>
            <w:pPr>
              <w:spacing w:after="0"/>
              <w:rPr>
                <w:sz w:val="18"/>
                <w:szCs w:val="18"/>
                <w:color w:val="auto"/>
              </w:rPr>
            </w:pPr>
          </w:p>
        </w:tc>
        <w:tc>
          <w:tcPr>
            <w:tcW w:w="5240" w:type="dxa"/>
            <w:vAlign w:val="bottom"/>
            <w:gridSpan w:val="3"/>
          </w:tcPr>
          <w:p>
            <w:pPr>
              <w:jc w:val="center"/>
              <w:ind w:right="160"/>
              <w:spacing w:after="0" w:line="202" w:lineRule="exact"/>
              <w:rPr>
                <w:sz w:val="20"/>
                <w:szCs w:val="20"/>
                <w:color w:val="auto"/>
              </w:rPr>
            </w:pPr>
            <w:r>
              <w:rPr>
                <w:rFonts w:ascii="Arial" w:cs="Arial" w:eastAsia="Arial" w:hAnsi="Arial"/>
                <w:sz w:val="18"/>
                <w:szCs w:val="18"/>
                <w:i w:val="1"/>
                <w:iCs w:val="1"/>
                <w:color w:val="auto"/>
                <w:w w:val="92"/>
              </w:rPr>
              <w:t>(Principal Financial and Accounting Officer)</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J. Consiglio</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Ronald J. Consiglio</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0"/>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Friedman</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Michael Friedman, M.D.</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0"/>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Kent Kresa</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Kent Kresa</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0"/>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H. MacCallum</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David H. MacCallum</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30"/>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Henry L. Nordhoff</w:t>
            </w:r>
          </w:p>
        </w:tc>
        <w:tc>
          <w:tcPr>
            <w:tcW w:w="1780" w:type="dxa"/>
            <w:vAlign w:val="bottom"/>
            <w:tcBorders>
              <w:bottom w:val="single" w:sz="8" w:color="auto"/>
            </w:tcBorders>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Director</w:t>
            </w:r>
          </w:p>
        </w:tc>
        <w:tc>
          <w:tcPr>
            <w:tcW w:w="1480" w:type="dxa"/>
            <w:vAlign w:val="bottom"/>
            <w:gridSpan w:val="3"/>
          </w:tcPr>
          <w:p>
            <w:pPr>
              <w:jc w:val="center"/>
              <w:ind w:left="372"/>
              <w:spacing w:after="0"/>
              <w:rPr>
                <w:sz w:val="20"/>
                <w:szCs w:val="20"/>
                <w:color w:val="auto"/>
              </w:rPr>
            </w:pPr>
            <w:r>
              <w:rPr>
                <w:rFonts w:ascii="Arial" w:cs="Arial" w:eastAsia="Arial" w:hAnsi="Arial"/>
                <w:sz w:val="18"/>
                <w:szCs w:val="18"/>
                <w:color w:val="auto"/>
                <w:w w:val="88"/>
              </w:rPr>
              <w:t>March 3, 2014</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Henry L. Nordhoff</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70"/>
        </w:trPr>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gridSpan w:val="2"/>
          </w:tcPr>
          <w:p>
            <w:pPr>
              <w:jc w:val="right"/>
              <w:ind w:right="672"/>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80" w:type="dxa"/>
            <w:vAlign w:val="bottom"/>
          </w:tcPr>
          <w:p>
            <w:pPr>
              <w:jc w:val="right"/>
              <w:ind w:right="3952"/>
              <w:spacing w:after="0"/>
              <w:rPr>
                <w:sz w:val="20"/>
                <w:szCs w:val="20"/>
                <w:color w:val="auto"/>
              </w:rPr>
            </w:pPr>
            <w:r>
              <w:rPr>
                <w:rFonts w:ascii="Arial" w:cs="Arial" w:eastAsia="Arial" w:hAnsi="Arial"/>
                <w:sz w:val="18"/>
                <w:szCs w:val="18"/>
                <w:b w:val="1"/>
                <w:bCs w:val="1"/>
                <w:color w:val="auto"/>
                <w:w w:val="99"/>
              </w:rPr>
              <w:t>INDEX TO FINANCIAL STATEMENTS</w:t>
            </w:r>
          </w:p>
        </w:tc>
      </w:tr>
      <w:tr>
        <w:trPr>
          <w:trHeight w:val="259"/>
        </w:trPr>
        <w:tc>
          <w:tcPr>
            <w:tcW w:w="41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Report of Independent Registered Public Accounting Firm</w:t>
              </w:r>
            </w:hyperlink>
          </w:p>
        </w:tc>
        <w:tc>
          <w:tcPr>
            <w:tcW w:w="7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4140" w:type="dxa"/>
            <w:vAlign w:val="bottom"/>
            <w:gridSpan w:val="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71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Statements of Operations</w:t>
              </w:r>
            </w:hyperlink>
          </w:p>
        </w:tc>
        <w:tc>
          <w:tcPr>
            <w:tcW w:w="1380" w:type="dxa"/>
            <w:vAlign w:val="bottom"/>
            <w:gridSpan w:val="5"/>
          </w:tcPr>
          <w:p>
            <w:pPr>
              <w:spacing w:after="0"/>
              <w:rPr>
                <w:sz w:val="17"/>
                <w:szCs w:val="17"/>
                <w:color w:val="auto"/>
              </w:rPr>
            </w:pPr>
          </w:p>
        </w:tc>
        <w:tc>
          <w:tcPr>
            <w:tcW w:w="71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140" w:type="dxa"/>
            <w:vAlign w:val="bottom"/>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Comprehensive Loss</w:t>
              </w:r>
            </w:hyperlink>
          </w:p>
        </w:tc>
        <w:tc>
          <w:tcPr>
            <w:tcW w:w="71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196"/>
        </w:trPr>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Stockholders’ Equity (Deficit)</w:t>
              </w:r>
            </w:hyperlink>
          </w:p>
        </w:tc>
        <w:tc>
          <w:tcPr>
            <w:tcW w:w="20" w:type="dxa"/>
            <w:vAlign w:val="bottom"/>
          </w:tcPr>
          <w:p>
            <w:pPr>
              <w:spacing w:after="0"/>
              <w:rPr>
                <w:sz w:val="17"/>
                <w:szCs w:val="17"/>
                <w:color w:val="auto"/>
              </w:rPr>
            </w:pPr>
          </w:p>
        </w:tc>
        <w:tc>
          <w:tcPr>
            <w:tcW w:w="71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140" w:type="dxa"/>
            <w:vAlign w:val="bottom"/>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w:t>
              </w:r>
            </w:hyperlink>
          </w:p>
        </w:tc>
        <w:tc>
          <w:tcPr>
            <w:tcW w:w="71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196"/>
        </w:trPr>
        <w:tc>
          <w:tcPr>
            <w:tcW w:w="4140" w:type="dxa"/>
            <w:vAlign w:val="bottom"/>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71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Pr>
          <w:p>
            <w:pPr>
              <w:jc w:val="right"/>
              <w:ind w:right="5432"/>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84"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(a development stage company) (the “Company”) as of December 31, 2012 and 2013 and the related consolidated statements of operations, comprehensive loss, stockholders’ equity (deficit), and cash flows for each of the three years in the period ended December 31, 2013 and for the period from February 14, 1991 (date of inception) to December 31, 2013. These financial statements are the responsibility of the Company’s management. Our responsibility is to express an opinion on the financial statements based on our audits.</w:t>
      </w:r>
    </w:p>
    <w:p>
      <w:pPr>
        <w:spacing w:after="0" w:line="6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MannKind Corporation and subsidiaries as of December 31, 2012 and 2013, and the results of their operations and their cash flows for each of the three years in the period ended December 31, 2013 and for the period from February 14, 1991 (date of inception) to December 31, 2013, in conformity with accounting principles generally accepted in the United States of America.</w:t>
      </w:r>
    </w:p>
    <w:p>
      <w:pPr>
        <w:spacing w:after="0" w:line="62"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Company’s existing cash resources and its operating losses since inception raise substantial doubt about its ability to continue as a going concern. Management’s plans concerning these matters are also described in Note 1 to the consolidated financial statements. The financial statements do not include any adjustments that might result from the outcome of these uncertainties.</w:t>
      </w:r>
    </w:p>
    <w:p>
      <w:pPr>
        <w:spacing w:after="0" w:line="32"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March 3, 2014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29"/>
        </w:trPr>
        <w:tc>
          <w:tcPr>
            <w:tcW w:w="8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4"/>
          </w:tcPr>
          <w:p>
            <w:pPr>
              <w:jc w:val="center"/>
              <w:ind w:right="33"/>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11"/>
                <w:szCs w:val="11"/>
                <w:color w:val="auto"/>
              </w:rPr>
            </w:pPr>
          </w:p>
        </w:tc>
      </w:tr>
      <w:tr>
        <w:trPr>
          <w:trHeight w:val="161"/>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 data)</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84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r>
      <w:tr>
        <w:trPr>
          <w:trHeight w:val="216"/>
        </w:trPr>
        <w:tc>
          <w:tcPr>
            <w:tcW w:w="8840" w:type="dxa"/>
            <w:vAlign w:val="bottom"/>
          </w:tcPr>
          <w:p>
            <w:pPr>
              <w:ind w:left="22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CEEFF"/>
          </w:tcPr>
          <w:p>
            <w:pPr>
              <w:spacing w:after="0"/>
              <w:rPr>
                <w:sz w:val="18"/>
                <w:szCs w:val="18"/>
                <w:color w:val="auto"/>
              </w:rPr>
            </w:pPr>
          </w:p>
        </w:tc>
      </w:tr>
      <w:tr>
        <w:trPr>
          <w:trHeight w:val="221"/>
        </w:trPr>
        <w:tc>
          <w:tcPr>
            <w:tcW w:w="88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66,810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76,275</w:t>
            </w: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183,961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176,557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8"/>
                <w:szCs w:val="18"/>
                <w:color w:val="auto"/>
              </w:rPr>
            </w:pP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251,314</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258,646</w:t>
            </w: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84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w:t>
            </w:r>
          </w:p>
        </w:tc>
      </w:tr>
      <w:tr>
        <w:trPr>
          <w:trHeight w:val="216"/>
        </w:trPr>
        <w:tc>
          <w:tcPr>
            <w:tcW w:w="884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25,777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21,634</w:t>
            </w: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financing obligation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102,300</w:t>
            </w: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Senior convertible notes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114,443</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127,794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98,439</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119,635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361,993</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289,359</w:t>
            </w:r>
          </w:p>
        </w:tc>
        <w:tc>
          <w:tcPr>
            <w:tcW w:w="100" w:type="dxa"/>
            <w:vAlign w:val="bottom"/>
            <w:shd w:val="clear" w:color="auto" w:fill="CCEEFF"/>
          </w:tcPr>
          <w:p>
            <w:pPr>
              <w:spacing w:after="0"/>
              <w:rPr>
                <w:sz w:val="18"/>
                <w:szCs w:val="18"/>
                <w:color w:val="auto"/>
              </w:rPr>
            </w:pPr>
          </w:p>
        </w:tc>
      </w:tr>
      <w:tr>
        <w:trPr>
          <w:trHeight w:val="221"/>
        </w:trPr>
        <w:tc>
          <w:tcPr>
            <w:tcW w:w="8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840" w:type="dxa"/>
            <w:vAlign w:val="bottom"/>
          </w:tcPr>
          <w:p>
            <w:pPr>
              <w:spacing w:after="0"/>
              <w:rPr>
                <w:sz w:val="20"/>
                <w:szCs w:val="20"/>
                <w:color w:val="auto"/>
              </w:rPr>
            </w:pPr>
            <w:r>
              <w:rPr>
                <w:rFonts w:ascii="Arial" w:cs="Arial" w:eastAsia="Arial" w:hAnsi="Arial"/>
                <w:sz w:val="18"/>
                <w:szCs w:val="18"/>
                <w:color w:val="auto"/>
                <w:w w:val="95"/>
              </w:rPr>
              <w:t>Undesignated preferred stock, $0.01 par value — 10,000,000 shares authorized; no shares issued or outstanding at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840" w:type="dxa"/>
            <w:vAlign w:val="bottom"/>
          </w:tcPr>
          <w:p>
            <w:pPr>
              <w:ind w:left="220"/>
              <w:spacing w:after="0"/>
              <w:rPr>
                <w:sz w:val="20"/>
                <w:szCs w:val="20"/>
                <w:color w:val="auto"/>
              </w:rPr>
            </w:pPr>
            <w:r>
              <w:rPr>
                <w:rFonts w:ascii="Arial" w:cs="Arial" w:eastAsia="Arial" w:hAnsi="Arial"/>
                <w:sz w:val="18"/>
                <w:szCs w:val="18"/>
                <w:color w:val="auto"/>
              </w:rPr>
              <w:t>December 31, 2012 and 2013</w:t>
            </w:r>
          </w:p>
        </w:tc>
        <w:tc>
          <w:tcPr>
            <w:tcW w:w="10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$0.01 par value — 550,000,000 shares authorized at December 31, 2012 and 2013, respectively;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286,035,082 and 369,391,972 shares issued and outstanding at December 31, 2012 and 2013, respectively</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1,991,379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2,261,996</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1500" w:type="dxa"/>
            <w:vAlign w:val="bottom"/>
            <w:gridSpan w:val="2"/>
          </w:tcPr>
          <w:p>
            <w:pPr>
              <w:jc w:val="right"/>
              <w:ind w:right="612"/>
              <w:spacing w:after="0"/>
              <w:rPr>
                <w:sz w:val="20"/>
                <w:szCs w:val="20"/>
                <w:color w:val="auto"/>
              </w:rPr>
            </w:pPr>
            <w:r>
              <w:rPr>
                <w:rFonts w:ascii="Arial" w:cs="Arial" w:eastAsia="Arial" w:hAnsi="Arial"/>
                <w:sz w:val="18"/>
                <w:szCs w:val="18"/>
                <w:color w:val="auto"/>
                <w:w w:val="86"/>
              </w:rPr>
              <w:t>(2,104,912)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(2,296,402)</w:t>
            </w:r>
          </w:p>
        </w:tc>
      </w:tr>
      <w:tr>
        <w:trPr>
          <w:trHeight w:val="27"/>
        </w:trPr>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(110,679)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(30,713)</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251,314</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258,646</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3"/>
          </w:tcPr>
          <w:p>
            <w:pPr>
              <w:jc w:val="center"/>
              <w:ind w:right="100"/>
              <w:spacing w:after="0" w:line="114"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8"/>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101,522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109,719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1,577,292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40,630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45,473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59,682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140,589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146,995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169,401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2,233,832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(140,539)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(146,960)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(169,401)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(2,230,666)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(10,491)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(11,139)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(160,804)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(169,774)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(191,490)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(2,296,784)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(160,804)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(169,366)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(191,490)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(2,296,402)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9"/>
              </w:rPr>
              <w:t>Deemed dividend related to beneficial conversion feature of convertible preferred stock</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(160,804)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(169,366)</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(191,490)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(2,319,614)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121,817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180,855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299,591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$(160,804)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$(169,366)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$(191,490)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$(2,296,402)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translation (loss) gain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gain (loss) during the period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unrealized gain (loss) on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420"/>
              <w:spacing w:after="0"/>
              <w:rPr>
                <w:sz w:val="20"/>
                <w:szCs w:val="20"/>
                <w:color w:val="auto"/>
              </w:rPr>
            </w:pPr>
            <w:r>
              <w:rPr>
                <w:rFonts w:ascii="Arial" w:cs="Arial" w:eastAsia="Arial" w:hAnsi="Arial"/>
                <w:sz w:val="18"/>
                <w:szCs w:val="18"/>
                <w:color w:val="auto"/>
              </w:rPr>
              <w:t>Other comprehensive loss</w:t>
            </w: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(160,834)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(169,416)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(191,488)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(2,296,406)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Series C</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B</w:t>
            </w:r>
          </w:p>
        </w:tc>
        <w:tc>
          <w:tcPr>
            <w:tcW w:w="12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C</w:t>
            </w:r>
          </w:p>
        </w:tc>
        <w:tc>
          <w:tcPr>
            <w:tcW w:w="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Preferred</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4"/>
                <w:szCs w:val="4"/>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During the</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480" w:type="dxa"/>
            <w:vAlign w:val="bottom"/>
            <w:gridSpan w:val="2"/>
            <w:vMerge w:val="continue"/>
          </w:tcPr>
          <w:p>
            <w:pPr>
              <w:spacing w:after="0"/>
              <w:rPr>
                <w:sz w:val="5"/>
                <w:szCs w:val="5"/>
                <w:color w:val="auto"/>
              </w:rPr>
            </w:pPr>
          </w:p>
        </w:tc>
        <w:tc>
          <w:tcPr>
            <w:tcW w:w="1000" w:type="dxa"/>
            <w:vAlign w:val="bottom"/>
            <w:tcBorders>
              <w:bottom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5"/>
                <w:szCs w:val="5"/>
                <w:color w:val="auto"/>
              </w:rPr>
            </w:pPr>
          </w:p>
        </w:tc>
        <w:tc>
          <w:tcPr>
            <w:tcW w:w="92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1"/>
              </w:rPr>
              <w:t>Subscriptions</w:t>
            </w:r>
          </w:p>
        </w:tc>
        <w:tc>
          <w:tcPr>
            <w:tcW w:w="1000" w:type="dxa"/>
            <w:vAlign w:val="bottom"/>
            <w:tcBorders>
              <w:bottom w:val="single" w:sz="8" w:color="auto"/>
            </w:tcBorders>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5"/>
                <w:szCs w:val="5"/>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9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5"/>
                <w:szCs w:val="5"/>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Issuable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Receivable</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Shares</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3"/>
              </w:rPr>
              <w:t>Stockholders</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Officers</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Stage</w:t>
            </w:r>
          </w:p>
        </w:tc>
        <w:tc>
          <w:tcPr>
            <w:tcW w:w="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common</w:t>
            </w: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for cash</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$890</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   900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BALANCE, FEBRUARY</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29, 1992</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73</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contribution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(1,175)</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BALANCE, FEBRUARY</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28, 1993</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1,071</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(2,086)</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stock for cash</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 for</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 receivable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(1,156)</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BALANCE, FEBRUARY</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28, 1994</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(3,242)</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1,805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Collection of stock</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subscription</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1994</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1,126</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(5,246)</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w w:val="94"/>
              </w:rPr>
              <w:t>stock for 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(2,815)</w:t>
            </w: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145"/>
        </w:trPr>
        <w:tc>
          <w:tcPr>
            <w:tcW w:w="148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1995</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1,127</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(8,061)</w:t>
            </w: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(2,570)</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1996</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1,131</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(10,631)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548</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Conversion of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payable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(2,280)</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1997</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(12,911)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(7,368)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2,253</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12,703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Conversion of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payable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(3,331)</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1998</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4,254</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19,603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(16,242)</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Conversion of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payable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(5,679)</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1999</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4,496</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21,129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(21,921)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157" w:gutter="0" w:footer="0" w:header="0"/>
        </w:sect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157" w:gutter="0" w:footer="0" w:header="0"/>
          <w:type w:val="continuous"/>
        </w:sectPr>
      </w:pPr>
    </w:p>
    <w:bookmarkStart w:id="74" w:name="page75"/>
    <w:bookmarkEnd w:id="7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Series C</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Series B</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C</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Preferred</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Notes</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2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90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60" w:type="dxa"/>
            <w:vAlign w:val="bottom"/>
            <w:gridSpan w:val="2"/>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1"/>
              </w:rPr>
              <w:t>Subscriptions</w:t>
            </w:r>
          </w:p>
        </w:tc>
        <w:tc>
          <w:tcPr>
            <w:tcW w:w="10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9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5"/>
                <w:szCs w:val="5"/>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Issuable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Receivable</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Stockholders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Officers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4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Conversion of</w:t>
            </w: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 payable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63</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1,073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Series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B preferred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stock for cash</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193</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15,000</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 cash,</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services and</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4,690</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33,945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(2,358)</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31,633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9"/>
              </w:rPr>
              <w:t>Discount on notes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below market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rate</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241</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Accrued interest on</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4"/>
              </w:rPr>
              <w:t>Purchase of Series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(993)</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Amount in excess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 redemption</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obligation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Accretion to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redemption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3"/>
              </w:rPr>
              <w:t>value on Series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(149)</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9,609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(24,661)</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2000</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15,000</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9,249</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65,613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(2,234)</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(46,582)</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31,890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3,052</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78,000</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78,030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Cash received for</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to be issued</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3,900</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for services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2"/>
              </w:rPr>
              <w:t>Accrued interest 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(189)</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Payments on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receivable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Accretion to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redemption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3"/>
              </w:rPr>
              <w:t>value on Series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(239)</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1,565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 put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option by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stockholder</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(2,949)</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Record merger of</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entities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171,154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171,154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(48,245)</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(48,245)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2001</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15,000</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3"/>
              </w:rPr>
              <w:t>12,305</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w:t>
            </w:r>
          </w:p>
        </w:tc>
        <w:tc>
          <w:tcPr>
            <w:tcW w:w="8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317,117</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(2,395)</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(94,827)</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235,018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3,922</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58,775</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58,815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for cash already</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received</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234</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award to</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employee</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Cash received for</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issuable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2"/>
              </w:rPr>
              <w:t>Accrued interest 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(229)</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Payments on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receivable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1,314</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Beneficial</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conversion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feature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Series B</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1,421</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Deemed dividend</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(1,421)</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40" w:type="dxa"/>
            <w:vAlign w:val="bottom"/>
          </w:tcPr>
          <w:p>
            <w:pPr>
              <w:ind w:left="420"/>
              <w:spacing w:after="0"/>
              <w:rPr>
                <w:sz w:val="20"/>
                <w:szCs w:val="20"/>
                <w:color w:val="auto"/>
              </w:rPr>
            </w:pPr>
            <w:r>
              <w:rPr>
                <w:rFonts w:ascii="Arial" w:cs="Arial" w:eastAsia="Arial" w:hAnsi="Arial"/>
                <w:sz w:val="14"/>
                <w:szCs w:val="14"/>
                <w:color w:val="auto"/>
              </w:rPr>
              <w:t>related to</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387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87350"/>
                    </a:xfrm>
                    <a:prstGeom prst="rect">
                      <a:avLst/>
                    </a:prstGeom>
                    <a:noFill/>
                  </pic:spPr>
                </pic:pic>
              </a:graphicData>
            </a:graphic>
          </wp:anchor>
        </w:drawing>
      </w:r>
    </w:p>
    <w:p>
      <w:pPr>
        <w:ind w:left="440"/>
        <w:spacing w:after="0" w:line="221" w:lineRule="auto"/>
        <w:rPr>
          <w:sz w:val="20"/>
          <w:szCs w:val="20"/>
          <w:color w:val="auto"/>
        </w:rPr>
      </w:pPr>
      <w:r>
        <w:rPr>
          <w:rFonts w:ascii="Arial" w:cs="Arial" w:eastAsia="Arial" w:hAnsi="Arial"/>
          <w:sz w:val="14"/>
          <w:szCs w:val="14"/>
          <w:color w:val="auto"/>
        </w:rPr>
        <w:t>beneficial</w:t>
      </w:r>
    </w:p>
    <w:p>
      <w:pPr>
        <w:ind w:left="440"/>
        <w:spacing w:after="0"/>
        <w:rPr>
          <w:sz w:val="20"/>
          <w:szCs w:val="20"/>
          <w:color w:val="auto"/>
        </w:rPr>
      </w:pPr>
      <w:r>
        <w:rPr>
          <w:rFonts w:ascii="Arial" w:cs="Arial" w:eastAsia="Arial" w:hAnsi="Arial"/>
          <w:sz w:val="14"/>
          <w:szCs w:val="14"/>
          <w:color w:val="auto"/>
        </w:rPr>
        <w:t>conversion</w:t>
      </w:r>
    </w:p>
    <w:p>
      <w:pPr>
        <w:sectPr>
          <w:pgSz w:w="11900" w:h="16897" w:orient="portrait"/>
          <w:cols w:equalWidth="0" w:num="1">
            <w:col w:w="11420"/>
          </w:cols>
          <w:pgMar w:left="240" w:top="459" w:right="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feature of</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Series B</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13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8"/>
        </w:trPr>
        <w:tc>
          <w:tcPr>
            <w:tcW w:w="1360" w:type="dxa"/>
            <w:vAlign w:val="bottom"/>
          </w:tcPr>
          <w:p>
            <w:pPr>
              <w:ind w:left="220"/>
              <w:spacing w:after="0" w:line="138" w:lineRule="exact"/>
              <w:rPr>
                <w:sz w:val="20"/>
                <w:szCs w:val="20"/>
                <w:color w:val="auto"/>
              </w:rPr>
            </w:pPr>
            <w:r>
              <w:rPr>
                <w:rFonts w:ascii="Arial" w:cs="Arial" w:eastAsia="Arial" w:hAnsi="Arial"/>
                <w:sz w:val="14"/>
                <w:szCs w:val="14"/>
                <w:color w:val="auto"/>
              </w:rPr>
              <w:t>Accretion to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redemption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w w:val="93"/>
              </w:rPr>
              <w:t>value on Series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360" w:type="dxa"/>
            <w:vAlign w:val="bottom"/>
          </w:tcPr>
          <w:p>
            <w:pPr>
              <w:ind w:left="44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(251)</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900" w:type="dxa"/>
            <w:vAlign w:val="bottom"/>
          </w:tcPr>
          <w:p>
            <w:pPr>
              <w:ind w:left="78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(251)</w:t>
            </w:r>
          </w:p>
        </w:tc>
      </w:tr>
      <w:tr>
        <w:trPr>
          <w:trHeight w:val="138"/>
        </w:trPr>
        <w:tc>
          <w:tcPr>
            <w:tcW w:w="13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3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ind w:left="78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268</w:t>
            </w:r>
          </w:p>
        </w:tc>
      </w:tr>
      <w:tr>
        <w:trPr>
          <w:trHeight w:val="138"/>
        </w:trPr>
        <w:tc>
          <w:tcPr>
            <w:tcW w:w="1360" w:type="dxa"/>
            <w:vAlign w:val="bottom"/>
          </w:tcPr>
          <w:p>
            <w:pPr>
              <w:ind w:left="220"/>
              <w:spacing w:after="0" w:line="138" w:lineRule="exact"/>
              <w:rPr>
                <w:sz w:val="20"/>
                <w:szCs w:val="20"/>
                <w:color w:val="auto"/>
              </w:rPr>
            </w:pPr>
            <w:r>
              <w:rPr>
                <w:rFonts w:ascii="Arial" w:cs="Arial" w:eastAsia="Arial" w:hAnsi="Arial"/>
                <w:sz w:val="14"/>
                <w:szCs w:val="14"/>
                <w:color w:val="auto"/>
              </w:rPr>
              <w:t>Put option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redemption by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360" w:type="dxa"/>
            <w:vAlign w:val="bottom"/>
          </w:tcPr>
          <w:p>
            <w:pPr>
              <w:ind w:left="440"/>
              <w:spacing w:after="0" w:line="159" w:lineRule="exact"/>
              <w:rPr>
                <w:sz w:val="20"/>
                <w:szCs w:val="20"/>
                <w:color w:val="auto"/>
              </w:rPr>
            </w:pPr>
            <w:r>
              <w:rPr>
                <w:rFonts w:ascii="Arial" w:cs="Arial" w:eastAsia="Arial" w:hAnsi="Arial"/>
                <w:sz w:val="14"/>
                <w:szCs w:val="14"/>
                <w:color w:val="auto"/>
              </w:rPr>
              <w:t>stockholder</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1,921</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900" w:type="dxa"/>
            <w:vAlign w:val="bottom"/>
          </w:tcPr>
          <w:p>
            <w:pPr>
              <w:ind w:left="78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1,921</w:t>
            </w:r>
          </w:p>
        </w:tc>
      </w:tr>
      <w:tr>
        <w:trPr>
          <w:trHeight w:val="149"/>
        </w:trPr>
        <w:tc>
          <w:tcPr>
            <w:tcW w:w="1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(206,265)</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(206,265)</w:t>
            </w:r>
          </w:p>
        </w:tc>
      </w:tr>
      <w:tr>
        <w:trPr>
          <w:trHeight w:val="145"/>
        </w:trPr>
        <w:tc>
          <w:tcPr>
            <w:tcW w:w="1360" w:type="dxa"/>
            <w:vAlign w:val="bottom"/>
          </w:tcPr>
          <w:p>
            <w:pPr>
              <w:spacing w:after="0" w:line="145"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22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1360" w:type="dxa"/>
            <w:vAlign w:val="bottom"/>
          </w:tcPr>
          <w:p>
            <w:pPr>
              <w:ind w:left="220"/>
              <w:spacing w:after="0"/>
              <w:rPr>
                <w:sz w:val="20"/>
                <w:szCs w:val="20"/>
                <w:color w:val="auto"/>
              </w:rPr>
            </w:pPr>
            <w:r>
              <w:rPr>
                <w:rFonts w:ascii="Arial" w:cs="Arial" w:eastAsia="Arial" w:hAnsi="Arial"/>
                <w:sz w:val="14"/>
                <w:szCs w:val="14"/>
                <w:color w:val="auto"/>
              </w:rPr>
              <w:t>2002</w:t>
            </w:r>
          </w:p>
        </w:tc>
        <w:tc>
          <w:tcPr>
            <w:tcW w:w="400" w:type="dxa"/>
            <w:vAlign w:val="bottom"/>
          </w:tcPr>
          <w:p>
            <w:pPr>
              <w:jc w:val="right"/>
              <w:spacing w:after="0"/>
              <w:rPr>
                <w:sz w:val="20"/>
                <w:szCs w:val="20"/>
                <w:color w:val="auto"/>
              </w:rPr>
            </w:pPr>
            <w:r>
              <w:rPr>
                <w:rFonts w:ascii="Arial" w:cs="Arial" w:eastAsia="Arial" w:hAnsi="Arial"/>
                <w:sz w:val="14"/>
                <w:szCs w:val="14"/>
                <w:color w:val="auto"/>
              </w:rPr>
              <w:t>193</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15,000</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ind w:left="3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16,464</w:t>
            </w:r>
          </w:p>
        </w:tc>
        <w:tc>
          <w:tcPr>
            <w:tcW w:w="500" w:type="dxa"/>
            <w:vAlign w:val="bottom"/>
          </w:tcPr>
          <w:p>
            <w:pPr>
              <w:jc w:val="right"/>
              <w:spacing w:after="0"/>
              <w:rPr>
                <w:sz w:val="20"/>
                <w:szCs w:val="20"/>
                <w:color w:val="auto"/>
              </w:rPr>
            </w:pPr>
            <w:r>
              <w:rPr>
                <w:rFonts w:ascii="Arial" w:cs="Arial" w:eastAsia="Arial" w:hAnsi="Arial"/>
                <w:sz w:val="14"/>
                <w:szCs w:val="14"/>
                <w:color w:val="auto"/>
              </w:rPr>
              <w:t>165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378,010</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(1,310)</w:t>
            </w: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Arial" w:cs="Arial" w:eastAsia="Arial" w:hAnsi="Arial"/>
                <w:sz w:val="14"/>
                <w:szCs w:val="14"/>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(301,092)</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90,773</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6" w:right="239" w:bottom="1440" w:gutter="0" w:footer="0" w:header="0"/>
        </w:sectPr>
      </w:pPr>
    </w:p>
    <w:bookmarkStart w:id="76" w:name="page77"/>
    <w:bookmarkEnd w:id="76"/>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B</w:t>
            </w:r>
          </w:p>
        </w:tc>
        <w:tc>
          <w:tcPr>
            <w:tcW w:w="120" w:type="dxa"/>
            <w:vAlign w:val="bottom"/>
          </w:tcPr>
          <w:p>
            <w:pPr>
              <w:spacing w:after="0"/>
              <w:rPr>
                <w:sz w:val="12"/>
                <w:szCs w:val="12"/>
                <w:color w:val="auto"/>
              </w:rPr>
            </w:pPr>
          </w:p>
        </w:tc>
        <w:tc>
          <w:tcPr>
            <w:tcW w:w="11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C</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Notes</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10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116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9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Receivable</w:t>
            </w: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Receivable</w:t>
            </w:r>
          </w:p>
        </w:tc>
        <w:tc>
          <w:tcPr>
            <w:tcW w:w="102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11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Preferred Stock</w:t>
            </w:r>
          </w:p>
        </w:tc>
        <w:tc>
          <w:tcPr>
            <w:tcW w:w="8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3"/>
              </w:rPr>
              <w:t>Common Stock</w:t>
            </w:r>
          </w:p>
        </w:tc>
        <w:tc>
          <w:tcPr>
            <w:tcW w:w="7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8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180" w:type="dxa"/>
            <w:vAlign w:val="bottom"/>
            <w:gridSpan w:val="4"/>
            <w:vMerge w:val="continue"/>
          </w:tcPr>
          <w:p>
            <w:pPr>
              <w:spacing w:after="0"/>
              <w:rPr>
                <w:sz w:val="5"/>
                <w:szCs w:val="5"/>
                <w:color w:val="auto"/>
              </w:rPr>
            </w:pPr>
          </w:p>
        </w:tc>
        <w:tc>
          <w:tcPr>
            <w:tcW w:w="76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from</w:t>
            </w:r>
          </w:p>
        </w:tc>
        <w:tc>
          <w:tcPr>
            <w:tcW w:w="102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2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Issuable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Receivable</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Stockholders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Officers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Income (Loss)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Stage</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1280" w:type="dxa"/>
            <w:vAlign w:val="bottom"/>
            <w:tcBorders>
              <w:top w:val="single" w:sz="8" w:color="CCEEFF"/>
            </w:tcBorders>
            <w:shd w:val="clear" w:color="auto" w:fill="CCEEFF"/>
          </w:tcPr>
          <w:p>
            <w:pPr>
              <w:ind w:left="220"/>
              <w:spacing w:after="0" w:line="118" w:lineRule="exact"/>
              <w:rPr>
                <w:sz w:val="20"/>
                <w:szCs w:val="20"/>
                <w:color w:val="auto"/>
              </w:rPr>
            </w:pPr>
            <w:r>
              <w:rPr>
                <w:rFonts w:ascii="Arial" w:cs="Arial" w:eastAsia="Arial" w:hAnsi="Arial"/>
                <w:sz w:val="12"/>
                <w:szCs w:val="12"/>
                <w:color w:val="auto"/>
              </w:rPr>
              <w:t>Issuance of Series</w:t>
            </w: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 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subscriptions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50,000</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3"/>
              </w:rPr>
              <w:t>Cash collected 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Series 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subscriptions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31,847</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31,847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4"/>
              </w:rPr>
              <w:t>stock 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3,494</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49,965</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Non-cash</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4"/>
              </w:rPr>
              <w:t>compensation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expense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officer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6"/>
              </w:rPr>
              <w:t>resulting from</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stockholder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contribution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4"/>
              </w:rPr>
              <w:t>stock for cash</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already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received</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9"/>
              </w:rPr>
              <w:t>Notes receivable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by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stockholder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issued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officers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225</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(225)</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interest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on notes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(102)</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Beneficial</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1,017</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5"/>
              </w:rPr>
              <w:t>Deemed dividend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related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beneficial</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(1,017)</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Accretion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redemption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value 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Series A</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redeemable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(253)</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4,501</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2"/>
              </w:rPr>
              <w:t>Put shares sold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majority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stockholder</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623</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(65,879)</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(65,879)</w:t>
            </w: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2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220"/>
              <w:spacing w:after="0" w:line="159" w:lineRule="exact"/>
              <w:rPr>
                <w:sz w:val="20"/>
                <w:szCs w:val="20"/>
                <w:color w:val="auto"/>
              </w:rPr>
            </w:pPr>
            <w:r>
              <w:rPr>
                <w:rFonts w:ascii="Arial" w:cs="Arial" w:eastAsia="Arial" w:hAnsi="Arial"/>
                <w:sz w:val="14"/>
                <w:szCs w:val="14"/>
                <w:color w:val="auto"/>
              </w:rPr>
              <w:t>2003</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15,000</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50,000</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(18,153)</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19,975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200</w:t>
            </w: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433,141</w:t>
            </w:r>
          </w:p>
        </w:tc>
        <w:tc>
          <w:tcPr>
            <w:tcW w:w="1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(1,412)</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(228)</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(366,971)</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0"/>
              </w:rPr>
              <w:t>111,577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0"/>
              </w:rPr>
              <w:t>Issuance of Series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 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4"/>
              </w:rPr>
              <w:t>stock 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18,153</w:t>
            </w: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(18,153)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18,153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18,153</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0"/>
              </w:rPr>
              <w:t>Issuance of Series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 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4"/>
              </w:rPr>
              <w:t>stock for cash</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already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received</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624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31,847</w:t>
            </w: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(31,847)</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1,079</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Exercise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interest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on notes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(107)</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Repayment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9"/>
              </w:rPr>
              <w:t>receivable by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stockholder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issued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officers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(225)</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228</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Repayment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note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receivable</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(1,518)</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Conversion of</w:t>
            </w:r>
          </w:p>
        </w:tc>
        <w:tc>
          <w:tcPr>
            <w:tcW w:w="5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891</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5,239</w:t>
            </w:r>
          </w:p>
        </w:tc>
        <w:tc>
          <w:tcPr>
            <w:tcW w:w="140" w:type="dxa"/>
            <w:vAlign w:val="bottom"/>
          </w:tcPr>
          <w:p>
            <w:pPr>
              <w:spacing w:after="0"/>
              <w:rPr>
                <w:sz w:val="11"/>
                <w:szCs w:val="11"/>
                <w:color w:val="auto"/>
              </w:rPr>
            </w:pPr>
          </w:p>
        </w:tc>
        <w:tc>
          <w:tcPr>
            <w:tcW w:w="9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172"/>
        </w:trPr>
        <w:tc>
          <w:tcPr>
            <w:tcW w:w="1280" w:type="dxa"/>
            <w:vAlign w:val="bottom"/>
          </w:tcPr>
          <w:p>
            <w:pPr>
              <w:ind w:left="440"/>
              <w:spacing w:after="0"/>
              <w:rPr>
                <w:sz w:val="20"/>
                <w:szCs w:val="20"/>
                <w:color w:val="auto"/>
              </w:rPr>
            </w:pPr>
            <w:r>
              <w:rPr>
                <w:rFonts w:ascii="Arial" w:cs="Arial" w:eastAsia="Arial" w:hAnsi="Arial"/>
                <w:sz w:val="14"/>
                <w:szCs w:val="14"/>
                <w:color w:val="auto"/>
              </w:rPr>
              <w:t>Series A</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459"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Conversion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(15,000)</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811</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14,992</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Conversion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Series 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(980)</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5"/>
              </w:rPr>
              <w:t>(50,000)</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4,464</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49,955</w:t>
            </w:r>
          </w:p>
        </w:tc>
        <w:tc>
          <w:tcPr>
            <w:tcW w:w="140" w:type="dxa"/>
            <w:vAlign w:val="bottom"/>
          </w:tcPr>
          <w:p>
            <w:pPr>
              <w:spacing w:after="0"/>
              <w:rPr>
                <w:sz w:val="13"/>
                <w:szCs w:val="13"/>
                <w:color w:val="auto"/>
              </w:rPr>
            </w:pP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for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36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430</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Net proceeds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from initial</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public</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offering</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6,557</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9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83,110</w:t>
            </w: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83,176</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Beneficial</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19,822</w:t>
            </w:r>
          </w:p>
        </w:tc>
        <w:tc>
          <w:tcPr>
            <w:tcW w:w="140" w:type="dxa"/>
            <w:vAlign w:val="bottom"/>
          </w:tcPr>
          <w:p>
            <w:pPr>
              <w:spacing w:after="0"/>
              <w:rPr>
                <w:sz w:val="13"/>
                <w:szCs w:val="13"/>
                <w:color w:val="auto"/>
              </w:rPr>
            </w:pP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19,822</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Deemed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beneficial</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and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C</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(19,822)</w:t>
            </w: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5"/>
              </w:rPr>
              <w:t>(19,822)</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Accretion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redemption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value 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Series A</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redeemable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(60)</w:t>
            </w: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(60)</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6,810</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6,810</w:t>
            </w:r>
          </w:p>
        </w:tc>
      </w:tr>
      <w:tr>
        <w:trPr>
          <w:trHeight w:val="156"/>
        </w:trPr>
        <w:tc>
          <w:tcPr>
            <w:tcW w:w="20" w:type="dxa"/>
            <w:vAlign w:val="bottom"/>
          </w:tcPr>
          <w:p>
            <w:pPr>
              <w:spacing w:after="0"/>
              <w:rPr>
                <w:sz w:val="13"/>
                <w:szCs w:val="13"/>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62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4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(75,992)</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(75,992)</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2004</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32,756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592,999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(442,963)</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0"/>
              </w:rPr>
              <w:t>150,363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6"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Series B</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Series C</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Notes</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2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Additional</w:t>
            </w:r>
          </w:p>
        </w:tc>
        <w:tc>
          <w:tcPr>
            <w:tcW w:w="8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90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5"/>
              </w:rPr>
              <w:t>Common Stock</w:t>
            </w:r>
          </w:p>
        </w:tc>
        <w:tc>
          <w:tcPr>
            <w:tcW w:w="7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80" w:type="dxa"/>
            <w:vAlign w:val="bottom"/>
            <w:gridSpan w:val="2"/>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260" w:type="dxa"/>
            <w:vAlign w:val="bottom"/>
            <w:gridSpan w:val="4"/>
            <w:vMerge w:val="continue"/>
          </w:tcPr>
          <w:p>
            <w:pPr>
              <w:spacing w:after="0"/>
              <w:rPr>
                <w:sz w:val="5"/>
                <w:szCs w:val="5"/>
                <w:color w:val="auto"/>
              </w:rPr>
            </w:pPr>
          </w:p>
        </w:tc>
        <w:tc>
          <w:tcPr>
            <w:tcW w:w="7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9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5"/>
                <w:szCs w:val="5"/>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Issuable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Receivable</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Stockholders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Officers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Issuance of</w:t>
            </w: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for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494</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1,948</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awards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consultants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(146)</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and warrants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17,132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170,063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170,234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(1,828)</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(114,338)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(114,338)</w:t>
            </w:r>
          </w:p>
        </w:tc>
        <w:tc>
          <w:tcPr>
            <w:tcW w:w="0" w:type="dxa"/>
            <w:vAlign w:val="bottom"/>
          </w:tcPr>
          <w:p>
            <w:pPr>
              <w:spacing w:after="0"/>
              <w:rPr>
                <w:sz w:val="1"/>
                <w:szCs w:val="1"/>
                <w:color w:val="auto"/>
              </w:rPr>
            </w:pPr>
          </w:p>
        </w:tc>
      </w:tr>
      <w:tr>
        <w:trPr>
          <w:trHeight w:val="145"/>
        </w:trPr>
        <w:tc>
          <w:tcPr>
            <w:tcW w:w="128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2005</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50,314</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503</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763,775</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(557,301)</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206,977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2,691</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980</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2,309</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Cancellation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for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 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receivable</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(844)</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384,440</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384,670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w w:val="96"/>
              </w:rPr>
              <w:t>the release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 units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(341)</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agreement</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2,073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14,667</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(230,548)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(230,548)</w:t>
            </w:r>
          </w:p>
        </w:tc>
        <w:tc>
          <w:tcPr>
            <w:tcW w:w="0" w:type="dxa"/>
            <w:vAlign w:val="bottom"/>
          </w:tcPr>
          <w:p>
            <w:pPr>
              <w:spacing w:after="0"/>
              <w:rPr>
                <w:sz w:val="1"/>
                <w:szCs w:val="1"/>
                <w:color w:val="auto"/>
              </w:rPr>
            </w:pPr>
          </w:p>
        </w:tc>
      </w:tr>
      <w:tr>
        <w:trPr>
          <w:trHeight w:val="145"/>
        </w:trPr>
        <w:tc>
          <w:tcPr>
            <w:tcW w:w="128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2006</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73,360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734</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6"/>
              </w:rPr>
              <w:t>1,170,602</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(787,849)</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383,487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1,064</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607</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4,917</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awards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consultants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27,014</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270</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249,480</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249,750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the release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 units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(526)</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pursuant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research</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agreement</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943</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17,522</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17,522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(293,190)</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(293,190)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2007</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101,381</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6"/>
              </w:rPr>
              <w:t>1,444,125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(1,081,039)</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364,100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9019"/>
          </w:cols>
          <w:pgMar w:left="1440" w:top="131" w:right="1440" w:bottom="1440" w:gutter="0" w:footer="0" w:header="0"/>
        </w:sectPr>
      </w:pPr>
    </w:p>
    <w:bookmarkStart w:id="80" w:name="page81"/>
    <w:bookmarkEnd w:id="80"/>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2"/>
              </w:rPr>
              <w:t>Series B</w:t>
            </w:r>
          </w:p>
        </w:tc>
        <w:tc>
          <w:tcPr>
            <w:tcW w:w="120" w:type="dxa"/>
            <w:vAlign w:val="bottom"/>
          </w:tcPr>
          <w:p>
            <w:pPr>
              <w:spacing w:after="0"/>
              <w:rPr>
                <w:sz w:val="12"/>
                <w:szCs w:val="12"/>
                <w:color w:val="auto"/>
              </w:rPr>
            </w:pPr>
          </w:p>
        </w:tc>
        <w:tc>
          <w:tcPr>
            <w:tcW w:w="11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2"/>
              </w:rPr>
              <w:t>Series C</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4"/>
                <w:szCs w:val="4"/>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20" w:type="dxa"/>
            <w:vAlign w:val="bottom"/>
          </w:tcPr>
          <w:p>
            <w:pPr>
              <w:spacing w:after="0"/>
              <w:rPr>
                <w:sz w:val="8"/>
                <w:szCs w:val="8"/>
                <w:color w:val="auto"/>
              </w:rPr>
            </w:pPr>
          </w:p>
        </w:tc>
        <w:tc>
          <w:tcPr>
            <w:tcW w:w="112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Receivable</w:t>
            </w:r>
          </w:p>
        </w:tc>
        <w:tc>
          <w:tcPr>
            <w:tcW w:w="140" w:type="dxa"/>
            <w:vAlign w:val="bottom"/>
          </w:tcPr>
          <w:p>
            <w:pPr>
              <w:spacing w:after="0"/>
              <w:rPr>
                <w:sz w:val="4"/>
                <w:szCs w:val="4"/>
                <w:color w:val="auto"/>
              </w:rPr>
            </w:pPr>
          </w:p>
        </w:tc>
        <w:tc>
          <w:tcPr>
            <w:tcW w:w="7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1"/>
              </w:rPr>
              <w:t>Receivable</w:t>
            </w: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8"/>
                <w:szCs w:val="8"/>
                <w:color w:val="auto"/>
              </w:rPr>
            </w:pPr>
          </w:p>
        </w:tc>
        <w:tc>
          <w:tcPr>
            <w:tcW w:w="11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Preferred Stock</w:t>
            </w: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w w:val="95"/>
              </w:rPr>
              <w:t>Common Stock</w:t>
            </w: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5"/>
                <w:szCs w:val="5"/>
                <w:color w:val="auto"/>
              </w:rPr>
            </w:pPr>
          </w:p>
        </w:tc>
        <w:tc>
          <w:tcPr>
            <w:tcW w:w="8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40" w:type="dxa"/>
            <w:vAlign w:val="bottom"/>
          </w:tcPr>
          <w:p>
            <w:pPr>
              <w:spacing w:after="0"/>
              <w:rPr>
                <w:sz w:val="5"/>
                <w:szCs w:val="5"/>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1"/>
              </w:rPr>
              <w:t>Stockholders</w:t>
            </w:r>
          </w:p>
        </w:tc>
        <w:tc>
          <w:tcPr>
            <w:tcW w:w="1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Officers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8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Issuance of</w:t>
            </w: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2"/>
              </w:rPr>
              <w:t>Purchase Plan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349</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awards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consultants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the release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 units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248</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(317)</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w w:val="96"/>
              </w:rPr>
              <w:t>compensation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24,811</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24,811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Unrealized gain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on available-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for-sale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securities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295</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(303,039)</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(303,039)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2008</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102,008</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1,469,497</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295</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(1,384,078)</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86,734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w w:val="92"/>
              </w:rPr>
              <w:t>Purchase Plan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323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1,397</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for cash</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8,360</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59,640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59,724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w w:val="98"/>
              </w:rPr>
              <w:t>the release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stock units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2,240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(7,023)</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94</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w w:val="96"/>
              </w:rPr>
              <w:t>compensation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20,219</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20,219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available-for-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sale securities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(581)</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Unrealized gain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on foreign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translation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(220,104)</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(220,104)</w:t>
            </w:r>
          </w:p>
        </w:tc>
        <w:tc>
          <w:tcPr>
            <w:tcW w:w="0" w:type="dxa"/>
            <w:vAlign w:val="bottom"/>
          </w:tcPr>
          <w:p>
            <w:pPr>
              <w:spacing w:after="0"/>
              <w:rPr>
                <w:sz w:val="1"/>
                <w:szCs w:val="1"/>
                <w:color w:val="auto"/>
              </w:rPr>
            </w:pPr>
          </w:p>
        </w:tc>
      </w:tr>
      <w:tr>
        <w:trPr>
          <w:trHeight w:val="145"/>
        </w:trPr>
        <w:tc>
          <w:tcPr>
            <w:tcW w:w="130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2009</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113,025</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1,130</w:t>
            </w:r>
          </w:p>
        </w:tc>
        <w:tc>
          <w:tcPr>
            <w:tcW w:w="8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1,544,112</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(281)</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(1,604,182)</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(59,221)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2"/>
              </w:rPr>
              <w:t>Purchase Plan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288</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1,602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2,100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14,314</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14,335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 exchange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 cancelling</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an equal</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amount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 payable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 principal</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stockholder</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2,100</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16,660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under share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lending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agreement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9,000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90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the release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 units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962</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(3,402)</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318</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921</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6"/>
              </w:rPr>
              <w:t>compensation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13,580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Unrealized gain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on available-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for-sale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securities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361</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currency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translation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(170,560)</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(170,560)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459"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Arial" w:cs="Arial" w:eastAsia="Arial" w:hAnsi="Arial"/>
                <w:sz w:val="14"/>
                <w:szCs w:val="14"/>
                <w:color w:val="auto"/>
              </w:rPr>
              <w:t>BALANCE,</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49"/>
        </w:trPr>
        <w:tc>
          <w:tcPr>
            <w:tcW w:w="1360" w:type="dxa"/>
            <w:vAlign w:val="bottom"/>
          </w:tcPr>
          <w:p>
            <w:pPr>
              <w:ind w:left="220"/>
              <w:spacing w:after="0" w:line="149" w:lineRule="exact"/>
              <w:rPr>
                <w:sz w:val="20"/>
                <w:szCs w:val="20"/>
                <w:color w:val="auto"/>
              </w:rPr>
            </w:pPr>
            <w:r>
              <w:rPr>
                <w:rFonts w:ascii="Arial" w:cs="Arial" w:eastAsia="Arial" w:hAnsi="Arial"/>
                <w:sz w:val="14"/>
                <w:szCs w:val="14"/>
                <w:color w:val="auto"/>
              </w:rPr>
              <w:t>DECEMBER 31,</w:t>
            </w: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2"/>
        </w:trPr>
        <w:tc>
          <w:tcPr>
            <w:tcW w:w="1360" w:type="dxa"/>
            <w:vAlign w:val="bottom"/>
          </w:tcPr>
          <w:p>
            <w:pPr>
              <w:ind w:left="220"/>
              <w:spacing w:after="0"/>
              <w:rPr>
                <w:sz w:val="20"/>
                <w:szCs w:val="20"/>
                <w:color w:val="auto"/>
              </w:rPr>
            </w:pPr>
            <w:r>
              <w:rPr>
                <w:rFonts w:ascii="Arial" w:cs="Arial" w:eastAsia="Arial" w:hAnsi="Arial"/>
                <w:sz w:val="14"/>
                <w:szCs w:val="14"/>
                <w:color w:val="auto"/>
              </w:rPr>
              <w:t>2010</w:t>
            </w:r>
          </w:p>
        </w:tc>
        <w:tc>
          <w:tcPr>
            <w:tcW w:w="560" w:type="dxa"/>
            <w:vAlign w:val="bottom"/>
          </w:tcPr>
          <w:p>
            <w:pPr>
              <w:ind w:left="180"/>
              <w:spacing w:after="0"/>
              <w:rPr>
                <w:sz w:val="20"/>
                <w:szCs w:val="20"/>
                <w:color w:val="auto"/>
              </w:rPr>
            </w:pPr>
            <w:r>
              <w:rPr>
                <w:rFonts w:ascii="Arial" w:cs="Arial" w:eastAsia="Arial" w:hAnsi="Arial"/>
                <w:sz w:val="14"/>
                <w:szCs w:val="14"/>
                <w:color w:val="auto"/>
              </w:rPr>
              <w:t>—</w:t>
            </w:r>
          </w:p>
        </w:tc>
        <w:tc>
          <w:tcPr>
            <w:tcW w:w="112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880" w:type="dxa"/>
            <w:vAlign w:val="bottom"/>
          </w:tcPr>
          <w:p>
            <w:pPr>
              <w:ind w:left="340"/>
              <w:spacing w:after="0"/>
              <w:rPr>
                <w:sz w:val="20"/>
                <w:szCs w:val="20"/>
                <w:color w:val="auto"/>
              </w:rPr>
            </w:pPr>
            <w:r>
              <w:rPr>
                <w:rFonts w:ascii="Arial" w:cs="Arial" w:eastAsia="Arial" w:hAnsi="Arial"/>
                <w:sz w:val="14"/>
                <w:szCs w:val="14"/>
                <w:color w:val="auto"/>
              </w:rPr>
              <w:t>—</w:t>
            </w:r>
          </w:p>
        </w:tc>
        <w:tc>
          <w:tcPr>
            <w:tcW w:w="2860" w:type="dxa"/>
            <w:vAlign w:val="bottom"/>
          </w:tcPr>
          <w:p>
            <w:pPr>
              <w:ind w:left="380"/>
              <w:spacing w:after="0"/>
              <w:rPr>
                <w:sz w:val="20"/>
                <w:szCs w:val="20"/>
                <w:color w:val="auto"/>
              </w:rPr>
            </w:pPr>
            <w:r>
              <w:rPr>
                <w:rFonts w:ascii="Arial" w:cs="Arial" w:eastAsia="Arial" w:hAnsi="Arial"/>
                <w:sz w:val="14"/>
                <w:szCs w:val="14"/>
                <w:color w:val="auto"/>
                <w:w w:val="95"/>
              </w:rPr>
              <w:t>—   127,7931,278   1,587,858</w:t>
            </w:r>
          </w:p>
        </w:tc>
        <w:tc>
          <w:tcPr>
            <w:tcW w:w="820" w:type="dxa"/>
            <w:vAlign w:val="bottom"/>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ind w:left="320"/>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w w:val="91"/>
              </w:rPr>
              <w:t>74(1,774,742)  (185,532)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30" w:right="279" w:bottom="1440" w:gutter="0" w:footer="0" w:header="0"/>
        </w:sectPr>
      </w:pPr>
    </w:p>
    <w:bookmarkStart w:id="82" w:name="page83"/>
    <w:bookmarkEnd w:id="8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5"/>
              </w:rPr>
              <w:t>Series B</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C</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Deficit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Notes</w:t>
            </w: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9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Additional</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76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4"/>
              </w:rPr>
              <w:t>Receivable</w:t>
            </w: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8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40" w:type="dxa"/>
            <w:vAlign w:val="bottom"/>
            <w:gridSpan w:val="2"/>
            <w:vMerge w:val="continue"/>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5"/>
                <w:szCs w:val="5"/>
                <w:color w:val="auto"/>
              </w:rPr>
            </w:pPr>
          </w:p>
        </w:tc>
        <w:tc>
          <w:tcPr>
            <w:tcW w:w="92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10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Receivable</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3"/>
              </w:rPr>
              <w:t>Stockholders</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Officers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Income (Loss)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Stage</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Issuance of</w:t>
            </w: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under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Stock Purchase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283</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 stock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1,400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9,526</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Issuance of stock in</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for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cancelling an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equal amount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of note payable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 principal</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stockholder</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11,102</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11,116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from the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release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3"/>
              </w:rPr>
              <w:t>restricted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units</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433</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8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(547)</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214</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11,204</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11,204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Unrealized loss on</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available-for-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9"/>
              </w:rPr>
              <w:t>sale securities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w w:val="95"/>
              </w:rPr>
              <w:t>Unrealized loss 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foreign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currency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(160,804)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(160,804)</w:t>
            </w:r>
          </w:p>
        </w:tc>
        <w:tc>
          <w:tcPr>
            <w:tcW w:w="0" w:type="dxa"/>
            <w:vAlign w:val="bottom"/>
          </w:tcPr>
          <w:p>
            <w:pPr>
              <w:spacing w:after="0"/>
              <w:rPr>
                <w:sz w:val="1"/>
                <w:szCs w:val="1"/>
                <w:color w:val="auto"/>
              </w:rPr>
            </w:pPr>
          </w:p>
        </w:tc>
      </w:tr>
      <w:tr>
        <w:trPr>
          <w:trHeight w:val="145"/>
        </w:trPr>
        <w:tc>
          <w:tcPr>
            <w:tcW w:w="134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2011</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0"/>
              </w:rPr>
              <w:t>131,523</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1,315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1,620,535</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44</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(1,935,546)</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(313,652)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from the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release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3"/>
              </w:rPr>
              <w:t>restricted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units</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886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8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(915)</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underwritten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3"/>
              </w:rPr>
              <w:t>public offerings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81,938</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819</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166,045</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166,864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1"/>
              </w:rPr>
              <w:t>in exchange for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cancelling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5"/>
              </w:rPr>
              <w:t>equal amounts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1"/>
              </w:rPr>
              <w:t>of note payable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to principal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stockholder</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71,250</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713</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183,824</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184,537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Fair value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forward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contracts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litigation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settlement</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225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436</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Commitment to</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deliver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settlement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additional paid-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 capital</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6,056</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under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Purchase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211</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860</w:t>
            </w: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13,292</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13,292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Cumulative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translation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(loss) gain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Reclassification</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adjustment for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gains (losses)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included in net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loss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(169,366)</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(169,366)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0"/>
              </w:rPr>
              <w:t>286,035</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2,860</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1,991,379</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w:t>
            </w:r>
          </w:p>
        </w:tc>
        <w:tc>
          <w:tcPr>
            <w:tcW w:w="9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(2,104,912)</w:t>
            </w:r>
          </w:p>
        </w:tc>
        <w:tc>
          <w:tcPr>
            <w:tcW w:w="6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w w:val="96"/>
              </w:rPr>
              <w:t>(110,679)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2012</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72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880</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2,261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2,270</w:t>
            </w: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from the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release of</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restricted stock</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units</w:t>
            </w:r>
          </w:p>
        </w:tc>
        <w:tc>
          <w:tcPr>
            <w:tcW w:w="7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1,870</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8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(4,821)</w:t>
            </w:r>
          </w:p>
        </w:tc>
        <w:tc>
          <w:tcPr>
            <w:tcW w:w="3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(4,801)</w:t>
            </w: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warrant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exercises</w:t>
            </w:r>
          </w:p>
        </w:tc>
        <w:tc>
          <w:tcPr>
            <w:tcW w:w="72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66,353</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664</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171,485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172,149</w:t>
            </w: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4"/>
              </w:rPr>
              <w:t>conversions by</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Deerfield</w:t>
            </w:r>
          </w:p>
        </w:tc>
        <w:tc>
          <w:tcPr>
            <w:tcW w:w="7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1,095</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5,489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5,501</w:t>
            </w: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7"/>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w w:val="91"/>
              </w:rPr>
              <w:t>ATM issuances</w:t>
            </w:r>
          </w:p>
        </w:tc>
        <w:tc>
          <w:tcPr>
            <w:tcW w:w="72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9,824</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48,789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48,888</w:t>
            </w: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settlement</w:t>
            </w:r>
          </w:p>
        </w:tc>
        <w:tc>
          <w:tcPr>
            <w:tcW w:w="7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2,778</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8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w:t>
            </w:r>
          </w:p>
        </w:tc>
        <w:tc>
          <w:tcPr>
            <w:tcW w:w="3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under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Purchase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Plan</w:t>
            </w:r>
          </w:p>
        </w:tc>
        <w:tc>
          <w:tcPr>
            <w:tcW w:w="72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557</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1,258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1,263</w:t>
            </w: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7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45,186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45,186</w:t>
            </w: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Cumulative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translation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(loss) gain</w:t>
            </w:r>
          </w:p>
        </w:tc>
        <w:tc>
          <w:tcPr>
            <w:tcW w:w="72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0" w:type="dxa"/>
            <w:vAlign w:val="bottom"/>
            <w:gridSpan w:val="3"/>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w:t>
            </w: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Commitment to</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deliver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Deerfield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additional paid-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 capital</w:t>
            </w:r>
          </w:p>
        </w:tc>
        <w:tc>
          <w:tcPr>
            <w:tcW w:w="7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998</w:t>
            </w:r>
          </w:p>
        </w:tc>
      </w:tr>
      <w:tr>
        <w:trPr>
          <w:trHeight w:val="156"/>
        </w:trPr>
        <w:tc>
          <w:tcPr>
            <w:tcW w:w="20" w:type="dxa"/>
            <w:vAlign w:val="bottom"/>
          </w:tcPr>
          <w:p>
            <w:pPr>
              <w:spacing w:after="0"/>
              <w:rPr>
                <w:sz w:val="13"/>
                <w:szCs w:val="13"/>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0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(191,490)</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(191,490)</w:t>
            </w: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2013</w:t>
            </w:r>
          </w:p>
        </w:tc>
        <w:tc>
          <w:tcPr>
            <w:tcW w:w="7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  $</w:t>
            </w:r>
          </w:p>
        </w:tc>
        <w:tc>
          <w:tcPr>
            <w:tcW w:w="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0"/>
              </w:rPr>
              <w:t>369,392</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3,697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2,261,996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  $</w:t>
            </w:r>
          </w:p>
        </w:tc>
        <w:tc>
          <w:tcPr>
            <w:tcW w:w="9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4"/>
                <w:szCs w:val="14"/>
                <w:color w:val="auto"/>
              </w:rPr>
              <w:t>—  $</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4"/>
              </w:rPr>
              <w:t>(2,296,402)</w:t>
            </w:r>
          </w:p>
        </w:tc>
        <w:tc>
          <w:tcPr>
            <w:tcW w:w="6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7"/>
              </w:rPr>
              <w:t>$ (30,713)</w:t>
            </w: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2560" w:type="dxa"/>
            <w:vAlign w:val="bottom"/>
            <w:gridSpan w:val="8"/>
            <w:vMerge w:val="restart"/>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21"/>
        </w:trPr>
        <w:tc>
          <w:tcPr>
            <w:tcW w:w="7740" w:type="dxa"/>
            <w:vAlign w:val="bottom"/>
          </w:tcPr>
          <w:p>
            <w:pPr>
              <w:spacing w:after="0"/>
              <w:rPr>
                <w:sz w:val="10"/>
                <w:szCs w:val="10"/>
                <w:color w:val="auto"/>
              </w:rPr>
            </w:pPr>
          </w:p>
        </w:tc>
        <w:tc>
          <w:tcPr>
            <w:tcW w:w="2560" w:type="dxa"/>
            <w:vAlign w:val="bottom"/>
            <w:gridSpan w:val="8"/>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December 31,</w:t>
            </w:r>
          </w:p>
        </w:tc>
        <w:tc>
          <w:tcPr>
            <w:tcW w:w="0" w:type="dxa"/>
            <w:vAlign w:val="bottom"/>
          </w:tcPr>
          <w:p>
            <w:pPr>
              <w:spacing w:after="0"/>
              <w:rPr>
                <w:sz w:val="1"/>
                <w:szCs w:val="1"/>
                <w:color w:val="auto"/>
              </w:rPr>
            </w:pPr>
          </w:p>
        </w:tc>
      </w:tr>
      <w:tr>
        <w:trPr>
          <w:trHeight w:val="169"/>
        </w:trPr>
        <w:tc>
          <w:tcPr>
            <w:tcW w:w="77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 (160,804)</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 (169,366)</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 (191,490)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(2,296,402)</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accretion</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15,912</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14,402</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14,057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11,204</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13,292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45,186</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Stock expense for shares issued pursuant to research agreement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(gain) on sale, abandonment/disposal or impairment of property and equipment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817</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Accrued interest on investments, net of amortization of premiums (discounts)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In-process research and development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Goodwill impairment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available-for-sale securities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Fair value of forward purchase contract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1,237</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Common shares issued pursuant to litigation settlement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Commitment to deliver common shares pursuant to litigation settlement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6,056</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net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4"/>
                <w:szCs w:val="14"/>
                <w:color w:val="auto"/>
              </w:rPr>
              <w:t>Changes in assets and liabilities: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State research and development credit exchange receivable</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830</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466</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774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(1,545)</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(965)</w:t>
            </w: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assets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7740" w:type="dxa"/>
            <w:vAlign w:val="bottom"/>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2,672</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(1,071)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6,045</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15,075</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3,675</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440"/>
              <w:spacing w:after="0" w:line="149" w:lineRule="exact"/>
              <w:rPr>
                <w:sz w:val="20"/>
                <w:szCs w:val="20"/>
                <w:color w:val="auto"/>
              </w:rPr>
            </w:pPr>
            <w:r>
              <w:rPr>
                <w:rFonts w:ascii="Arial" w:cs="Arial" w:eastAsia="Arial" w:hAnsi="Arial"/>
                <w:sz w:val="14"/>
                <w:szCs w:val="14"/>
                <w:color w:val="auto"/>
              </w:rPr>
              <w:t>Other liabilities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591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Net cash used in operating activities</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(123,837)</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(119,860)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(128,732)</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(1,724,993)</w:t>
            </w:r>
          </w:p>
        </w:tc>
        <w:tc>
          <w:tcPr>
            <w:tcW w:w="0" w:type="dxa"/>
            <w:vAlign w:val="bottom"/>
          </w:tcPr>
          <w:p>
            <w:pPr>
              <w:spacing w:after="0"/>
              <w:rPr>
                <w:sz w:val="1"/>
                <w:szCs w:val="1"/>
                <w:color w:val="auto"/>
              </w:rPr>
            </w:pPr>
          </w:p>
        </w:tc>
      </w:tr>
      <w:tr>
        <w:trPr>
          <w:trHeight w:val="156"/>
        </w:trPr>
        <w:tc>
          <w:tcPr>
            <w:tcW w:w="774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marketable securities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(796,779)</w:t>
            </w: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3,828</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796,393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(637)</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(7,987)</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(335,733)</w:t>
            </w: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Net cash used in investing activities</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(2,937)</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(7,987)</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(335,665)</w:t>
            </w:r>
          </w:p>
        </w:tc>
        <w:tc>
          <w:tcPr>
            <w:tcW w:w="0" w:type="dxa"/>
            <w:vAlign w:val="bottom"/>
          </w:tcPr>
          <w:p>
            <w:pPr>
              <w:spacing w:after="0"/>
              <w:rPr>
                <w:sz w:val="1"/>
                <w:szCs w:val="1"/>
                <w:color w:val="auto"/>
              </w:rPr>
            </w:pPr>
          </w:p>
        </w:tc>
      </w:tr>
      <w:tr>
        <w:trPr>
          <w:trHeight w:val="156"/>
        </w:trPr>
        <w:tc>
          <w:tcPr>
            <w:tcW w:w="774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and warrants, net of issuance costs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10,941</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167,735</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52,421</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1,450,177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Collection of Series C convertible preferred stock subscriptions receivable</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B convertible preferred stock for cash</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Cash received for common stock to be issued</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Put shares sold to majority stockholder</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 for common stock</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94,147</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Borrowings under lines of credit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2013 notes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(115,000)</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Proceeds from issuance of facility financing obligation &amp; milestone rights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119,500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119,500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Facility financing obligation &amp; milestone rights issuance costs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2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Proceeds from notes receivables</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on notes payable to principal stockholder</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53,000</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12,750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Principal payments on notes payable to principal stockholder</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on notes payable</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Principal payments on notes payable to our principal stockholder</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49"/>
        </w:trPr>
        <w:tc>
          <w:tcPr>
            <w:tcW w:w="7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senior convertible notes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line="149" w:lineRule="exact"/>
              <w:rPr>
                <w:sz w:val="20"/>
                <w:szCs w:val="20"/>
                <w:color w:val="auto"/>
              </w:rPr>
            </w:pPr>
            <w:r>
              <w:rPr>
                <w:rFonts w:ascii="Arial" w:cs="Arial" w:eastAsia="Arial" w:hAnsi="Arial"/>
                <w:sz w:val="14"/>
                <w:szCs w:val="14"/>
                <w:color w:val="auto"/>
              </w:rPr>
              <w:t>Payment of employment taxes related to vested restricted stock units</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(547)</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(906)</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(4,801)</w:t>
            </w: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63,394</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179,579</w:t>
            </w: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145,669</w:t>
            </w:r>
          </w:p>
        </w:tc>
        <w:tc>
          <w:tcPr>
            <w:tcW w:w="20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9"/>
            <w:vMerge w:val="restart"/>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40" w:type="dxa"/>
            <w:vAlign w:val="bottom"/>
            <w:gridSpan w:val="9"/>
            <w:vMerge w:val="continue"/>
          </w:tcPr>
          <w:p>
            <w:pPr>
              <w:spacing w:after="0"/>
              <w:rPr>
                <w:sz w:val="10"/>
                <w:szCs w:val="10"/>
                <w:color w:val="auto"/>
              </w:rPr>
            </w:pPr>
          </w:p>
        </w:tc>
        <w:tc>
          <w:tcPr>
            <w:tcW w:w="880" w:type="dxa"/>
            <w:vAlign w:val="bottom"/>
            <w:gridSpan w:val="3"/>
          </w:tcPr>
          <w:p>
            <w:pPr>
              <w:jc w:val="center"/>
              <w:ind w:right="80"/>
              <w:spacing w:after="0" w:line="114"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(63,380)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59,159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8,950</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66,061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2,681</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3"/>
              </w:rPr>
              <w:t>61,840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2,681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61,840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70,790</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70,790</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4"/>
                <w:szCs w:val="14"/>
                <w:color w:val="auto"/>
              </w:rPr>
              <w:t>SUPPLEMENTAL CASH FLOWS DISCLOSURES: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Cash paid for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Interest paid in cash, net of amounts capitalized to Construction in progress</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17,248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9,755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13,452</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Accretion on redeemable convertible preferred stock</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Issuance of common stock upon conversion of notes payable</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Increase in additional paid-in capital resulting from merger</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Issuance of common stock for notes receivable</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Issuance of common stock pursuant to debt conversion by Deerfield</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Issuance of put option by stockholder</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Put option redemption by stockholder</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Issuance of Series C convertible preferred stock subscriptions</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Issuance of Series A redeemable convertible preferred stock</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Conversion of Series A redeemable convertible preferred stock</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Non-cash construction in progress and property and equipment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40"/>
              <w:spacing w:after="0" w:line="149" w:lineRule="exact"/>
              <w:rPr>
                <w:sz w:val="20"/>
                <w:szCs w:val="20"/>
                <w:color w:val="auto"/>
              </w:rPr>
            </w:pPr>
            <w:r>
              <w:rPr>
                <w:rFonts w:ascii="Arial" w:cs="Arial" w:eastAsia="Arial" w:hAnsi="Arial"/>
                <w:sz w:val="14"/>
                <w:szCs w:val="14"/>
                <w:color w:val="auto"/>
              </w:rPr>
              <w:t>Capitalization of interest on note payable to principal stockholder</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14,219</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7,886</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Reduction of principal on note payable to principal stockholder upon issuance of common stock and exercise of warrants</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11,116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184,537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78,000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420"/>
              <w:spacing w:after="0" w:line="149" w:lineRule="exact"/>
              <w:rPr>
                <w:sz w:val="20"/>
                <w:szCs w:val="20"/>
                <w:color w:val="auto"/>
              </w:rPr>
            </w:pPr>
            <w:r>
              <w:rPr>
                <w:rFonts w:ascii="Arial" w:cs="Arial" w:eastAsia="Arial" w:hAnsi="Arial"/>
                <w:sz w:val="14"/>
                <w:szCs w:val="14"/>
                <w:color w:val="auto"/>
              </w:rPr>
              <w:t>Forward purchase contracts contribution to additional paid-in capital</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29,317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forward purchase contracts to additional paid-in capital</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28,080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28,080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right="3400" w:firstLine="3405"/>
        <w:spacing w:after="0" w:line="394" w:lineRule="auto"/>
        <w:rPr>
          <w:sz w:val="20"/>
          <w:szCs w:val="20"/>
          <w:color w:val="auto"/>
        </w:rPr>
      </w:pPr>
      <w:r>
        <w:rPr>
          <w:rFonts w:ascii="Arial" w:cs="Arial" w:eastAsia="Arial" w:hAnsi="Arial"/>
          <w:sz w:val="18"/>
          <w:szCs w:val="18"/>
          <w:b w:val="1"/>
          <w:bCs w:val="1"/>
          <w:color w:val="auto"/>
        </w:rPr>
        <w:t>NOTES TO CONSOLIDATED FINANCIAL STATEMENTS 1. Description of business and basis of presentation</w:t>
      </w:r>
    </w:p>
    <w:p>
      <w:pPr>
        <w:spacing w:after="0" w:line="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Corporation and subsidiaries (the “Company”) is a biopharmaceutical company focused on the discovery,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therapeutic products for diseases such as diabetes. The Company’s lead product candidate, AFREZZA, (insulin human [rDNA origin]) inhalation powder, is an ultra rapid-acting insulin therapy that is in late-stage clinical investigation for the treatment of adults with type 1 or type 2 diabetes for the control of hyperglycemia.</w:t>
      </w:r>
    </w:p>
    <w:p>
      <w:pPr>
        <w:spacing w:after="0" w:line="6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51" w:lineRule="exact"/>
        <w:rPr>
          <w:sz w:val="20"/>
          <w:szCs w:val="20"/>
          <w:color w:val="auto"/>
        </w:rPr>
      </w:pPr>
    </w:p>
    <w:p>
      <w:pPr>
        <w:ind w:right="80" w:firstLine="228"/>
        <w:spacing w:after="0" w:line="25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Company is considered to be in the development stage as its primary activities since incorporation have been establishing its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recruiting personnel, conducting research and development, business development, business and financial planning, and raising capital. It is costly to develop therapeutic products and conduct clinical studies for these products. From its inception through December 31, 2013, the Company has reported accumulated net losses of $2.3 billion, which include a goodwill impairment charge of $151.4 million and cumulative negative cash flow from operations of $1.7 billion. At December 31, 2013, the Company’s capital resources consisted of cash and cash equivalents of $70.8 million. These factors raise substantial doubt about the Company’s ability to continue as a going concern. The financial statements do not include any adjustments that might result from the outcome of these uncertainties.</w:t>
      </w:r>
    </w:p>
    <w:p>
      <w:pPr>
        <w:spacing w:after="0" w:line="6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As of December 31, 2013, the Company had $30.1 million principal amount of available borrowings under the loan arrangement with The Mann Group, or the Loan Arrangement, although the Company anticipates using a portion of these available borrowings to capitalize accrued interest into principal as it becomes due and payable under the Loan Arrangement, upon mutual agreement of the parties (see Note 6). As described in Note 16, the Facility Agreement contains a financial covenant that requires the Company’s cash and cash equivalents, which include available borrowings under this Loan Arrangement, on the last day of each fiscal quarter to not be less than $25 million (see Note 16). Based on our current expectations, the Company believes that its existing capital resources will enable it to continue planned operations at least into the third quarter of 2014. However, the Company cannot provide assurances that its plans will not change or that changed circumstances will not result in the depletion of its capital resources more rapidly than it currently anticipates. The Company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whether through the sale of equity or debt securities, a strategic business collaboration with a pharmaceutical company, the establishment of other funding facilities, licensing arrangements, asset sales or other means.</w:t>
      </w:r>
    </w:p>
    <w:p>
      <w:pPr>
        <w:spacing w:after="0" w:line="43"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Capital resources potentially available to the Company include proceeds from the exercise of warrants issued in its February 2012 public offering, the Company’s at-the-market issuance sales agreements (see Note 18) and issuance of additional 2019 notes and/or tranche B notes (see Note 18) to Deerfield, as more fully described below:</w:t>
      </w:r>
    </w:p>
    <w:p>
      <w:pPr>
        <w:spacing w:after="0" w:line="59"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In February 2012, the Company sold in an underwritten public offering 35,937,500 units at an aggregate price to the public of $86.3 million, with each unit consisting of one share of common stock and a warrant to purchase 0.6 of a share of common stock. As of December 31, 2013, there were 32,843,733 warrants outstanding that, if exercised, would result in proceeds of $47.3 million.</w:t>
      </w:r>
    </w:p>
    <w:p>
      <w:pPr>
        <w:spacing w:after="0" w:line="59"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On March 18, 2013, the Company entered into at-the-market issuance sales agreements with two sales agents, under which the Company was permitted to issue and sell shares of its common stock having an aggregate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price of up to $50.0 million under each agreement (provided that in no event was the Company permitted to issue and sell more than $50.0 million of shares of its common stock under both agreements in the aggregate) from time to time through either of the sales agents. As of December 31, 2013 the Company had sold $48.9 million in common stock through these agreements, net of fees, and no further sales through these agreements are permitted.</w:t>
      </w:r>
    </w:p>
    <w:p>
      <w:pPr>
        <w:spacing w:after="0" w:line="107" w:lineRule="exact"/>
        <w:rPr>
          <w:sz w:val="20"/>
          <w:szCs w:val="20"/>
          <w:color w:val="auto"/>
        </w:rPr>
      </w:pPr>
    </w:p>
    <w:p>
      <w:pPr>
        <w:ind w:right="340" w:firstLine="228"/>
        <w:spacing w:after="0" w:line="254" w:lineRule="auto"/>
        <w:rPr>
          <w:sz w:val="20"/>
          <w:szCs w:val="20"/>
          <w:color w:val="auto"/>
        </w:rPr>
      </w:pPr>
      <w:r>
        <w:rPr>
          <w:rFonts w:ascii="Arial" w:cs="Arial" w:eastAsia="Arial" w:hAnsi="Arial"/>
          <w:sz w:val="18"/>
          <w:szCs w:val="18"/>
          <w:color w:val="auto"/>
        </w:rPr>
        <w:t>On July 1, 2013, the Company entered into the Facility Agreement, providing for the sale of up to $160.0 million of 2019 notes to Deerfield in four equal tranches of $40.0 million principal amount. In connection with the Facility Agreement, on July 1, 2013 the Company also entered into a Milestone Rights Purchase Agreement with Deerfield Private Design Fund and Horizon Santé FLML SÁRL (“HS” and together with Deerfield Private Design Fund, the “Milestone Purchasers”), pursuant to which, the Company sold the Milestone Purchasers certain rights to receive payments of up to $90.0 million upon the occurrence of specified strategic and sales milestones including the first commercial sale of an AFREZZA product and the achievement of specified net sales figures (see Note 16).</w:t>
      </w:r>
    </w:p>
    <w:p>
      <w:pPr>
        <w:spacing w:after="0" w:line="6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On July 1, 2013, Deerfield purchased the first tranche of 2019 notes and the Milestone Rights for an aggregate of $40.0 million. The closing of the second tranche of 2019 notes, which was subject to achievement and reporting of certain results from the Company’s two Phase 3 clinical studies of AFREZZA, occurred on September 5, 2013. The closing of the third tranche of 2019 notes occurred in conjunction with the payment, at maturity, of the 2013 notes on December 9, 2013. There can be no assurance that the conditions required for the purchase of the fourth tranche of the 2019 notes will be met or met in a timeframe necessary to support the Company’s liquidity needs (see Note 18).</w:t>
      </w:r>
    </w:p>
    <w:p>
      <w:pPr>
        <w:spacing w:after="0" w:line="62"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39" w:lineRule="exact"/>
        <w:rPr>
          <w:sz w:val="20"/>
          <w:szCs w:val="20"/>
          <w:color w:val="auto"/>
        </w:rPr>
      </w:pPr>
    </w:p>
    <w:p>
      <w:pPr>
        <w:ind w:right="280" w:firstLine="228"/>
        <w:spacing w:after="0" w:line="357" w:lineRule="auto"/>
        <w:rPr>
          <w:sz w:val="20"/>
          <w:szCs w:val="20"/>
          <w:color w:val="auto"/>
        </w:rPr>
      </w:pPr>
      <w:r>
        <w:rPr>
          <w:rFonts w:ascii="Arial" w:cs="Arial" w:eastAsia="Arial" w:hAnsi="Arial"/>
          <w:sz w:val="15"/>
          <w:szCs w:val="15"/>
          <w:color w:val="auto"/>
        </w:rPr>
        <w:t>For periods subsequent to December 12, 2001, the accompanying financial statements have been presented on a consolidated basis and include the wholly-owned subsidiaries, AlleCure and CTL. On December 31, 2002, AlleCure and CTL merged with and into the Company and ceased to be separate entities.</w:t>
      </w:r>
    </w:p>
    <w:p>
      <w:pPr>
        <w:ind w:right="160" w:firstLine="228"/>
        <w:spacing w:after="0" w:line="268"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the Company and its wholly-owned subsidiaries.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w:t>
      </w:r>
    </w:p>
    <w:p>
      <w:pPr>
        <w:spacing w:after="0" w:line="51"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In accordance with Accounting Standards Codification (“ASC”) 280-10-50</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operating segments are identified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accounting principles generally accepted in the United States of</w:t>
      </w:r>
      <w:r>
        <w:rPr>
          <w:rFonts w:ascii="Arial" w:cs="Arial" w:eastAsia="Arial" w:hAnsi="Arial"/>
          <w:sz w:val="16"/>
          <w:szCs w:val="16"/>
          <w:i w:val="1"/>
          <w:iCs w:val="1"/>
          <w:color w:val="auto"/>
        </w:rPr>
        <w:t xml:space="preserve"> </w:t>
      </w:r>
      <w:r>
        <w:rPr>
          <w:rFonts w:ascii="Arial" w:cs="Arial" w:eastAsia="Arial" w:hAnsi="Arial"/>
          <w:sz w:val="16"/>
          <w:szCs w:val="16"/>
          <w:color w:val="auto"/>
        </w:rPr>
        <w:t>America (“GAAP”) requires management to make estimates and assumptions that affect the amounts reported in the financial statements and accompanying notes. Actual results could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The more significant estimates reflected in these accompanying financial statements involve assessing long-lived assets for impairment, accrued expenses, including clinical trial expenses, valuation of forward purchase contracts, valuation of Milestone Rights, valuation of the Commitment Asset, valuation of stock-based compensation and the determination of the provision for income taxes and corresponding deferred tax assets and liabilities and any valuation allowance recorded against net deferred tax assets.</w:t>
      </w:r>
    </w:p>
    <w:p>
      <w:pPr>
        <w:spacing w:after="0" w:line="3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original or remaining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that are readily convertible into cash to be cash equivalents. As of December 31, 2012 and 2013, cash equivalents were comprised of cash and money market accounts with maturities less than 90 days from the date of purchase.</w:t>
      </w:r>
    </w:p>
    <w:p>
      <w:pPr>
        <w:spacing w:after="0" w:line="59"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which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Cash and cash equivalents consist of interest-bearing accounts, which are regularly monitored by management and held in high credit quality institutions.</w:t>
      </w:r>
    </w:p>
    <w:p>
      <w:pPr>
        <w:spacing w:after="0" w:line="59"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i w:val="1"/>
          <w:iCs w:val="1"/>
          <w:color w:val="auto"/>
        </w:rPr>
        <w:t xml:space="preserve">State Research and Development Credit Exchange Receivable </w:t>
      </w:r>
      <w:r>
        <w:rPr>
          <w:rFonts w:ascii="Arial" w:cs="Arial" w:eastAsia="Arial" w:hAnsi="Arial"/>
          <w:sz w:val="16"/>
          <w:szCs w:val="16"/>
          <w:color w:val="auto"/>
        </w:rPr>
        <w:t>— The State of Connecticut provides certain companies with the opportunity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32"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i w:val="1"/>
          <w:iCs w:val="1"/>
          <w:color w:val="auto"/>
        </w:rPr>
        <w:t xml:space="preserve">Milestone Rights </w:t>
      </w:r>
      <w:r>
        <w:rPr>
          <w:rFonts w:ascii="Arial" w:cs="Arial" w:eastAsia="Arial" w:hAnsi="Arial"/>
          <w:sz w:val="16"/>
          <w:szCs w:val="16"/>
          <w:color w:val="auto"/>
        </w:rPr>
        <w:t>— On July 1 2013, in conjunction with the execution of the Facility Agreement, the Company issued Milestone Rights to Deerfield whereby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agreed to provide Deerfield with pre-specified Milestone Payments upon the achievement of 13 specific Milestone Events related to the commercial release and future cumulative net sales of AFREZZA</w:t>
      </w:r>
      <w:r>
        <w:rPr>
          <w:rFonts w:ascii="Arial" w:cs="Arial" w:eastAsia="Arial" w:hAnsi="Arial"/>
          <w:sz w:val="10"/>
          <w:szCs w:val="10"/>
          <w:color w:val="auto"/>
        </w:rPr>
        <w:t>®</w:t>
      </w:r>
      <w:r>
        <w:rPr>
          <w:rFonts w:ascii="Arial" w:cs="Arial" w:eastAsia="Arial" w:hAnsi="Arial"/>
          <w:sz w:val="16"/>
          <w:szCs w:val="16"/>
          <w:color w:val="auto"/>
        </w:rPr>
        <w:t>. The Company analyzed the Milestone Rights under the provisions of ASC 815 and determined that the agreement does not meet the definition of a freestanding derivative. Since the Company has not elected to apply the fair value option to the Milestone Rights Purchase Agreement, the Company recorded the Milestone Rights at their estimated fair value and accounted for the Milestone Rights as a liability by applying the indexed debt guidance contained in paragraphs ASC 470-10-25-3 and 35-4.</w:t>
      </w:r>
    </w:p>
    <w:p>
      <w:pPr>
        <w:spacing w:after="0" w:line="39"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w:t>
      </w:r>
    </w:p>
    <w:p>
      <w:pPr>
        <w:spacing w:after="0" w:line="35"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Statement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16).</w:t>
      </w:r>
    </w:p>
    <w:p>
      <w:pPr>
        <w:spacing w:after="0" w:line="2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i w:val="1"/>
          <w:iCs w:val="1"/>
          <w:color w:val="auto"/>
        </w:rPr>
        <w:t xml:space="preserve">Commitment Asset </w:t>
      </w:r>
      <w:r>
        <w:rPr>
          <w:rFonts w:ascii="Arial" w:cs="Arial" w:eastAsia="Arial" w:hAnsi="Arial"/>
          <w:sz w:val="16"/>
          <w:szCs w:val="16"/>
          <w:color w:val="auto"/>
        </w:rPr>
        <w:t>— In connection with issuance of the first tranche of 2019 notes and the Milestone Rights, the Company recorded the Commitment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on July 1, 2013. The Commitment Asset represents the right to receive additional funding under future tranches of 2019 notes pursuant to the Facility Agreement. The initial value of the Commitment Asset was calculated using the income approach by estimating the fair value of the future tranches using a market debt rate commensurate with the risk of the future tranches and the fair value of the cash expected to be received by us and assessing the probability of the commitments being funded in the future based on the operational hurdles required for funding being met. The Commitment Asset attributable to each future tranche of 2019 notes under the Facility Agreement is derecognized and recorded as a debt discount on the 2019 notes when issued. The debt discount is amortized using the effective interest rate method over the life of the 2019 notes. Prior to derecognition occurring, the Company monitors the Commitment Asset on an ongoing basis to determine whether an impairment indicator is present that would result in a full or partial write down of the Commitment Asset as a result of events that may lead to the subsequent tranches of 2019 notes not being issued. Based on the monitoring procedures performed through December 31, 2013, the Company did not identify any indicators of impairment.</w:t>
      </w:r>
    </w:p>
    <w:p>
      <w:pPr>
        <w:spacing w:after="0" w:line="42"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utilizes fair value measurement guidance prescribed by GAAP to value its financial instruments.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includes a definition of fair value, prescribes methods for measuring fair value, establishes a fair value hierarchy based on the inputs used to measure fair value and expands disclosures about the use of fair value measurements. 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90"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carrying amounts reflected in the consolidated balance sheets for cash equivalents, other current assets, accounts payable, and accrued expenses and other, approximate fair value due to their relatively short maturities.</w:t>
      </w:r>
    </w:p>
    <w:p>
      <w:pPr>
        <w:spacing w:after="0" w:line="51"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i w:val="1"/>
          <w:iCs w:val="1"/>
          <w:color w:val="auto"/>
        </w:rPr>
        <w:t xml:space="preserve">Goodwill and Identifiable Intangibles </w:t>
      </w:r>
      <w:r>
        <w:rPr>
          <w:rFonts w:ascii="Arial" w:cs="Arial" w:eastAsia="Arial" w:hAnsi="Arial"/>
          <w:sz w:val="16"/>
          <w:szCs w:val="16"/>
          <w:color w:val="auto"/>
        </w:rPr>
        <w:t>— As a result of the merger with AlleCure and CTL on December 12, 2001, as described in Note 1, goodwill of $151.4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was recorded at the entity level in 2001. Upon adoption of ASC 350-10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xml:space="preserve"> the Company adopted a policy of testing goodwill and intangible assets with indefinite lives for impairment at 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balance of $151.4 million was determined to be fully impaired and an impairment loss was recorded in 2002. Subsequent to December 31, 2002, the Company had no goodwill or intangibles with indefinite lives included on its balance sheets.</w:t>
      </w:r>
    </w:p>
    <w:p>
      <w:pPr>
        <w:spacing w:after="0" w:line="51"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recorded at cost and depreciated using the straight-line method over the estimated useful lives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assets. Leasehold improvements are amortized over the term of the lease or the service lives of the improvements, whichever is shorter. Maintenance and repairs are expensed as incurred. Assets under construction are not depreciated until placed into service.</w:t>
      </w:r>
    </w:p>
    <w:p>
      <w:pPr>
        <w:spacing w:after="0" w:line="26"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carrying value of an asset may not be recoverable in accordance with ASC 360-10-35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Assets are considered to be impaired if the carrying value may not be recoverable based upon management’s assessment of the following events or changes in circumstances:</w:t>
      </w:r>
    </w:p>
    <w:p>
      <w:pPr>
        <w:spacing w:after="0" w:line="26" w:lineRule="exact"/>
        <w:rPr>
          <w:sz w:val="20"/>
          <w:szCs w:val="20"/>
          <w:color w:val="auto"/>
        </w:rPr>
      </w:pPr>
    </w:p>
    <w:p>
      <w:pPr>
        <w:ind w:left="440" w:hanging="21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changes in the Company’s strategic business objectives and utilization of the assets;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legal ownership or title to the assets;</w:t>
      </w:r>
    </w:p>
    <w:p>
      <w:pPr>
        <w:spacing w:after="0" w:line="90"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90"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No asset impairment was recognized during the years ended December 31, 2011, 2012 and 2013, respectively.</w:t>
      </w:r>
    </w:p>
    <w:p>
      <w:pPr>
        <w:spacing w:after="0" w:line="2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3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 xml:space="preserve">Income tax positions are considered for uncertainty in accordance with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39"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Significant management judgment is involved in determining the provision for income taxes, deferred tax assets, deferred tax liabilities, and any valuation allowance recorded against net deferred tax assets. Due to uncertainties related to the realization of the Company’s deferred tax assets as a result of its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estimates or the Company adjusts these estimates in future periods, a change in the valuation allowance may be needed, which could materially impact the Company’s financial position and results of operations.</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 Contingencies are recorded in accordance with ASC 450</w:t>
      </w:r>
      <w:r>
        <w:rPr>
          <w:rFonts w:ascii="Arial" w:cs="Arial" w:eastAsia="Arial" w:hAnsi="Arial"/>
          <w:sz w:val="16"/>
          <w:szCs w:val="16"/>
          <w:i w:val="1"/>
          <w:iCs w:val="1"/>
          <w:color w:val="auto"/>
        </w:rPr>
        <w:t xml:space="preserve"> Contingencies. </w:t>
      </w:r>
      <w:r>
        <w:rPr>
          <w:rFonts w:ascii="Arial" w:cs="Arial" w:eastAsia="Arial" w:hAnsi="Arial"/>
          <w:sz w:val="16"/>
          <w:szCs w:val="16"/>
          <w:color w:val="auto"/>
        </w:rPr>
        <w:t>Accordingly, the Company records a loss contingency for a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our estimates. These revisions in the estimates of the potential liabilities could have a material impact on our consolidated results of operations and financial position.</w:t>
      </w:r>
    </w:p>
    <w:p>
      <w:pPr>
        <w:spacing w:after="0" w:line="37"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As of December 31, 2013, the Company had three active stock-based compensation plans, which are described more fully in</w:t>
      </w:r>
      <w:r>
        <w:rPr>
          <w:rFonts w:ascii="Arial" w:cs="Arial" w:eastAsia="Arial" w:hAnsi="Arial"/>
          <w:sz w:val="16"/>
          <w:szCs w:val="16"/>
          <w:i w:val="1"/>
          <w:iCs w:val="1"/>
          <w:color w:val="auto"/>
        </w:rPr>
        <w:t xml:space="preserve"> </w:t>
      </w:r>
      <w:r>
        <w:rPr>
          <w:rFonts w:ascii="Arial" w:cs="Arial" w:eastAsia="Arial" w:hAnsi="Arial"/>
          <w:sz w:val="16"/>
          <w:szCs w:val="16"/>
          <w:color w:val="auto"/>
        </w:rPr>
        <w:t>Note 12. The Company accounts for all share-based payments to employees, including grants of stock awards and the compensatory elements of the employee stock purchase plan in accordance with ASC 718</w:t>
      </w:r>
      <w:r>
        <w:rPr>
          <w:rFonts w:ascii="Arial" w:cs="Arial" w:eastAsia="Arial" w:hAnsi="Arial"/>
          <w:sz w:val="16"/>
          <w:szCs w:val="16"/>
          <w:i w:val="1"/>
          <w:iCs w:val="1"/>
          <w:color w:val="auto"/>
        </w:rPr>
        <w:t>.</w:t>
      </w:r>
      <w:r>
        <w:rPr>
          <w:rFonts w:ascii="Arial" w:cs="Arial" w:eastAsia="Arial" w:hAnsi="Arial"/>
          <w:sz w:val="16"/>
          <w:szCs w:val="16"/>
          <w:color w:val="auto"/>
        </w:rPr>
        <w:t xml:space="preserve">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39"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The Company has issued warrants to purchase shares of its common stock. Warrants have been accounted for within equity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provisions of ASC 815-40, Contracts in an Entity’s Own Stock, previously EITF Issue No. 00-19: </w:t>
      </w:r>
      <w:r>
        <w:rPr>
          <w:rFonts w:ascii="Arial" w:cs="Arial" w:eastAsia="Arial" w:hAnsi="Arial"/>
          <w:sz w:val="18"/>
          <w:szCs w:val="18"/>
          <w:i w:val="1"/>
          <w:iCs w:val="1"/>
          <w:color w:val="auto"/>
        </w:rPr>
        <w:t>Accounting for Derivative Financial Instruments Indexed</w:t>
      </w:r>
      <w:r>
        <w:rPr>
          <w:rFonts w:ascii="Arial" w:cs="Arial" w:eastAsia="Arial" w:hAnsi="Arial"/>
          <w:sz w:val="18"/>
          <w:szCs w:val="18"/>
          <w:color w:val="auto"/>
        </w:rPr>
        <w:t xml:space="preserve"> </w:t>
      </w:r>
      <w:r>
        <w:rPr>
          <w:rFonts w:ascii="Arial" w:cs="Arial" w:eastAsia="Arial" w:hAnsi="Arial"/>
          <w:sz w:val="18"/>
          <w:szCs w:val="18"/>
          <w:i w:val="1"/>
          <w:iCs w:val="1"/>
          <w:color w:val="auto"/>
        </w:rPr>
        <w:t>to, and Potentially Settled in, a Company’s Own Stock</w:t>
      </w:r>
      <w:r>
        <w:rPr>
          <w:rFonts w:ascii="Arial" w:cs="Arial" w:eastAsia="Arial" w:hAnsi="Arial"/>
          <w:sz w:val="18"/>
          <w:szCs w:val="18"/>
          <w:color w:val="auto"/>
        </w:rPr>
        <w:t>.</w:t>
      </w:r>
    </w:p>
    <w:p>
      <w:pPr>
        <w:spacing w:after="0" w:line="59"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i w:val="1"/>
          <w:iCs w:val="1"/>
          <w:color w:val="auto"/>
        </w:rPr>
        <w:t xml:space="preserve">Forward Contracts </w:t>
      </w:r>
      <w:r>
        <w:rPr>
          <w:rFonts w:ascii="Arial" w:cs="Arial" w:eastAsia="Arial" w:hAnsi="Arial"/>
          <w:sz w:val="16"/>
          <w:szCs w:val="16"/>
          <w:color w:val="auto"/>
        </w:rPr>
        <w:t>— The Company has entered into agreements with The Mann Group whereby the Company agreed to sell and The Mann Group agreed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 common stock and/or warrants. These agreements have been accounted for as forward contracts, having met the definition of derivative instruments in accordance with the provisions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determines the fair value of the forward contract upon its issuance, records fair value adjustments of the forward contract to Other income (expense) during the reporting period and through the settlement of the forward contract, and reclassifies the forward contract to equity upon settlement of the forward contract.</w:t>
      </w:r>
    </w:p>
    <w:p>
      <w:pPr>
        <w:spacing w:after="0" w:line="35"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i w:val="1"/>
          <w:iCs w:val="1"/>
          <w:color w:val="auto"/>
        </w:rPr>
        <w:t xml:space="preserve">Comprehensive Loss </w:t>
      </w:r>
      <w:r>
        <w:rPr>
          <w:rFonts w:ascii="Arial" w:cs="Arial" w:eastAsia="Arial" w:hAnsi="Arial"/>
          <w:sz w:val="18"/>
          <w:szCs w:val="18"/>
          <w:color w:val="auto"/>
        </w:rPr>
        <w:t>— Other comprehensive loss is recorded in accordance with ASC 220-10-45</w:t>
      </w:r>
      <w:r>
        <w:rPr>
          <w:rFonts w:ascii="Arial" w:cs="Arial" w:eastAsia="Arial" w:hAnsi="Arial"/>
          <w:sz w:val="18"/>
          <w:szCs w:val="18"/>
          <w:i w:val="1"/>
          <w:iCs w:val="1"/>
          <w:color w:val="auto"/>
        </w:rPr>
        <w:t xml:space="preserve"> Comprehensive Income, </w:t>
      </w:r>
      <w:r>
        <w:rPr>
          <w:rFonts w:ascii="Arial" w:cs="Arial" w:eastAsia="Arial" w:hAnsi="Arial"/>
          <w:sz w:val="18"/>
          <w:szCs w:val="18"/>
          <w:color w:val="auto"/>
        </w:rPr>
        <w:t>which requires that all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comprehensive loss be reported in the financial statements in the period in which they are recognized. Other comprehensive loss includes certain changes in stockholders’ equity that are excluded from net income. Specifically, the Company includes unrealized gains and losses on its available-for-sale securities and cumulative translation gains and losses in other comprehensive loss.</w:t>
      </w:r>
    </w:p>
    <w:p>
      <w:pPr>
        <w:spacing w:after="0" w:line="62"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 Research and development expenses consist of costs associated with the clinical trials of the Company’s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manufacturing supplies and other development materials, including raw material purchases of insulin, compensation and other expenses for research and development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Arial" w:cs="Arial" w:eastAsia="Arial" w:hAnsi="Arial"/>
          <w:sz w:val="18"/>
          <w:szCs w:val="18"/>
          <w:i w:val="1"/>
          <w:iCs w:val="1"/>
          <w:color w:val="auto"/>
        </w:rPr>
        <w:t>Research and Development.</w:t>
      </w:r>
    </w:p>
    <w:p>
      <w:pPr>
        <w:spacing w:after="0" w:line="59"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reflected in research and development expenses in the accompanying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39" w:lineRule="exact"/>
        <w:rPr>
          <w:sz w:val="20"/>
          <w:szCs w:val="20"/>
          <w:color w:val="auto"/>
        </w:rPr>
      </w:pPr>
    </w:p>
    <w:p>
      <w:pPr>
        <w:ind w:right="320" w:firstLine="228"/>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costs are expensed as incurred, except to the extent such interest is related to construction in progress, in which case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Interest expense, net of interest capitalized, for the years ended December 31, 2011, 2012 and 2013 was $21.8 million, $21.6 million and $21.5 million, respectively. Interest costs capitalized for the years ended December 31, 2011, 2012, and 2013 were $0.4 million, $0.3 million, and $0.4 million, respectively.</w:t>
      </w:r>
    </w:p>
    <w:p>
      <w:pPr>
        <w:spacing w:after="0" w:line="62"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i w:val="1"/>
          <w:iCs w:val="1"/>
          <w:color w:val="auto"/>
        </w:rPr>
        <w:t xml:space="preserve">Net Loss Per Share of Common Stock </w:t>
      </w:r>
      <w:r>
        <w:rPr>
          <w:rFonts w:ascii="Arial" w:cs="Arial" w:eastAsia="Arial" w:hAnsi="Arial"/>
          <w:sz w:val="16"/>
          <w:szCs w:val="16"/>
          <w:color w:val="auto"/>
        </w:rPr>
        <w:t>— Basic net loss per common share is computed by dividing net loss by the weighted-average number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outstanding during the period, excluding the dilutive effects of converting redeemable preferred stock, warrants to purchase redeemable convertible preferred stock and options. Diluted net loss per common share is computed by dividing the net loss by the sum of the weighted-average number of common shares outstanding during the period plus the potential dilutive effects of redeemable convertible preferred stock and warrants to purchase redeemable convertible preferred stock, and options outstanding during the period calculated in accordance with the treasury stock method, but are excluded if their effect is anti-dilutive. Because the impact of these items is anti-dilutive during periods of net loss, there was no difference between basic and diluted loss per common share for the year ended December 31, 2011, 2012 and 2013.</w:t>
      </w:r>
    </w:p>
    <w:p>
      <w:pPr>
        <w:spacing w:after="0" w:line="37" w:lineRule="exact"/>
        <w:rPr>
          <w:sz w:val="20"/>
          <w:szCs w:val="20"/>
          <w:color w:val="auto"/>
        </w:rPr>
      </w:pPr>
    </w:p>
    <w:p>
      <w:pPr>
        <w:jc w:val="both"/>
        <w:ind w:right="120" w:firstLine="228"/>
        <w:spacing w:after="0" w:line="291" w:lineRule="auto"/>
        <w:rPr>
          <w:sz w:val="20"/>
          <w:szCs w:val="20"/>
          <w:color w:val="auto"/>
        </w:rPr>
      </w:pPr>
      <w:r>
        <w:rPr>
          <w:rFonts w:ascii="Arial" w:cs="Arial" w:eastAsia="Arial" w:hAnsi="Arial"/>
          <w:sz w:val="16"/>
          <w:szCs w:val="16"/>
          <w:i w:val="1"/>
          <w:iCs w:val="1"/>
          <w:color w:val="auto"/>
        </w:rPr>
        <w:t>Restructuring Charges</w:t>
      </w:r>
      <w:r>
        <w:rPr>
          <w:rFonts w:ascii="Arial" w:cs="Arial" w:eastAsia="Arial" w:hAnsi="Arial"/>
          <w:sz w:val="16"/>
          <w:szCs w:val="16"/>
          <w:color w:val="auto"/>
        </w:rPr>
        <w:t>— The Company made estimates and judgments regarding the amount and timing of our restructuring expense and liability,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and future period termination benefits, lease termination costs, and other exit costs to be incurred when related actions take place. We have also assessed the recoverability of certain long-lived assets employed in the business and, in certain instances shortened the expected useful life of the assets based on changes in their expected use. When we determine that the useful lives of assets are shorter than we had originally estimated, we record additional depreciation to reflect the assets’ new shorter useful lives. Severance and other related costs and asset-related charges are reflected within our consolidated statement of operations as a component of total restructuring charges incurred. Actual results may differ from these estimates.</w:t>
      </w:r>
    </w:p>
    <w:p>
      <w:pPr>
        <w:spacing w:after="0" w:line="39"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i w:val="1"/>
          <w:iCs w:val="1"/>
          <w:color w:val="auto"/>
        </w:rPr>
        <w:t xml:space="preserve">Recently Issued Accounting Standards </w:t>
      </w:r>
      <w:r>
        <w:rPr>
          <w:rFonts w:ascii="Arial" w:cs="Arial" w:eastAsia="Arial" w:hAnsi="Arial"/>
          <w:sz w:val="16"/>
          <w:szCs w:val="16"/>
          <w:color w:val="auto"/>
        </w:rPr>
        <w:t>— From time to time, new accounting pronouncements are issued by the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In February 2013, the FASB issued Accounting Standards Update (ASU) 2013-02, Comprehensive Income (Topic 220) — Reporting of Amounts Reclassified out of Accumulated Other Comprehensive Income. These amendments do not change the current requirements for reporting net income or other 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the Company adopted the new requirements as set forth in ASU 2013-02 in the disclosure of comprehensive income on the Company’s consolidated financial statements. The adoption of the new requirements did not have a significant impact on the Company’s consolidated financial statements.</w:t>
      </w:r>
    </w:p>
    <w:p>
      <w:pPr>
        <w:spacing w:after="0" w:line="6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July 2013, the FASB ASU 2013-11, Income Taxes (Topic 740):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Company does not expect the adoption of ASU 2013-11 will have an impact on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State research and development credit exchange receivable</w:t>
      </w:r>
    </w:p>
    <w:p>
      <w:pPr>
        <w:spacing w:after="0" w:line="96"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2011, 2012 and 2013, research and development expenses were offset by $609,000, $289,000 and $282,000,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4"/>
              </w:rPr>
              <w:t>Useful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3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Buildings</w:t>
            </w:r>
          </w:p>
        </w:tc>
        <w:tc>
          <w:tcPr>
            <w:tcW w:w="4540" w:type="dxa"/>
            <w:vAlign w:val="bottom"/>
            <w:gridSpan w:val="3"/>
          </w:tcPr>
          <w:p>
            <w:pPr>
              <w:jc w:val="right"/>
              <w:ind w:right="260"/>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54,948</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4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114,245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540" w:type="dxa"/>
            <w:vAlign w:val="bottom"/>
            <w:gridSpan w:val="3"/>
          </w:tcPr>
          <w:p>
            <w:pPr>
              <w:jc w:val="right"/>
              <w:ind w:right="260"/>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81,382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4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54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285,210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287,617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(101,249)</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(111,060)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3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183,961</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80" w:type="dxa"/>
            <w:vAlign w:val="bottom"/>
            <w:vMerge w:val="restart"/>
          </w:tcPr>
          <w:p>
            <w:pPr>
              <w:jc w:val="right"/>
              <w:ind w:right="2312"/>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Leasehold improvements are amortized over four years which is the shorter of the term of the lease or the service lives of the improvements. Depreciation and amortization expense related to property and equipment for the years ended December 31, 2011, 2012 and 2013, and the cumulative period from February 14, 1991 (date of inception) to December 31, 2013 was $14.6 million, $13.0 million, $11.5 million and $133.3 million, respectively.</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asset impairment was recognized during the years ended December 31, 2011, 2012 and 2013.</w:t>
      </w:r>
    </w:p>
    <w:p>
      <w:pPr>
        <w:spacing w:after="0" w:line="90"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color w:val="auto"/>
        </w:rPr>
        <w:t>In December 2009, the Company recognized a loss on disposal of approximately $12.8 million in research and development expense related to the abandonment of first-generation inhaler specific assets which would no longer be used as the Company pursued the commercialization of the next-generation device.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9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$10,074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5,995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3,878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25,777</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21,634</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Related-party arrangements</w:t>
      </w:r>
    </w:p>
    <w:p>
      <w:pPr>
        <w:spacing w:after="0" w:line="9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 xml:space="preserve">In October 2007, the Company entered into a $350.0 million loan arrangement (the “Loan Arrangement”) with its principal stockholder. The Loan Arrangement has been amended from time to time. In February 2009, the promissory note underlying the Loan Arrangement was revised as a result of the principal stockholder being licensed as a finance lender under the California Finance Lenders Law. Accordingly, the lender was revised to The Mann Group. Until January 1, 2013, interest on outstanding principal amounts accrued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Based on the amended terms of the agreement, the rate was fixed at 5.84% going forward. On October 31, 2013, the promissory note was further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provide that repayments or cancellations of principal under the Loan Arrangement will not be available for reborrowing, and to cancel $78.0 million of principal indebtedness under the Loan Arrangement as payment for the aggregate exercise price of warrants, in accordance with the Common Stock and Warrant Purchase Agreement entered into with The Mann Group on October 18, 2012 (the “Mann Group Warrants”). The note payable to our principal stockholder is excluded from current liabilities due to the amendment on October 31, 2013 and presented as a non-current liability as of December 31, 2013. In addition, the Company and The Mann Group agreed to capitalize into principal $7.9 million of accrued interest that became due and payable upon cancellation of the $78.0 million of principal indebtedness.</w:t>
      </w:r>
    </w:p>
    <w:p>
      <w:pPr>
        <w:spacing w:after="0" w:line="40"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As of December 31, 2013, the total principal amount outstanding under the Loan Arrangement was $49.5 million, and the amount available for future borrowings was $30.1 million. Interest is due and payable quarterly in arrears on the first day of each calendar quarter for the preceding quarter, or at such other time as the Company and The Mann Group mutually agree. All or any portion of accrued and unpaid interest that becomes due and payable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 paid-in-kind and capitalized as additional borrowings at any time and would be classified as non-current upon mutual agreement of both parties. The Mann Group can require us to prepay up to $200.0 million in advances that have been outstanding for at least 12 months (less approximately $105.0 million aggregate principal amount that has been cancelled in connection with two common stock purchase agreements — a Common Stock Purchase Agreement between us and The Mann Group dated August 2010 and The Mann Group Common Stock Purchase Agreement). If The Mann Group exercises this right, the Company will have 90 days after The Mann Group provides written notice (or the number of days to maturity of the note if less than 90 days) to prepay such advances. Subject to the foregoing, in the event of a default under our loan arrangement with The Mann Group,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39"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August 10, 2010, the Company entered into a common stock purchase agreement with The Mann Group. Under this common stock purchase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required to issue and sell, and The Mann Group was obligated to purchase, the same number of shares of the Company’s common stock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Seaside 88, LP (“Seaside”) purchased on each closing date under its agreement with the Company. The price of the shares that the Company sold to The Mann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under the agreement was equal to the greater of $7.15 per share (the closing bid price of the Company’s common stock on August 10, 2010)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bid price of the Company’s common stock on the trading day immediately preceding the applicable closing date. The aggregate purchase price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the Company issued and sold to The Mann Group was paid by cancelling an equal amount of the outstanding principal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 million loan arrangement provided by The Mann Group. An August 2010 amendment and restatement of the Company’s promissory note issued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Mann Group in connection with the Loan Arrangement also provided for the cancellation of indebtedness under the note as described above and the elimination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ability to reborrow under the note the amount of any indebtedness that was cancelled. The common stock purchase agreement with The Mann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Group terminated upon termination of the Seaside agreement in the quarter ended September 30, 2011.</w:t>
      </w:r>
    </w:p>
    <w:p>
      <w:pPr>
        <w:spacing w:after="0" w:line="84"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In the fourth quarter of 2010, the Company issued and sold a total of 2,100,000 shares of common stock to Seaside for net proceeds of $14.1 million in accordance with the Company’s common stock purchase agreement with Seaside. During the quarter ended March 31, 2011, the Company issued and sold a total of 1,400,000 shares of common stock to Seaside for net proceeds of $9.7 million. No additional shares of common stock were sold to Seaside under this agreement subsequent to the quarter ended March 31, 2011. As of December 31, 2011, the Company had issued and sold a total of 3,500,000 shares of common stock to Seaside for net proceeds of $23.8 million in accordance with the agreement. The agreement with Seaside terminated during the quarter ended September 30, 2011. Concurrently, with the sales to Seaside, the Company issued and sold a total of 2,100,000 and 1,400,000 shares of common stock to The Mann Group, an entity controlled by the Company’s principal stockholder, in 2010 and 2011, respectively, for a total purchase price of $16.7 million and $11.1 million, respectively, which was paid by the cancellation of outstanding principal under the Company’s amended and restated promissory note with The Mann Group.</w:t>
      </w:r>
    </w:p>
    <w:p>
      <w:pPr>
        <w:spacing w:after="0" w:line="39"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On February 8, 2012, the Company sold $86.3 million worth of units in an underwritten public offering, with each unit consisting of one share of common stock and a warrant to purchase 0.6 of a share of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Concurrent with this public offering, The Mann Group agreed to purchase $77.2 million worth of restricted shares of common stock to be paid, at the discretion of the Company, by cash or by cancellation of principal indebtedness under the amended loan arrangement, subject to stockholder approval to increase the number of authorized shares. In May 2012, the Company’s stockholders approved an increase in the authorized shares of common stock from 250,000,000 to</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350,000,000. On June 27, 2012, the Company completed the closing of the sale of 31,250,000 share of its common stock through the cancellation of outstanding indebtedness under the loan agreement (see Note 10).</w:t>
      </w:r>
    </w:p>
    <w:p>
      <w:pPr>
        <w:spacing w:after="0" w:line="5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October 2012, the Company sold $92.0 million worth of units in an underwritten public offering, with each unit to purchase one share of common stock and a warrant to purchase at 0.75 of a share of common stock. Concurrent with the underwritten public offering, the Company entered into a Common Stock and Warrant Purchase Agreement on October 18, 2012, in which the Company was required to issue and sell and The Mann Group was obligated to purchase 40,000,000 restricted shares of the Company’s common stock at a purchase price of $2.59 per share (the consolidated closing bid price of the Company’s common stock on October 17, 2012), and 40,000,000 warrants to purchase up to an aggregate of 30,000,000 restricted shares of the Company’s common stock at a purchase price of $0.125 for each share of the Company’s common stock underlying the warrants, in exchange for cancellation of outstanding principal under the amended and restated promissory note with The Mann Group.</w:t>
      </w:r>
    </w:p>
    <w:p>
      <w:pPr>
        <w:spacing w:after="0" w:line="3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restricted shares sold to The Mann Group may not be sold, pledged, assigned or transferred unless (i) the shares have been registered with the Securities and Exchange Commission or (ii) the restricted shares are exempt from SEC registration requirements and the Company has obtained an opinion from the Company’s counsel that the shares may be sold lawfully without registration.</w:t>
      </w:r>
    </w:p>
    <w:p>
      <w:pPr>
        <w:spacing w:after="0" w:line="59"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As a result of the special meeting of the Company’s stockholders held on December 20, 2012 in which the Company’s stockholders approved an amendment to its Amended and Restated Certificate of Incorporation to increase the authorized shares of its common stock from 350,000,000 shares to 550,000,000 shares, the Company completed the closing of the Common Stock and Warrant Purchase Agreement. The aggregate purchase price for the shares and warrants that the Company issued to The Mann Group was approximately $107.4 million and was paid for by cancelling principal indebtedness owed to The Mann Group under the amended and restated promissory note. The cancelled principal amount became available for reborrowing until the October 31, 2013 amendment discussed above. Additionally, in accordance with the terms of the note, the Company elected to capitalize the accrued and unpaid interest on the cancelled principal amount that became due upon the closing (see Note 10).</w:t>
      </w:r>
    </w:p>
    <w:p>
      <w:pPr>
        <w:spacing w:after="0" w:line="3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principal amount outstanding under the Loan Arrangement as of December 31, 2012 and 2013, respectively, subsequent to the completion of the common stock purchase agreements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December 31,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119,635</w:t>
            </w:r>
          </w:p>
        </w:tc>
        <w:tc>
          <w:tcPr>
            <w:tcW w:w="100" w:type="dxa"/>
            <w:vAlign w:val="bottom"/>
            <w:shd w:val="clear" w:color="auto" w:fill="CCEEFF"/>
          </w:tcPr>
          <w:p>
            <w:pPr>
              <w:spacing w:after="0"/>
              <w:rPr>
                <w:sz w:val="18"/>
                <w:szCs w:val="18"/>
                <w:color w:val="auto"/>
              </w:rPr>
            </w:pPr>
          </w:p>
        </w:tc>
      </w:tr>
      <w:tr>
        <w:trPr>
          <w:trHeight w:val="216"/>
        </w:trPr>
        <w:tc>
          <w:tcPr>
            <w:tcW w:w="10660" w:type="dxa"/>
            <w:vAlign w:val="bottom"/>
          </w:tcPr>
          <w:p>
            <w:pPr>
              <w:spacing w:after="0"/>
              <w:rPr>
                <w:sz w:val="20"/>
                <w:szCs w:val="20"/>
                <w:color w:val="auto"/>
              </w:rPr>
            </w:pPr>
            <w:r>
              <w:rPr>
                <w:rFonts w:ascii="Arial" w:cs="Arial" w:eastAsia="Arial" w:hAnsi="Arial"/>
                <w:sz w:val="18"/>
                <w:szCs w:val="18"/>
                <w:color w:val="auto"/>
              </w:rPr>
              <w:t>Capitalization of accrued and unpaid interest due and payable as of October 31, 2013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8"/>
                <w:szCs w:val="18"/>
                <w:color w:val="auto"/>
              </w:rPr>
            </w:pPr>
          </w:p>
        </w:tc>
      </w:tr>
      <w:tr>
        <w:trPr>
          <w:trHeight w:val="208"/>
        </w:trPr>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w w:val="93"/>
              </w:rPr>
              <w:t>Reduction of principal indebtedness related to the issuance of common stock pursuant to The Mann Group Warrants completed on October 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0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(78,000)</w:t>
            </w:r>
          </w:p>
        </w:tc>
      </w:tr>
      <w:tr>
        <w:trPr>
          <w:trHeight w:val="222"/>
        </w:trPr>
        <w:tc>
          <w:tcPr>
            <w:tcW w:w="10660" w:type="dxa"/>
            <w:vAlign w:val="bottom"/>
          </w:tcPr>
          <w:p>
            <w:pPr>
              <w:spacing w:after="0"/>
              <w:rPr>
                <w:sz w:val="20"/>
                <w:szCs w:val="20"/>
                <w:color w:val="auto"/>
              </w:rPr>
            </w:pPr>
            <w:r>
              <w:rPr>
                <w:rFonts w:ascii="Arial" w:cs="Arial" w:eastAsia="Arial" w:hAnsi="Arial"/>
                <w:sz w:val="18"/>
                <w:szCs w:val="18"/>
                <w:color w:val="auto"/>
              </w:rPr>
              <w:t>Principal amount outstanding at December 31, 2013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100" w:type="dxa"/>
            <w:vAlign w:val="bottom"/>
          </w:tcPr>
          <w:p>
            <w:pPr>
              <w:spacing w:after="0"/>
              <w:rPr>
                <w:sz w:val="19"/>
                <w:szCs w:val="19"/>
                <w:color w:val="auto"/>
              </w:rPr>
            </w:pPr>
          </w:p>
        </w:tc>
      </w:tr>
    </w:tbl>
    <w:p>
      <w:pPr>
        <w:spacing w:after="0" w:line="86"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As of December 31, 2012 and December 31, 2013, the Company had accrued and unpaid interest of $2.2 million and $0.6 million, recorded in accrued expenses and other current liabilities and other liabilities, respectively, which related to the amount outstanding and had $125.4 million and $30.1 million, respectively, of available borrowings. Interest expense on the Company’s note payable to our principal stockholder for the years ended December 31, 2011, 2012 and 2013 was $10.9 million, $10.5 million and $6.3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shareholder approximately $111,000, $200,000 and $82,000, respectively, for the years ended December 31, 2011, 2012 and 2013 on the basis of the corresponding cost of commercial airfare.</w:t>
      </w:r>
    </w:p>
    <w:p>
      <w:pPr>
        <w:spacing w:after="0" w:line="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convertible 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 notes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Principal amount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2"/>
              </w:rPr>
              <w:t>$ 115,000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cost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 notes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Principal amount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$100,000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w:t>
            </w: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cost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97,583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212,026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98,439</w:t>
            </w: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5.75% Senior Convertible Notes due 2015 (the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The Company had accrued interest of $2.2 million and $2.4 million as of December 31, 2012 and 2013, respectively, related to the 2015 notes.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Notes, which amount, if any, will be based on the Company’s common stock price and the effective date of the fundamental change, and (2) each holder of 2015 notes will have the option to require the Company to repurchase all or any portion of such holder’s notes at a repurchase price of 100% of the principal amount of the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46" w:lineRule="exact"/>
        <w:rPr>
          <w:sz w:val="20"/>
          <w:szCs w:val="20"/>
          <w:color w:val="auto"/>
        </w:rPr>
      </w:pPr>
    </w:p>
    <w:p>
      <w:pPr>
        <w:ind w:right="600" w:firstLine="228"/>
        <w:spacing w:after="0" w:line="357" w:lineRule="auto"/>
        <w:rPr>
          <w:sz w:val="20"/>
          <w:szCs w:val="20"/>
          <w:color w:val="auto"/>
        </w:rPr>
      </w:pPr>
      <w:r>
        <w:rPr>
          <w:rFonts w:ascii="Arial" w:cs="Arial" w:eastAsia="Arial" w:hAnsi="Arial"/>
          <w:sz w:val="15"/>
          <w:szCs w:val="15"/>
          <w:color w:val="auto"/>
        </w:rPr>
        <w:t>The Company incurred approximately $4.2 million in issuance costs which are recorded as an offset to the 2015 notes in the accompanying condensed consolidated balance sheets. These costs are being charged to interest expense using the effective interest method over the term of the 2015 notes.</w:t>
      </w:r>
    </w:p>
    <w:p>
      <w:pPr>
        <w:ind w:right="140" w:firstLine="228"/>
        <w:spacing w:after="0" w:line="306" w:lineRule="auto"/>
        <w:rPr>
          <w:sz w:val="20"/>
          <w:szCs w:val="20"/>
          <w:color w:val="auto"/>
        </w:rPr>
      </w:pPr>
      <w:r>
        <w:rPr>
          <w:rFonts w:ascii="Arial" w:cs="Arial" w:eastAsia="Arial" w:hAnsi="Arial"/>
          <w:sz w:val="16"/>
          <w:szCs w:val="16"/>
          <w:color w:val="auto"/>
        </w:rPr>
        <w:t>The 2015 notes contain provisions that upon an acceleration of certain indebtedness, which would include the 2019 notes described in Note 16, that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26" w:lineRule="exact"/>
        <w:rPr>
          <w:sz w:val="20"/>
          <w:szCs w:val="20"/>
          <w:color w:val="auto"/>
        </w:rPr>
      </w:pPr>
    </w:p>
    <w:p>
      <w:pPr>
        <w:ind w:right="40" w:firstLine="228"/>
        <w:spacing w:after="0" w:line="285"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2013 notes, including $15.0 million aggregate principal amount of the 2013 notes sold pursuant to the underwriters’ over-allotment option that was exercised in full. The 2013 notes are governed by the terms of an indenture dated as of November 1, 2006 and a First Supplemental Indenture, dated as of December 12, 2006 (the “2013 Note Indenture”). The 2013 notes bear interest at the rate of 3.75% per year on the principal amount, payable in cash semi-annually in arrears on June 15 and December 15 of each year, beginning June 15, 2007. The Company had accrued interest of $192,000 and $0 as of December 31, 2012 and December 31, 2013, respectively. The 2013 notes are general, unsecured, senior obligations of the Company and effectively rank junior in right of payment to all of the Company’s secured debt, to the extent of the value of the assets securing such debt, and to the debt and all other liabilities of the Company. Holders may convert, at any time prior to the close of business on the business day immediately preceding the stated maturity date, any outstanding 2013 notes into shares of the Company’s common stock at an initial conversion rate of 44.5002 shares per $1,000 principal amount of 2013 notes, which is equal to a conversion price of approximately $22.47 per share, subject to adjustment. Except in certain circumstances, if the Company undergoes a fundamental change: (1) the Company will pay a make-whole premium on the 2013 notes converted in connection with a fundamental change by increasing the conversion rate on such 2013 notes, which amount, if any, will be based on the Company’s common stock price and the effective date of the fundamental change, and (2) each holder of the 2013 notes will have the option to require the Company to repurchase all or any portion of such holder’s 2013 notes at a repurchase price of 100% of the principal amount of the 2013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2013 notes and each reporting date since and concluded that the number of available authorized shares at the time of the offering and each subsequent reporting date was sufficient to deliver the number of shares that could be required to be delivered during the contract period under existing commitments. On December 15, 2013, per the agreement, the Company paid $115.0 million on the notes, thus settling the debt.</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incurred approximately $3.7 million in debt issuance costs which were recorded as an offset to the debt in the accompanying balance sheet.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fully accreted as of December 31, 2013.</w:t>
      </w:r>
    </w:p>
    <w:p>
      <w:pPr>
        <w:spacing w:after="0" w:line="8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Accretion of debt issuance expense in connection with the notes offerings during the years ended December 31, 2011, 2012, and 2013 were $1.3 million, $1.4 million, and $1.4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96"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On February 10, 2011, the Company announced that following receipt of the Complete Response letter from the United States Food and Drug Administration regarding the new drug application for AFREZZA, it implemented a restructuring to streamline operations, reduce operating expenses, extend the cash runway and focus its resources on securing the FDA’s approval of the NDA for AFREZZA. In connection with the restructuring, the Company reduced its total workforce by approximately 41% to 257 employees. The Company recorded charges of approximately $6.7 million for employee severance and other related termination benefits and recognized an initial liability of $6.7 million in February 2011, which approximated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98"/>
              </w:rPr>
              <w:t>Workforce</w:t>
            </w:r>
          </w:p>
        </w:tc>
        <w:tc>
          <w:tcPr>
            <w:tcW w:w="0" w:type="dxa"/>
            <w:vAlign w:val="bottom"/>
          </w:tcPr>
          <w:p>
            <w:pPr>
              <w:spacing w:after="0"/>
              <w:rPr>
                <w:sz w:val="1"/>
                <w:szCs w:val="1"/>
                <w:color w:val="auto"/>
              </w:rPr>
            </w:pPr>
          </w:p>
        </w:tc>
      </w:tr>
      <w:tr>
        <w:trPr>
          <w:trHeight w:val="161"/>
        </w:trPr>
        <w:tc>
          <w:tcPr>
            <w:tcW w:w="10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99"/>
              </w:rPr>
              <w:t>Reduction</w:t>
            </w:r>
          </w:p>
        </w:tc>
        <w:tc>
          <w:tcPr>
            <w:tcW w:w="0" w:type="dxa"/>
            <w:vAlign w:val="bottom"/>
          </w:tcPr>
          <w:p>
            <w:pPr>
              <w:spacing w:after="0"/>
              <w:rPr>
                <w:sz w:val="1"/>
                <w:szCs w:val="1"/>
                <w:color w:val="auto"/>
              </w:rPr>
            </w:pPr>
          </w:p>
        </w:tc>
      </w:tr>
      <w:tr>
        <w:trPr>
          <w:trHeight w:val="210"/>
        </w:trPr>
        <w:tc>
          <w:tcPr>
            <w:tcW w:w="10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Balance, February 10, 2011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0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(6,189)</w:t>
            </w:r>
          </w:p>
        </w:tc>
        <w:tc>
          <w:tcPr>
            <w:tcW w:w="0" w:type="dxa"/>
            <w:vAlign w:val="bottom"/>
          </w:tcPr>
          <w:p>
            <w:pPr>
              <w:spacing w:after="0"/>
              <w:rPr>
                <w:sz w:val="1"/>
                <w:szCs w:val="1"/>
                <w:color w:val="auto"/>
              </w:rPr>
            </w:pPr>
          </w:p>
        </w:tc>
      </w:tr>
      <w:tr>
        <w:trPr>
          <w:trHeight w:val="216"/>
        </w:trPr>
        <w:tc>
          <w:tcPr>
            <w:tcW w:w="10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10700" w:type="dxa"/>
            <w:vAlign w:val="bottom"/>
            <w:vMerge w:val="restart"/>
          </w:tcPr>
          <w:p>
            <w:pPr>
              <w:spacing w:after="0"/>
              <w:rPr>
                <w:sz w:val="20"/>
                <w:szCs w:val="20"/>
                <w:color w:val="auto"/>
              </w:rPr>
            </w:pPr>
            <w:r>
              <w:rPr>
                <w:rFonts w:ascii="Arial" w:cs="Arial" w:eastAsia="Arial" w:hAnsi="Arial"/>
                <w:sz w:val="18"/>
                <w:szCs w:val="18"/>
                <w:color w:val="auto"/>
              </w:rPr>
              <w:t>Restructuring Balance, December 31, 2011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0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0700" w:type="dxa"/>
            <w:vAlign w:val="bottom"/>
            <w:vMerge w:val="restart"/>
          </w:tcPr>
          <w:p>
            <w:pPr>
              <w:spacing w:after="0"/>
              <w:rPr>
                <w:sz w:val="20"/>
                <w:szCs w:val="20"/>
                <w:color w:val="auto"/>
              </w:rPr>
            </w:pPr>
            <w:r>
              <w:rPr>
                <w:rFonts w:ascii="Arial" w:cs="Arial" w:eastAsia="Arial" w:hAnsi="Arial"/>
                <w:sz w:val="18"/>
                <w:szCs w:val="18"/>
                <w:color w:val="auto"/>
              </w:rPr>
              <w:t>Restructuring Balance, December 31, 2012</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0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During the year ended December 31, 2011, the Company adjusted the restructuring balance based on the election of certain termination benefits by a portion of the terminated employees.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remaining restructuring balance as of December 31, 2011 consists of severance and related termination benefits for employees still to be terminated.</w:t>
      </w:r>
    </w:p>
    <w:p>
      <w:pPr>
        <w:spacing w:after="0" w:line="113" w:lineRule="exact"/>
        <w:rPr>
          <w:sz w:val="20"/>
          <w:szCs w:val="20"/>
          <w:color w:val="auto"/>
        </w:rPr>
      </w:pPr>
    </w:p>
    <w:p>
      <w:pPr>
        <w:ind w:right="560" w:firstLine="228"/>
        <w:spacing w:after="0" w:line="332" w:lineRule="auto"/>
        <w:rPr>
          <w:sz w:val="20"/>
          <w:szCs w:val="20"/>
          <w:color w:val="auto"/>
        </w:rPr>
      </w:pPr>
      <w:r>
        <w:rPr>
          <w:rFonts w:ascii="Arial" w:cs="Arial" w:eastAsia="Arial" w:hAnsi="Arial"/>
          <w:sz w:val="16"/>
          <w:szCs w:val="16"/>
          <w:color w:val="auto"/>
        </w:rPr>
        <w:t>The net $6.3 million of costs associated with the restructuring are included in “Research and development” and “General and administrative” operating expenses in the consolidated statements of operations as $4.7 million and $1.6 million, respectively, for the year ended December 31, 2011.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96"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carrying amounts of financial instruments, which include cash equivalents and accounts payable, approximate their fair values due to their relatively short maturities. The fair value of the note payable to our principal stockholder cannot be reasonably estimated as the Company would not be able to obtain a similar credit arrangement in the current economic environment.</w:t>
      </w:r>
    </w:p>
    <w:p>
      <w:pPr>
        <w:spacing w:after="0" w:line="59"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Cash equivalents consist of highly liquid investments with original or remaining maturities of 90 days or less at the time of purchase that are readily convertible into cash. As of December 31, 2012 and 2013, the Company held $61.8 million and $70.8 million, respectively of cash and cash equivalents, consisting of money market funds of $60.8 million and $67.7 million, respectively, and the remaining funds in non-interest bearing checking accounts. The fair value of these money market funds was determined by using quoted prices for identical investments in an active market (Level 1 in the fair value hierarchy).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following is a summary of the carrying values and estimated fair values of the Company’s senior convertible notes due in 2013 and 2015 and the facility financing obligation due in 2019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8"/>
              </w:rPr>
              <w:t>December 31, 2012</w:t>
            </w:r>
          </w:p>
        </w:tc>
        <w:tc>
          <w:tcPr>
            <w:tcW w:w="10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752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52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 notes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2015 notes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97.6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98.4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convertible notes</w:t>
      </w:r>
    </w:p>
    <w:p>
      <w:pPr>
        <w:spacing w:after="0" w:line="90" w:lineRule="exact"/>
        <w:rPr>
          <w:sz w:val="20"/>
          <w:szCs w:val="20"/>
          <w:color w:val="auto"/>
        </w:rPr>
      </w:pPr>
    </w:p>
    <w:p>
      <w:pPr>
        <w:ind w:right="140" w:firstLine="228"/>
        <w:spacing w:after="0" w:line="290" w:lineRule="auto"/>
        <w:rPr>
          <w:sz w:val="20"/>
          <w:szCs w:val="20"/>
          <w:color w:val="auto"/>
        </w:rPr>
      </w:pPr>
      <w:r>
        <w:rPr>
          <w:rFonts w:ascii="Arial" w:cs="Arial" w:eastAsia="Arial" w:hAnsi="Arial"/>
          <w:sz w:val="16"/>
          <w:szCs w:val="16"/>
          <w:color w:val="auto"/>
        </w:rPr>
        <w:t>The senior convertible notes due 2013 were paid in full in December, consequently, they had a balance of $0. The estimated fair value of the 2013 notes was calculated based on quoted prices in an active market (Level 1 in the fair value hierarchy). The estimated fair value of the senior convertible notes due 2015 was calculated based on model derived valuations whose inputs were observable, such as the Company’s stock price, and non-observable, such as the Company’s long-term historical volatility, which was estimated to be 65% (Level 3 in the fair value hierarchy). As there is no current observable market for the senior convertible notes due 2015,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Facility financing agreement</w:t>
      </w:r>
    </w:p>
    <w:p>
      <w:pPr>
        <w:spacing w:after="0" w:line="90"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As discussed in Note 16 — Facility financing agreement, in connection with the Facility Agreement, the Company issued 2019 notes and Milestone Rights and recorded the Commitment Asset on July 1, 2013. As there is no current observable market for the 2019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of 12.4% (Level 3 in the fair value hierarchy). On December 31, 2013, the market discount rate was 12.7%.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(17.5%) was selected based on an estimation of required rate of returns for similar investment opportunities using available market data. The fair value of the Commitment Asset was estimated using the income approach by estimating the fair value of the future tranches using a market debt rate (12%) commensurate with the risk of the future tranches and the fair value of the cash expected to be received by the Company and assessing the probability of the commitments being funded in the future based on the operational hurdles required for funding being met (Level 3 in the fair value hierarchy). At December 31, 2013, the carrying value of the Milestone Rights and Commitment Asset approximates their respective estimated fair values.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Four embedded features that required bifurcation and separate accounting were identified in the facility financing obligation and the Company determined should be bundled together as a single, compound embedded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derivative, bifurcated from the host contract, and accounted for at fair value, with changes in fair value being recorded in the Statement of Operations. The four embedded derivatives contained in the facility financing obligation were the Conversion Option, Major Transaction Put Option, Acceleration upon a Legal Judgment Against the Company in Excess of $100,000, and Tax Gross-Up. The four embedded features were evaluated together as a single compound derivative to determine the fair value of the derivative. The estimated fair value of the embedded derivative was calculated using Level 3 inputs and by applying a cumulative probability percentage to the values derived from a Black-Karasinski lattice model for the major transaction put option (0.8%), the conversion option feature (0.0%), and the acceleration upon a legal judgment against the Company in excess of $100,000 feature (0.1%). The Tax Gross-Up feature was evaluated using a Level 2 analysis based on the withholding requirements (i.e., the tax laws) on interest payments between the US and the British Virgin Islands and was determined to be de-minimus. As of December 9, 2013 and December 31, 2013, management determined the impact of the valuation of the embedded derivative was immaterial (see Note 16).</w:t>
      </w:r>
    </w:p>
    <w:p>
      <w:pPr>
        <w:spacing w:after="0" w:line="39"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The fair value of foreign exchange hedging contracts equals the carrying value at each balance sheet date. The fair value of these contracts was determined using methodologies based on market observable inputs (Level 2 in the fair value hierarchy), including foreign currency spot rates. The Company used derivative financial instruments to manage its exposure to foreign currency exchange risks related to quarterly purchases on insulin. The Company does not use derivative financial instruments for trading or speculative purposes, nor does it use leveraged financial instruments. Credit risk related to derivative financial instruments was considered minimal and was managed by requiring high credit standards for counterparties and through periodic settlements of positions.</w:t>
      </w:r>
    </w:p>
    <w:p>
      <w:pPr>
        <w:spacing w:after="0" w:line="35"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The Company entered into foreign exchange hedging contracts with notional amounts totaling $25.5 million and zero at December 31, 2010 and 2011, respectively. The Company recorded an unrealized loss on the foreign exchange hedging contracts of $0.2 million at December 31, 2010. The Company recorded a realized loss of $1.6 million and a realized gain of $1.3 million for the years ended December 31, 2010 and 2011, respectively, on the execution of quarterly foreign exchange hedging contracts. The Company terminated these contracts during the quarter ended March 31, 2011.</w:t>
      </w:r>
    </w:p>
    <w:p>
      <w:pPr>
        <w:spacing w:after="0" w:line="32"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Company’s derivative financial instruments are not designated as hedging instruments, and gains or losses resulting from changes in the fair value are reported in other income (expense), in the consolidated statements of operations. Derivative financial instruments are recognized as other assets or other current liabilities in the financial statements and measured at fair value.</w:t>
      </w:r>
    </w:p>
    <w:p>
      <w:pPr>
        <w:spacing w:after="0" w:line="59"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estimated fair values in connection with the February 2012 The Mann Group Common Stock Purchase Agreement (“The February 2012 Forward Purchase Contract”) and the October 2012 The Mann Group Common Stock and Warrant Purchase Agreement (“The October 2012 Forward Purchase Contract”) was based on forward purchase contract valuations (Level 3 in the fair value hierarchy) (see Note 10).</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roll-forward provides a summary of the changes in fair value of the Company’s Level 3 forward purchase contracts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 :</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The February 2012</w:t>
            </w:r>
          </w:p>
        </w:tc>
        <w:tc>
          <w:tcPr>
            <w:tcW w:w="16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8"/>
              </w:rPr>
              <w:t>The October 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Forward Purchase</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Forward Purchase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Contract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Issuance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1,080</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28,237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fair value included in other income (expense)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Transfers to additional paid-in-capital</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980"/>
              <w:spacing w:after="0"/>
              <w:rPr>
                <w:sz w:val="20"/>
                <w:szCs w:val="20"/>
                <w:color w:val="auto"/>
              </w:rPr>
            </w:pPr>
            <w:r>
              <w:rPr>
                <w:rFonts w:ascii="Arial" w:cs="Arial" w:eastAsia="Arial" w:hAnsi="Arial"/>
                <w:sz w:val="18"/>
                <w:szCs w:val="18"/>
                <w:color w:val="auto"/>
              </w:rPr>
              <w:t>(13,091)</w:t>
            </w:r>
          </w:p>
        </w:tc>
        <w:tc>
          <w:tcPr>
            <w:tcW w:w="18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(14,989)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20" w:type="dxa"/>
            <w:vAlign w:val="bottom"/>
            <w:vMerge w:val="restart"/>
          </w:tcPr>
          <w:p>
            <w:pPr>
              <w:jc w:val="right"/>
              <w:ind w:right="492"/>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96"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i w:val="1"/>
          <w:iCs w:val="1"/>
          <w:color w:val="auto"/>
        </w:rPr>
        <w:t xml:space="preserve">Private Placements </w:t>
      </w:r>
      <w:r>
        <w:rPr>
          <w:rFonts w:ascii="Arial" w:cs="Arial" w:eastAsia="Arial" w:hAnsi="Arial"/>
          <w:sz w:val="16"/>
          <w:szCs w:val="16"/>
          <w:color w:val="auto"/>
        </w:rPr>
        <w:t>— On August 5, 2005, the Company closed a $175.0 million private placement of common stock and the concurrent issuance of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purchase of 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expired on August 5, 2010. In connection with this private placement, the Company paid $4.5 million in commissions to the placement agents and incurred $300,000 in other offering expenses which resulted in net proceeds of approximately $170.2 million.</w:t>
      </w:r>
    </w:p>
    <w:p>
      <w:pPr>
        <w:spacing w:after="0" w:line="3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Public Equity Offerings </w:t>
      </w:r>
      <w:r>
        <w:rPr>
          <w:rFonts w:ascii="Arial" w:cs="Arial" w:eastAsia="Arial" w:hAnsi="Arial"/>
          <w:sz w:val="18"/>
          <w:szCs w:val="18"/>
          <w:color w:val="auto"/>
        </w:rPr>
        <w:t>— On August 5, 2009, the Company sold 8,360,000 shares of its common stock, including 960,000 shares sold pursuant to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over-allotment option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62"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Included in the common stock outstanding as of December 31, 2011, 2012 and 2013 are 9,000,000 shares of common stock loaned to Bank of America under a share lending agreement in connection with the offering of the $100.0 million aggregate principal amount of 2015 notes (see Note 7). Bank of America is obligated to return the borrowed shares (or, in certain circumstances, the cash value thereof) to the Company on or about the 45</w:t>
      </w:r>
      <w:r>
        <w:rPr>
          <w:rFonts w:ascii="Arial" w:cs="Arial" w:eastAsia="Arial" w:hAnsi="Arial"/>
          <w:sz w:val="10"/>
          <w:szCs w:val="10"/>
          <w:color w:val="auto"/>
        </w:rPr>
        <w:t>th</w:t>
      </w:r>
      <w:r>
        <w:rPr>
          <w:rFonts w:ascii="Arial" w:cs="Arial" w:eastAsia="Arial" w:hAnsi="Arial"/>
          <w:sz w:val="16"/>
          <w:szCs w:val="16"/>
          <w:color w:val="auto"/>
        </w:rPr>
        <w:t xml:space="preserve">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39" w:lineRule="exact"/>
        <w:rPr>
          <w:sz w:val="20"/>
          <w:szCs w:val="20"/>
          <w:color w:val="auto"/>
        </w:rPr>
      </w:pPr>
    </w:p>
    <w:p>
      <w:pPr>
        <w:ind w:right="20" w:firstLine="228"/>
        <w:spacing w:after="0" w:line="305" w:lineRule="auto"/>
        <w:rPr>
          <w:sz w:val="20"/>
          <w:szCs w:val="20"/>
          <w:color w:val="auto"/>
        </w:rPr>
      </w:pPr>
      <w:r>
        <w:rPr>
          <w:rFonts w:ascii="Arial" w:cs="Arial" w:eastAsia="Arial" w:hAnsi="Arial"/>
          <w:sz w:val="15"/>
          <w:szCs w:val="15"/>
          <w:color w:val="auto"/>
        </w:rPr>
        <w:t>On August 10, 2010, the Company entered into an agreement with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be at least $6.50 per share. If the ten-day volume weighted average trading price for a particular closing was below $6.50 per share, then that closing did not occur and the aggregate number of shares to be purchased was reduced by 700,000 shares. The purchase price per share at each closing was equal to 92% of that 10-day volume weighted average price. During the years ended December 31, 2010 and 2011, the Company issued and sold a total of 2,100,000 and 1,400,000 shares of common stock, respectively, to Seaside for net proceeds of $14.1 million and $9.7 million, respectively, in accordance with the agreement. The agreement with Seaside terminated during the quarter ended September 30, 2011. During the agreement, the Company issued and sold a total of 3,500,000 shares of common stock to Seaside for net proceeds of $23.8 million. In conjunction with the Seaside agreement, on August 10, 2010, the Company entered into a common stock purchase agreement with The Mann Group. Under this common stock purchase agreement, the Company was required to issue and sell, and The Mann Group was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purchased on each closing date under its agreement with the Company (see Note 6). Concurrently with the Seaside closing, the Company issued and sold 2,100,000 and 1,400,000 shares to The Mann Group as of December 31, 2010 and 2011, respectively, for a total purchase price of $16.7 million and $11.1 million, respectively, which was paid by the cancellation of outstanding principal under the Company’s loan agreement with The Mann Group. The agreement with The Mann Group terminated during the quarter ended September 30, 2011. During the agreement, the Company issued and sold a total of 3,500,000 shares of common stock to The Mann Group that had resulted in total reduction in the note payable to The Mann Group of $27.8 million.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shares of common stock underlying the warrants are exercisable at $2.40 per share and expire four years from the date of the issuance. The shares of common stock and warrants are immediately separable and were issued separately. Concurrent with the February 2012 underwritten public offering, the Company entered into a common stock purchase agreement with The Mann Group, pursuant to which the Company agreed to sell and The Mann Group agreed to purchase 31,250,000 shares of the Company’s restricted common stock at a price of $2.47 per share, the closing of which was subject to the expiration or termination of the waiting period under the Hart-Scott-Rodino Antitrust Improvements Act of 1976, as amended (“HSR Clearance”), and the Company’s receipt of stockholder approval to increase the authorized number of shares of our common stock. In June 2012, following HSR Clearance and the Company’s receipt of such stockholder approval, The Mann Group purchased $77.2 million worth of restricted shares of common stock which were paid through the cancellation of principal indebtedness under the amended loan arrangement with The Mann Group (see Note 6). For the twelve months ended December 31, 2013, the Company received $4.5 million in proceeds from the exercise of the February 2012 public offering warrants, with $47.3 million remaining unexercised.</w:t>
      </w:r>
    </w:p>
    <w:p>
      <w:pPr>
        <w:spacing w:after="0" w:line="4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The Company concluded that The Mann Group common stock purchase agreement represented a contingent forward purchase contract that met the definition of a derivative instrument in accordance with ASC 815</w:t>
      </w:r>
      <w:r>
        <w:rPr>
          <w:rFonts w:ascii="Arial" w:cs="Arial" w:eastAsia="Arial" w:hAnsi="Arial"/>
          <w:sz w:val="16"/>
          <w:szCs w:val="16"/>
          <w:i w:val="1"/>
          <w:iCs w:val="1"/>
          <w:color w:val="auto"/>
        </w:rPr>
        <w:t>.</w:t>
      </w:r>
      <w:r>
        <w:rPr>
          <w:rFonts w:ascii="Arial" w:cs="Arial" w:eastAsia="Arial" w:hAnsi="Arial"/>
          <w:sz w:val="16"/>
          <w:szCs w:val="16"/>
          <w:color w:val="auto"/>
        </w:rPr>
        <w:t xml:space="preserve"> Of the 31,250,000 shares issuable pursuant to the common stock purchase agreement, the portion of the derivative instrument representing 14.7 million shares were recorded as equity (“Equity Portion”)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xml:space="preserve"> The remaining 16.5 million shares (“Non-Equity Portion”) required classification outside of equity as the Company did not have sufficient available shares at the time of issuance. The Company revalued the Non-Equity Portion of the forward purchase contract at each reporting date and recorded a fair value adjustment within “Other income (expense)”. At the time of issuance, the fair value of the forward purchase contract was $2.0 million. The Equity Portion of $0.9 million was classified as equity, and the Non-Equity Portion of $1.1 million was initially recorded to “Prepaid expenses and other current assets.”</w:t>
      </w:r>
    </w:p>
    <w:p>
      <w:pPr>
        <w:spacing w:after="0" w:line="37" w:lineRule="exact"/>
        <w:rPr>
          <w:sz w:val="20"/>
          <w:szCs w:val="20"/>
          <w:color w:val="auto"/>
        </w:rPr>
      </w:pPr>
    </w:p>
    <w:p>
      <w:pPr>
        <w:ind w:firstLine="228"/>
        <w:spacing w:after="0" w:line="305" w:lineRule="auto"/>
        <w:rPr>
          <w:sz w:val="20"/>
          <w:szCs w:val="20"/>
          <w:color w:val="auto"/>
        </w:rPr>
      </w:pPr>
      <w:r>
        <w:rPr>
          <w:rFonts w:ascii="Arial" w:cs="Arial" w:eastAsia="Arial" w:hAnsi="Arial"/>
          <w:sz w:val="15"/>
          <w:szCs w:val="15"/>
          <w:color w:val="auto"/>
        </w:rPr>
        <w:t>On May 17, 2012, the Company’s stockholders approved an increase in its authorized shares of common stock from 250,000,000 to 350,000,000. Accordingly, the shares of common stock needed to consummate The Mann Group common stock purchase agreement dated February 2, 2012 became available. As of</w:t>
      </w:r>
    </w:p>
    <w:p>
      <w:pPr>
        <w:jc w:val="both"/>
        <w:ind w:right="60"/>
        <w:spacing w:after="0" w:line="255" w:lineRule="auto"/>
        <w:rPr>
          <w:sz w:val="20"/>
          <w:szCs w:val="20"/>
          <w:color w:val="auto"/>
        </w:rPr>
      </w:pPr>
      <w:r>
        <w:rPr>
          <w:rFonts w:ascii="Arial" w:cs="Arial" w:eastAsia="Arial" w:hAnsi="Arial"/>
          <w:sz w:val="18"/>
          <w:szCs w:val="18"/>
          <w:color w:val="auto"/>
        </w:rPr>
        <w:t>May 17, 2012, the fair value of the Non-Equity Portion was $13.1 million. As of result of receiving stockholder approval of the increase in authorized shares, the Non-Equity Portion met the criteria for equity classification. Consequently, the Company reclassified the $13.1 million from “Prepaid expenses and other current assets” to “Additional paid-in capital.”</w:t>
      </w:r>
    </w:p>
    <w:p>
      <w:pPr>
        <w:spacing w:after="0" w:line="63"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The fair value of the forward purchase contract is highly sensitive to the discount applied for lack of marketability and the stock price, and changes in this discount and/or the stock price caused the value of the forward purchase contract to change significantly. As of and for the year ended December 31, 2012, the Company recognized the change in fair value of $12.0 million in “Other income (expense).” The Company revalued the Non-Equity Portion using a forward contract valuation formula, in which the forward contract was estimated to be equal to the valuation date stock price of $2.40 at issuance and $1.69 at May 17, 2012 minus the strike price discounted to the valuation date using a risk-free rate of 0.08% at issuance and 0.18% at May 17, 2012. As the shares which would be received upon settlement were unregistered, the Company applied a discount for lack of marketability of 2.57% at issuance and 0.42% at May 17, 2012 based on quantitative put models,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adjusted to take into account qualitative factors, including the fact that the Company’s stock was publicly traded and the fact that there was no contractual restriction on the unregistered shares being registered.</w:t>
      </w:r>
    </w:p>
    <w:p>
      <w:pPr>
        <w:spacing w:after="0" w:line="51" w:lineRule="exact"/>
        <w:rPr>
          <w:sz w:val="20"/>
          <w:szCs w:val="20"/>
          <w:color w:val="auto"/>
        </w:rPr>
      </w:pPr>
    </w:p>
    <w:p>
      <w:pPr>
        <w:ind w:right="20" w:firstLine="228"/>
        <w:spacing w:after="0" w:line="309" w:lineRule="auto"/>
        <w:rPr>
          <w:sz w:val="20"/>
          <w:szCs w:val="20"/>
          <w:color w:val="auto"/>
        </w:rPr>
      </w:pPr>
      <w:r>
        <w:rPr>
          <w:rFonts w:ascii="Arial" w:cs="Arial" w:eastAsia="Arial" w:hAnsi="Arial"/>
          <w:sz w:val="15"/>
          <w:szCs w:val="15"/>
          <w:color w:val="auto"/>
        </w:rPr>
        <w:t>In October 2012, pursuant to a previously filed Shelf Registration, which was declared effective by the SEC on September 24, 2012, the Company sold in an underwritten public offering 40,000,000 shares of its common stock, together with warrants to purchase up to 30,000,000 shares of the Company’s common stock. In addition, the Company sold pursuant to the full exercise of an over-allotment option granted to the underwriters, an additional 6,000,000 shares of common stock, together with warrants to purchase up to an aggregate of 4,500,000 shares of common stock. All of the securities were sold together with a warrant for a combined purchase price of $2.00 per unit. The shares of common stock and warrants are immediately separable and were issued separately. Net proceeds from this offering were approximately $86.3 million (after deducting discounts and commissions to the underwriters and offering expenses), excluding any future proceeds from the exercise of the warrants. Each warrant entitles the holder to purchase 0.75 of a share of common stock. The warrants are exercisable at $2.60 per share and expired in October 2013. The Company received $89.7 million in proceeds from the exercise of such warrants prior to their expiration. The Company performed an analysis of the warrants to determine their appropriate classification and concluded that the warrants should be classified within equity.</w:t>
      </w:r>
    </w:p>
    <w:p>
      <w:pPr>
        <w:spacing w:after="0" w:line="27"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Concurrently with the underwritten public offering, the Company entered into a Common Stock and Warrant Purchase agreement, in which the Company was required to issue and sell and The Mann Group was obligated to purchase 40,000,000 restricted shares of the Company’s common stock and 40,000,000 warrants to purchase up to an aggregate of 30,000,000 restricted shares of the Company’s common stock in a separate private placement. The restricted shares were sold to The Mann Group at $2.59 per share (the consolidated closing bid price of the Company’s common stock on October 17, 2012), and the warrants were sold to The Mann Group at a purchase price of $0.125 for each share of the Company’s common stock underlying the warrants, in exchange for cancellation of outstanding principal under the $350.0 million amended and restated promissory note with The Mann Group. The restricted shares and warrants were sold to The Mann Group for an aggregate purchase price of $107.4 million. Following receipt of stockholder approval, in December 2012, to increase the Company’s authorized shares of common stock from 350,000,000 to 550,000,000, the Common Stock and Warrant Purchase agreement was consummated, and the shares of common stock and warrants were issued to The Mann Group.</w:t>
      </w:r>
    </w:p>
    <w:p>
      <w:pPr>
        <w:spacing w:after="0" w:line="39"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On the date the Common Stock and Warrant Purchase agreement was entered into with The Mann Group, the Company did not have a sufficient number of authorized, unissued and available common shares to satisfy their commitments under this agreement. The Company characterized the Common Stock and Warrant Purchase agreement as a forward contract, in accordance with ASC 815-40, to deliver a single unit comprising 40,000,000 shares of restricted common stock and 40,000,000 warrants to purchase 30,000,000 shares of restricted common stock that should be classified as assets or liabilities accounted for at fair value.</w:t>
      </w:r>
    </w:p>
    <w:p>
      <w:pPr>
        <w:spacing w:after="0" w:line="62"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At the time of issuance, the Company determined the fair value of the forward contract to be $28.2 million and recorded a current asset. On December 20, 2012, the date at which a sufficient number of authorized and unissued common shares became available following approval by the stockholders to increase its authorized shares of common stock, the Company re-valued the forward contract and recorded a fair value adjustment to “Other income (expense)” of $13.2 million expense. Therefore, having met the criteria for equity classification, the Company reclassified the remaining balance of the forward contract of $15.0 million to additional paid in capital. In addition, the Company performed an analysis of the warrants to determine their appropriate classification once the forward contract settled and concluded that the warrants should be classified within equity.</w:t>
      </w:r>
    </w:p>
    <w:p>
      <w:pPr>
        <w:spacing w:after="0" w:line="39" w:lineRule="exact"/>
        <w:rPr>
          <w:sz w:val="20"/>
          <w:szCs w:val="20"/>
          <w:color w:val="auto"/>
        </w:rPr>
      </w:pPr>
    </w:p>
    <w:p>
      <w:pPr>
        <w:jc w:val="both"/>
        <w:ind w:right="280" w:firstLine="228"/>
        <w:spacing w:after="0" w:line="306" w:lineRule="auto"/>
        <w:rPr>
          <w:sz w:val="20"/>
          <w:szCs w:val="20"/>
          <w:color w:val="auto"/>
        </w:rPr>
      </w:pPr>
      <w:r>
        <w:rPr>
          <w:rFonts w:ascii="Arial" w:cs="Arial" w:eastAsia="Arial" w:hAnsi="Arial"/>
          <w:sz w:val="16"/>
          <w:szCs w:val="16"/>
          <w:color w:val="auto"/>
        </w:rPr>
        <w:t>The fair value of the forward purchase contract is highly sensitive to the discount applied for lack of marketability and the stock price, and changes in this discount and/or the stock price caused the value of the Forward Contract to change significantly. The value of the derivative instrument was calculated using a forward contract valuation formula in which the forward contract is estimated to be equal to the valuation date stock price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minus the strike price discounted to the valuation date using a risk-free rate of 0.11% at issuance on October 18, 2012 and 0.00% at closing on December 20, 2012. As the shares which would be received upon settlement are currently unregistered, the Company applied a discount for lack of marketability of 2.3% at October 18, 2012 and 1.5% at December 20, 2012 to reflect this lack of marketability based on quantitative put models, adjusted to take into account qualitative factors, including the fact that the Company’s stock is publicly traded and the fact that there is no contractual restriction on the unregistered shares being registered.</w:t>
      </w:r>
    </w:p>
    <w:p>
      <w:pPr>
        <w:spacing w:after="0" w:line="62" w:lineRule="exact"/>
        <w:rPr>
          <w:sz w:val="20"/>
          <w:szCs w:val="20"/>
          <w:color w:val="auto"/>
        </w:rPr>
      </w:pPr>
    </w:p>
    <w:p>
      <w:pPr>
        <w:jc w:val="both"/>
        <w:ind w:right="100" w:firstLine="228"/>
        <w:spacing w:after="0" w:line="335" w:lineRule="auto"/>
        <w:rPr>
          <w:sz w:val="20"/>
          <w:szCs w:val="20"/>
          <w:color w:val="auto"/>
        </w:rPr>
      </w:pPr>
      <w:r>
        <w:rPr>
          <w:rFonts w:ascii="Arial" w:cs="Arial" w:eastAsia="Arial" w:hAnsi="Arial"/>
          <w:sz w:val="15"/>
          <w:szCs w:val="15"/>
          <w:color w:val="auto"/>
        </w:rPr>
        <w:t>The Company then determined that upon the settlement of the forward contracts, the common stock and warrants represent freestanding financial instruments and should be initially recorded at their relative fair values based on the total consideration received. The total consideration received equaled the $107.4 million principal amount of indebtedness cancelled less the recorded value of the forward contracts on December 20, 2012, the date immediately before settlement.</w:t>
      </w:r>
    </w:p>
    <w:p>
      <w:pPr>
        <w:spacing w:after="0" w:line="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On October 31, 2013, under the Amended and Restated Promissory Note, the Company issued 30,000,000 shares of common stock to The Mann Group upon the exercise of warrants. In exchange, the Company and The Mann Group agreed to cancel $78.0 million of outstanding principal indebtedness and to capitalize into principal the approximately $7.9 million of accrued interest that became due and payable upon cancellation of such principal indebtedness.</w:t>
      </w:r>
    </w:p>
    <w:p>
      <w:pPr>
        <w:spacing w:after="0" w:line="2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On July 1, 2013, the Company entered into the Facility Agreement (see Note 16) pursuant to which the Company had sold $120.0 million aggregate principal amount of notes to Deerfield in three tranches occurring on July 1, 2013, September 5, 2013 and December 9, 2013. Subject to certain conditions, as of December 31, 2013, Deerfield was permitted to convert a portion of the 2019 notes into shares of the Company’s common stock as described under “Conversion Option” in Note 16 below. As of December 31, 2013, Deerfield converted $6.5 million of principal from the 2019 notes, resulting in an issuance of 1,293,224 shares of common stock. The outstanding principal amount as of December 31, 2013 was $113.5 million (see Note 18).</w:t>
      </w:r>
    </w:p>
    <w:p>
      <w:pPr>
        <w:spacing w:after="0" w:line="35"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December 31, 2012 and 2013, 286,035,082 and 369,391,972 shares of common stock, respectively, were issued and outstanding and no shares of preferred stock were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9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10). As of December 31, 2011, 2012 and 2013, 9,000,000 shares of the Company’s common stock, which were loaned to a share borrower pursuant to the terms of a share lending agreement, as described in Note 10,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2015 senior convertible notes and the 2019 notes, that are not included in the diluted net loss per share calculation exclude the 9,000,000 shares of the Company’s common stock loaned under the share lending arrangement as of December 31, 2012 and 2013.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Potentially dilutive securities outstanding are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10,082,351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18,674,539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24,237,940</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19,826,113</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19,826,113</w:t>
            </w:r>
          </w:p>
        </w:tc>
        <w:tc>
          <w:tcPr>
            <w:tcW w:w="960" w:type="dxa"/>
            <w:vAlign w:val="bottom"/>
          </w:tcPr>
          <w:p>
            <w:pPr>
              <w:jc w:val="right"/>
              <w:spacing w:after="0"/>
              <w:rPr>
                <w:sz w:val="20"/>
                <w:szCs w:val="20"/>
                <w:color w:val="auto"/>
              </w:rPr>
            </w:pPr>
            <w:r>
              <w:rPr>
                <w:rFonts w:ascii="Arial" w:cs="Arial" w:eastAsia="Arial" w:hAnsi="Arial"/>
                <w:sz w:val="18"/>
                <w:szCs w:val="18"/>
                <w:color w:val="auto"/>
              </w:rPr>
              <w:t>25,415,366</w:t>
            </w: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86,062,440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19,706,240</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4,140,388</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3,761,031</w:t>
            </w:r>
          </w:p>
        </w:tc>
        <w:tc>
          <w:tcPr>
            <w:tcW w:w="960" w:type="dxa"/>
            <w:vAlign w:val="bottom"/>
          </w:tcPr>
          <w:p>
            <w:pPr>
              <w:jc w:val="right"/>
              <w:spacing w:after="0"/>
              <w:rPr>
                <w:sz w:val="20"/>
                <w:szCs w:val="20"/>
                <w:color w:val="auto"/>
              </w:rPr>
            </w:pPr>
            <w:r>
              <w:rPr>
                <w:rFonts w:ascii="Arial" w:cs="Arial" w:eastAsia="Arial" w:hAnsi="Arial"/>
                <w:sz w:val="18"/>
                <w:szCs w:val="18"/>
                <w:color w:val="auto"/>
              </w:rPr>
              <w:t>9,115,821</w:t>
            </w:r>
          </w:p>
        </w:tc>
        <w:tc>
          <w:tcPr>
            <w:tcW w:w="12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34,048,852</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128,324,123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78,475,367</w:t>
            </w:r>
          </w:p>
        </w:tc>
        <w:tc>
          <w:tcPr>
            <w:tcW w:w="12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award plans</w:t>
      </w:r>
    </w:p>
    <w:p>
      <w:pPr>
        <w:spacing w:after="0" w:line="9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On May 23, 2013, the Company adopted the 2013 Equity Incentive Plan (the “2013 Plan”) as the successor to and continuation of the 2004 Equity Incentive Plan (the “2004 Plan”). The 2013 Plan consists of 21.5 million newly requested shares and the number of unallocated shares remaining available for grant for new awards under the 2004 Plan. The 2013 Plan provides for the granting of stock awards including stock options and restricted stock units, to employees, directors and consultants. The Plan also provides for the automatic, non-discretionary grant of options to the Company’s non-employee directors. No additional awards will be granted under the 2004 Plan or under the 2004 Non-Employee Directors’ Stock Option Plan (the “NED Plan”) as all future awards will be made out of the 2013 Plan.</w:t>
      </w:r>
    </w:p>
    <w:p>
      <w:pPr>
        <w:spacing w:after="0" w:line="63" w:lineRule="exact"/>
        <w:rPr>
          <w:sz w:val="20"/>
          <w:szCs w:val="20"/>
          <w:color w:val="auto"/>
        </w:rPr>
      </w:pPr>
    </w:p>
    <w:p>
      <w:pPr>
        <w:ind w:right="260" w:firstLine="228"/>
        <w:spacing w:after="0" w:line="331" w:lineRule="auto"/>
        <w:rPr>
          <w:sz w:val="20"/>
          <w:szCs w:val="20"/>
          <w:color w:val="auto"/>
        </w:rPr>
      </w:pPr>
      <w:r>
        <w:rPr>
          <w:rFonts w:ascii="Arial" w:cs="Arial" w:eastAsia="Arial" w:hAnsi="Arial"/>
          <w:sz w:val="16"/>
          <w:szCs w:val="16"/>
          <w:color w:val="auto"/>
        </w:rPr>
        <w:t>As of December 31, 2013, the Company has two active stock-based compensation plans — the 2013 Plan and the 2004 Employee Stock Purchase Plan (the “ESPP”). The following table summarizes information about the Company’s stock-based award plans as of December 31, 2013:</w:t>
      </w:r>
    </w:p>
    <w:tbl>
      <w:tblPr>
        <w:tblLayout w:type="fixed"/>
        <w:tblInd w:w="0" w:type="dxa"/>
        <w:tblCellMar>
          <w:top w:w="0" w:type="dxa"/>
          <w:left w:w="0" w:type="dxa"/>
          <w:bottom w:w="0" w:type="dxa"/>
          <w:right w:w="0" w:type="dxa"/>
        </w:tblCellMar>
      </w:tblPr>
      <w:tr>
        <w:trPr>
          <w:trHeight w:val="150"/>
        </w:trPr>
        <w:tc>
          <w:tcPr>
            <w:tcW w:w="38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7"/>
              </w:rPr>
              <w:t>Outstanding</w:t>
            </w:r>
          </w:p>
        </w:tc>
        <w:tc>
          <w:tcPr>
            <w:tcW w:w="440" w:type="dxa"/>
            <w:vAlign w:val="bottom"/>
          </w:tcPr>
          <w:p>
            <w:pPr>
              <w:spacing w:after="0"/>
              <w:rPr>
                <w:sz w:val="13"/>
                <w:szCs w:val="13"/>
                <w:color w:val="auto"/>
              </w:rPr>
            </w:pPr>
          </w:p>
        </w:tc>
        <w:tc>
          <w:tcPr>
            <w:tcW w:w="112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85"/>
              </w:rPr>
              <w:t>Shares Available</w:t>
            </w:r>
          </w:p>
        </w:tc>
      </w:tr>
      <w:tr>
        <w:trPr>
          <w:trHeight w:val="149"/>
        </w:trPr>
        <w:tc>
          <w:tcPr>
            <w:tcW w:w="38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4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w:t>
            </w:r>
          </w:p>
        </w:tc>
      </w:tr>
      <w:tr>
        <w:trPr>
          <w:trHeight w:val="161"/>
        </w:trPr>
        <w:tc>
          <w:tcPr>
            <w:tcW w:w="3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Options</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Stock Units</w:t>
            </w:r>
          </w:p>
        </w:tc>
        <w:tc>
          <w:tcPr>
            <w:tcW w:w="4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Future Issuance</w:t>
            </w:r>
          </w:p>
        </w:tc>
      </w:tr>
      <w:tr>
        <w:trPr>
          <w:trHeight w:val="210"/>
        </w:trPr>
        <w:tc>
          <w:tcPr>
            <w:tcW w:w="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2004</w:t>
            </w:r>
          </w:p>
        </w:tc>
        <w:tc>
          <w:tcPr>
            <w:tcW w:w="73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Incentive Plan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16,792,784</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6,949,202</w:t>
            </w:r>
          </w:p>
        </w:tc>
        <w:tc>
          <w:tcPr>
            <w:tcW w:w="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738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880" w:type="dxa"/>
            <w:vAlign w:val="bottom"/>
          </w:tcPr>
          <w:p>
            <w:pPr>
              <w:jc w:val="right"/>
              <w:spacing w:after="0"/>
              <w:rPr>
                <w:sz w:val="20"/>
                <w:szCs w:val="20"/>
                <w:color w:val="auto"/>
              </w:rPr>
            </w:pPr>
            <w:r>
              <w:rPr>
                <w:rFonts w:ascii="Arial" w:cs="Arial" w:eastAsia="Arial" w:hAnsi="Arial"/>
                <w:sz w:val="18"/>
                <w:szCs w:val="18"/>
                <w:color w:val="auto"/>
              </w:rPr>
              <w:t>6,754,325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2,166,619</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13,590,564</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2004</w:t>
            </w: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690,831</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7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24,237,940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9,115,821</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13,590,564</w:t>
            </w:r>
          </w:p>
        </w:tc>
      </w:tr>
      <w:tr>
        <w:trPr>
          <w:trHeight w:val="20"/>
        </w:trPr>
        <w:tc>
          <w:tcPr>
            <w:tcW w:w="3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The Company’s board of directors determines eligibility, vesting schedules and exercise prices for stock awards granted under the 2013 Plan. The 2013 Plan provides for automatic, non-discretionary grant of options to the Company’s non-employee directors. Options and other stock awards under the 2013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Performance-based awards vest upon achieving pre-determined performance milestones, which are expected to occur over periods ranging from 11 months to 96 months from the date of grant. All but one of the milestones is considered probable as of December 31, 2013. The 2013 Plan provides for full acceleration of vesting if an employee is terminated within three months of a change in control, as defined in the 2013 Plan.</w:t>
      </w:r>
    </w:p>
    <w:p>
      <w:pPr>
        <w:spacing w:after="0" w:line="37"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On May 23, 2013, the Compensation Committee also approved a management proposal designed to encourage employee retention. The proposal involved the grant of 5,598,100 performance-based stock options and 1,687,900 performance-based restricted stock units to employees, including executive officers of the Company. These grants have vesting terms subject to the achievement of specified regulatory and business development milestones related to AFREZZA. The performance-based options and performance-based restricted stock units had a grant date per share fair value of $3.05 and $6.85,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On March 7, 2013, the Compensation Committee approved a management proposal designed to encourage employee retention. The proposal involved the grant of performance-based restricted stock units to employees, including executive officers of the Company. A total of 5,846,000 restricted stock units were granted with vesting terms subject to the achievement of specified regulatory and business development milestones related to AFREZZA. The performance-based restricted stock units had a grant date fair value of $2.81.</w:t>
      </w:r>
    </w:p>
    <w:p>
      <w:pPr>
        <w:spacing w:after="0" w:line="62"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On May 17, 2012, the Compensation Committee also approved a management proposal designed to encourage employee retention. The proposal involved the grant of stock options and restricted stock units to employees, including executive officers of the Company. A total of 3,942,500 options were granted with vesting terms subject to MannKind Corporation’s achievement of specified regulatory and business development milestones related to AFREZZA. A total of 3,892,500 options were granted with time-based vesting terms of 25% every 6 months beginning November 1, 2012, to be fully vested on May 1, 2014. The performance-based options and time-based stock options had a grant date fair value of $0.60 and $1.12, respectively.</w:t>
      </w:r>
    </w:p>
    <w:p>
      <w:pPr>
        <w:spacing w:after="0" w:line="35"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On March 3, 2011, the Compensation Committee approved a management proposal designed to encourage employee retention. The proposal involved the issuance of restricted stock units and stock options to the majority of employees and executive officers of the Company. A total of 1,177,300 restricted stock units and 1,467,500 stock options were granted under the 2004 Plan. These units vested 50% annually for two years and became fully vested on March 3, 2013. Stock compensation expense associated with these grants was recorded on a straight line basis from March 3, 2011 through March 3, 2013 and was approximately $8.2 million.</w:t>
      </w:r>
    </w:p>
    <w:p>
      <w:pPr>
        <w:spacing w:after="0" w:line="62"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On July 9, 2008, the Company announced an Offer to Exchange Outstanding Options to Purchase Common Stock (the “Offer”) under which the Company offered eligible employees the opportunity to exchange out-of-the money stock options covering up to an aggregate of 5,417,840 shares on a grant by grant basis for a reduced number 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restricted stock units issued pursuant to the offer, both the remaining estimated unamortized stock compensation expense related to the exchanged options of approximately $13.9 million and the estimated incremental stock compensation expense resulting from the exchange of approximately $3.7 million was amortized over the vesting period ending on August 1, 2010.</w:t>
      </w:r>
    </w:p>
    <w:p>
      <w:pPr>
        <w:spacing w:after="0" w:line="3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In March 2004, the Company’s board of directors approved the ESPP, which became effective upon the closing of the Company’s initial public offering. Initially, the aggregate number of shares that could be sold under the 2004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2011, 2012 and 2013 the ESPP share reserve was increased by 700,000, 700,000 and 700,000 shares, respectively. As of December 31, 2013, 2,679,007 shares were available for issuance under the ESPP. For the years ended December 31, 2011, 2012 and 2013 the Company sold 282,816, 422,260 and 463,290 shares, respectively, of its common stock to employees participating in the ESPP. The ESPP purchase for the period ending December 31, 2013 was initiated prior to year end but did not settle until January 6, 2014. As a result, the shares sold are reflected in the ESPP share reserves but is excluded from common stock outstanding as of December 31, 2013.</w:t>
      </w:r>
    </w:p>
    <w:p>
      <w:pPr>
        <w:spacing w:after="0" w:line="42"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which is determined using the Black-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Scholes option valuation model and amortizes such expense on a straight-line basis over the service period for time-based awards and over the expected dates of achievement for performance-based awards. These awards are subject to re-measurement until service is complete. As of December 31, 2013, there were options to purchase 203,700 shares of common stock outstanding to consultants.</w:t>
      </w:r>
    </w:p>
    <w:p>
      <w:pPr>
        <w:spacing w:after="0" w:line="59" w:lineRule="exact"/>
        <w:rPr>
          <w:sz w:val="20"/>
          <w:szCs w:val="20"/>
          <w:color w:val="auto"/>
        </w:rPr>
      </w:pPr>
    </w:p>
    <w:p>
      <w:pPr>
        <w:jc w:val="both"/>
        <w:ind w:right="80" w:firstLine="228"/>
        <w:spacing w:after="0" w:line="268" w:lineRule="auto"/>
        <w:rPr>
          <w:sz w:val="20"/>
          <w:szCs w:val="20"/>
          <w:color w:val="auto"/>
        </w:rPr>
      </w:pPr>
      <w:r>
        <w:rPr>
          <w:rFonts w:ascii="Arial" w:cs="Arial" w:eastAsia="Arial" w:hAnsi="Arial"/>
          <w:sz w:val="18"/>
          <w:szCs w:val="18"/>
          <w:color w:val="auto"/>
        </w:rPr>
        <w:t>During the years ended December 31, 2011, 2012 and 2013 the Company recorded stock-based compensation expense related to its stock award plans and the ESPP of $11.2 million, $13.3 million, and $45.2 million, respectively.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Employee-related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$11,202</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$13,224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Consultant-related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11,204</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$20,409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13,292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26" w:lineRule="exact"/>
        <w:rPr>
          <w:sz w:val="20"/>
          <w:szCs w:val="20"/>
          <w:color w:val="auto"/>
        </w:rPr>
      </w:pPr>
    </w:p>
    <w:p>
      <w:pPr>
        <w:ind w:firstLine="228"/>
        <w:spacing w:after="0" w:line="323" w:lineRule="auto"/>
        <w:rPr>
          <w:sz w:val="20"/>
          <w:szCs w:val="20"/>
          <w:color w:val="auto"/>
        </w:rPr>
      </w:pPr>
      <w:r>
        <w:rPr>
          <w:rFonts w:ascii="Arial" w:cs="Arial" w:eastAsia="Arial" w:hAnsi="Arial"/>
          <w:sz w:val="15"/>
          <w:szCs w:val="15"/>
          <w:color w:val="auto"/>
        </w:rPr>
        <w:t>The Company estimates volatility using the historical volatility of its stock.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2011, 2012 and 2013 using the following assumptions: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1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right"/>
              <w:ind w:right="65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 2.43%</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 1.16%</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 1.82%</w:t>
            </w:r>
          </w:p>
        </w:tc>
        <w:tc>
          <w:tcPr>
            <w:tcW w:w="12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lives</w:t>
            </w:r>
          </w:p>
        </w:tc>
        <w:tc>
          <w:tcPr>
            <w:tcW w:w="236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 — 6.1 years</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1.4 — 6.1 years</w:t>
            </w: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w w:val="95"/>
              </w:rPr>
              <w:t>2.64 — 5.77 years</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 — 83%</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 — 84%</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75.83% — 86.26%</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Dividends</w:t>
            </w:r>
          </w:p>
        </w:tc>
        <w:tc>
          <w:tcPr>
            <w:tcW w:w="2360" w:type="dxa"/>
            <w:vAlign w:val="bottom"/>
          </w:tcPr>
          <w:p>
            <w:pPr>
              <w:spacing w:after="0"/>
              <w:rPr>
                <w:sz w:val="19"/>
                <w:szCs w:val="19"/>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380"/>
              <w:spacing w:after="0"/>
              <w:rPr>
                <w:sz w:val="20"/>
                <w:szCs w:val="20"/>
                <w:color w:val="auto"/>
              </w:rPr>
            </w:pPr>
            <w:r>
              <w:rPr>
                <w:rFonts w:ascii="Arial" w:cs="Arial" w:eastAsia="Arial" w:hAnsi="Arial"/>
                <w:sz w:val="18"/>
                <w:szCs w:val="18"/>
                <w:color w:val="auto"/>
              </w:rPr>
              <w:t>—</w:t>
            </w:r>
          </w:p>
        </w:tc>
      </w:tr>
      <w:tr>
        <w:trPr>
          <w:trHeight w:val="356"/>
        </w:trPr>
        <w:tc>
          <w:tcPr>
            <w:tcW w:w="35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102</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81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812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per Share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000)</w:t>
            </w:r>
          </w:p>
        </w:tc>
      </w:tr>
      <w:tr>
        <w:trPr>
          <w:trHeight w:val="210"/>
        </w:trPr>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18,674,539</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6,919,900</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(881,139)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Forfeit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(287,374)</w:t>
            </w: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(187,986)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24,237,940</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40,972</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23,533,436</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40,972</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Exercisable at December 31, 2013</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12,358,495</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22,126</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 weighted average grant date fair value of the stock options granted during the years ended December 31, 2011, 2012 and 2013 was $2.04, $0.99 and $3.26 per option, respectively. The total intrinsic value of options exercised during the years ended December 31, 2011, 2012 and 2013 was $443,000, $1,000 and $3.1 million, respectively. Intrinsic value is measured using the fair market value at the date of exercise (for options exercised) or at December 31 (for outstanding options), less the applicable exercise price.</w:t>
      </w:r>
    </w:p>
    <w:p>
      <w:pPr>
        <w:spacing w:after="0" w:line="62"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Cash received from the exercise of options during the years ended December 31, 2011, 2012 and 2013 was approximately $625,000, $9,200 and $2.3 million, respectively. The weighted-average remaining contractual terms for options outstanding, vested and expected to vest, and exercisable at December 31, 2013 was 7.80 years, 7.77 years and 6.84 years, respectively.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restricted stock unit activity for the year ended December 31, 2013 is presented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5"/>
              </w:rPr>
              <w:t>of</w:t>
            </w:r>
          </w:p>
        </w:tc>
        <w:tc>
          <w:tcPr>
            <w:tcW w:w="2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per Share</w:t>
            </w: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3,761,031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8,481,459</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(2,861,059)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(265,610)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9,115,821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The total restricted stock units expected to vest as of December 31, 2013 was 8,761,363 with a weighted average grant date fair value of $3.40. The total intrinsic value of restricted stock units expected to vest as of December 31, 2013 was $45.6 million. Intrinsic value of restricted stock units expected to vest is measured using the closing share price at December 31, 2013.</w:t>
      </w:r>
    </w:p>
    <w:p>
      <w:pPr>
        <w:spacing w:after="0" w:line="59"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Total intrinsic value of restricted stock units vested during the years ended December 31, 2011, 2012 and 2013 was $1.7 million, $2.9 million and $13.9 million, respectively. Intrinsic value of restricted stock units vested is measured using the closing share price on the day prior to the vest date. The total fair value of restricted stock units vested during the years ended December 31, 2011, 2012 and 2013 was $1.6 million, $3.0 million and $14.9 million, respectively.</w:t>
      </w:r>
    </w:p>
    <w:p>
      <w:pPr>
        <w:spacing w:after="0" w:line="26"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As of December 31, 2013, there was $15.2 million and $23.2 million of unrecognized compensation expense related to options and restricted stock units, respectively, which is expected to be recognized over the weighted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average vesting period of 1.6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December 31, 2013, there was $107,000 and $3.7 million of unrecognized expenses related to performance-based options and restricted stock units, respectively, for milestones not considered probable of achievement.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 Company leases certain facilities and equipment under various operating leases, which expire at various dates through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beyond. Future payments are deemed insignificant.</w:t>
      </w:r>
    </w:p>
    <w:p>
      <w:pPr>
        <w:spacing w:after="0" w:line="51"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Rent expense under all operating leases, including office space and equipment, for the years ended December 31, 2011, 2012, and 2013 was approximately $766,000, $675,000, and $645,000 respectively.</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 The Company’s capital leases were not material for the years ended December 31, 2011, 2012 and 2013.</w:t>
      </w:r>
    </w:p>
    <w:p>
      <w:pPr>
        <w:spacing w:after="0" w:line="90"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i w:val="1"/>
          <w:iCs w:val="1"/>
          <w:color w:val="auto"/>
        </w:rPr>
        <w:t xml:space="preserve">Supply Agreement — </w:t>
      </w:r>
      <w:r>
        <w:rPr>
          <w:rFonts w:ascii="Arial" w:cs="Arial" w:eastAsia="Arial" w:hAnsi="Arial"/>
          <w:sz w:val="16"/>
          <w:szCs w:val="16"/>
          <w:color w:val="auto"/>
        </w:rPr>
        <w:t>In November 2007, the Company entered into a long-term supply agreement with N.V. Organon (“Organon”), now a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Merck &amp; Co., Inc. (the “Supply Agreement”), pursuant to which Organon manufactured and supplied specified quantities of recombinant human insulin to the Company. In June 2011, the Company entered into a letter agreement (the “Letter Agreement”) with Organon to settle a dispute that arose between the Company and Organon in connection with the termination by the Company of the Supply Agreement. Under the terms of the Letter Agreement, the Company paid Organon an aggregate of $16.0 million in two installments, each of which was paid after the Company received certain quantities of recombinant human insulin manufactured and supplied by Organon. The Letter Agreement is in full and final settlement of, and the Company and Organon agreed to release each other from, any and all actions and claims that the Company and Organon had or may have against each other in connection with the dispute regarding the Supply Agreement and related matters. The Company has concluded that the Letter Agreement represents a multiple element arrangement consisting of two elements representing the purchase of insulin and a contract cancellation fee. The Company has allocated the $16.0 million settlement in the following manner: first to the fair value of the insulin received, which was recorded as expense of $8.4 million and the remaining $7.6 million to the contract cancellation fee. These charges were recorded to “Research and development” operating expenses in the consolidated statements of operations of 2011.</w:t>
      </w:r>
    </w:p>
    <w:p>
      <w:pPr>
        <w:spacing w:after="0" w:line="4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37"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The Company is subject to legal proceedings and claims which arise in the ordinary course of its business. As of December 31,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involving activities associated with ongoing and normal business operations.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the Company records a provision for a liability when it is both probable that a liability has been incurred and the amount of the loss can be reasonably estimated. The Company’s policy is to accrue for legal expenses in connection with legal proceeding and claims as they are incurred.</w:t>
      </w:r>
    </w:p>
    <w:p>
      <w:pPr>
        <w:spacing w:after="0" w:line="53" w:lineRule="exact"/>
        <w:rPr>
          <w:sz w:val="20"/>
          <w:szCs w:val="20"/>
          <w:color w:val="auto"/>
        </w:rPr>
      </w:pPr>
    </w:p>
    <w:p>
      <w:pPr>
        <w:ind w:right="160" w:firstLine="228"/>
        <w:spacing w:after="0" w:line="285" w:lineRule="auto"/>
        <w:rPr>
          <w:sz w:val="20"/>
          <w:szCs w:val="20"/>
          <w:color w:val="auto"/>
        </w:rPr>
      </w:pPr>
      <w:r>
        <w:rPr>
          <w:rFonts w:ascii="Arial" w:cs="Arial" w:eastAsia="Arial" w:hAnsi="Arial"/>
          <w:sz w:val="16"/>
          <w:szCs w:val="16"/>
          <w:b w:val="1"/>
          <w:bCs w:val="1"/>
          <w:color w:val="auto"/>
        </w:rPr>
        <w:t>The Securities Action</w:t>
      </w:r>
      <w:r>
        <w:rPr>
          <w:rFonts w:ascii="Arial" w:cs="Arial" w:eastAsia="Arial" w:hAnsi="Arial"/>
          <w:sz w:val="16"/>
          <w:szCs w:val="16"/>
          <w:color w:val="auto"/>
        </w:rPr>
        <w:t>. Beginning January 31, 2011, several complaints were filed in the U.S. District Court for the Central District of California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four of our officers — Alfred E. Mann, Hakan S. Edstrom, Dr. Peter C. Richardson (a former officer) and Matthew J. Pfeffer — on behalf of certain purchasers of our common stock. The complaints include claims asserted under Sections 10(b) and 20(a) of the Exchange Act and were brought as purported shareholder class actions. In general, the complaints alleged that the defendants violated federal securities laws by making materially false and misleading statements regarding our business and prospects for AFREZZA, thereby artificially inflating the price of the Company’s common stock. The</w:t>
      </w:r>
    </w:p>
    <w:p>
      <w:pPr>
        <w:ind w:right="120"/>
        <w:spacing w:after="0" w:line="261" w:lineRule="auto"/>
        <w:rPr>
          <w:sz w:val="20"/>
          <w:szCs w:val="20"/>
          <w:color w:val="auto"/>
        </w:rPr>
      </w:pPr>
      <w:r>
        <w:rPr>
          <w:rFonts w:ascii="Arial" w:cs="Arial" w:eastAsia="Arial" w:hAnsi="Arial"/>
          <w:sz w:val="18"/>
          <w:szCs w:val="18"/>
          <w:color w:val="auto"/>
        </w:rPr>
        <w:t>U.S. District Court for the Central District of California consolidated the pending actions for all purposes. The consolidated action is referred to as the Securities Action.</w:t>
      </w:r>
    </w:p>
    <w:p>
      <w:pPr>
        <w:spacing w:after="0" w:line="57" w:lineRule="exact"/>
        <w:rPr>
          <w:sz w:val="20"/>
          <w:szCs w:val="20"/>
          <w:color w:val="auto"/>
        </w:rPr>
      </w:pPr>
    </w:p>
    <w:p>
      <w:pPr>
        <w:jc w:val="both"/>
        <w:ind w:right="520" w:firstLine="228"/>
        <w:spacing w:after="0" w:line="306" w:lineRule="auto"/>
        <w:rPr>
          <w:sz w:val="20"/>
          <w:szCs w:val="20"/>
          <w:color w:val="auto"/>
        </w:rPr>
      </w:pPr>
      <w:r>
        <w:rPr>
          <w:rFonts w:ascii="Arial" w:cs="Arial" w:eastAsia="Arial" w:hAnsi="Arial"/>
          <w:sz w:val="16"/>
          <w:szCs w:val="16"/>
          <w:color w:val="auto"/>
        </w:rPr>
        <w:t>On July 23, 2012, the Company, while continuing to deny all allegations of wrongdoing or liability whatsoever arising out of the Securities Action, and without in any way admitting fault or liability, entered into a stipulation of settlement to resolve the Securities Action. The current and former officers and directors named as individual defendants in the consolidated lawsuits also entered into the stipulation of settlement.</w:t>
      </w:r>
    </w:p>
    <w:p>
      <w:pPr>
        <w:spacing w:after="0" w:line="2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In exchange for a release of all claims by the class members, among others, and a dismissal of the consolidated lawsuits, the Company agreed (i) to cause the Company’s insurers to pay class members and their attorneys a total of $16.0 million; and (ii) to issue to class members and their attorneys 2,777,778 shares of the Company’s common stock. The Company also agreed that if the consolidated closing bid price for the Company’s common stock is below $1.00 per share on the date the U.S. District Court enters an order of final judgment, then the Company will issue into the Escrow Account an additional 1,000,000 shares of its common stock. On September 12, 2012, the U.S. District Court preliminarily approved the settlement.</w:t>
      </w:r>
    </w:p>
    <w:p>
      <w:pPr>
        <w:spacing w:after="0" w:line="35" w:lineRule="exact"/>
        <w:rPr>
          <w:sz w:val="20"/>
          <w:szCs w:val="20"/>
          <w:color w:val="auto"/>
        </w:rPr>
      </w:pPr>
    </w:p>
    <w:p>
      <w:pPr>
        <w:ind w:right="80" w:firstLine="228"/>
        <w:spacing w:after="0" w:line="253" w:lineRule="auto"/>
        <w:rPr>
          <w:sz w:val="20"/>
          <w:szCs w:val="20"/>
          <w:color w:val="auto"/>
        </w:rPr>
      </w:pPr>
      <w:r>
        <w:rPr>
          <w:rFonts w:ascii="Arial" w:cs="Arial" w:eastAsia="Arial" w:hAnsi="Arial"/>
          <w:sz w:val="18"/>
          <w:szCs w:val="18"/>
          <w:color w:val="auto"/>
        </w:rPr>
        <w:t>On December 21, 2012, the U.S. District Court issued the Order and Final Judgment, providing final approval of the settlement for the securities action. The Order and Final Judgment consisted of requiring the Company to cause its insurers to pay $16.0 million and to issue the 2,777,778 shares of its common stock in accordance with the stipulation of settlement. The Order and Final Judgment did not include the requirement of the Company to issue the additional 1,000,000 shares of its common stock. In late September and in early October, following the preliminary approval of the settlement, the Company’s insurers remitted payment of the $16.0 million into the Escrow Account. On December 31, 2012, following final approval of the settlement, the Company initiated the transfer of the 2,777,778 shares of its common stock into the Escrow Account. The stock transfer settled on January 2, 2013. The shares were issued pursuant to an exemption from registration provided by Section 3(a)(10) of the Securities Act of 1933, as amended. As of December 31, 2012, the Securities Action was concluded.</w:t>
      </w:r>
    </w:p>
    <w:p>
      <w:pPr>
        <w:spacing w:after="0" w:line="58"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b w:val="1"/>
          <w:bCs w:val="1"/>
          <w:color w:val="auto"/>
        </w:rPr>
        <w:t>The Derivative Actions</w:t>
      </w:r>
      <w:r>
        <w:rPr>
          <w:rFonts w:ascii="Arial" w:cs="Arial" w:eastAsia="Arial" w:hAnsi="Arial"/>
          <w:sz w:val="16"/>
          <w:szCs w:val="16"/>
          <w:color w:val="auto"/>
        </w:rPr>
        <w:t>. Beginning in February 2011, several shareholder derivative complaints were filed in the Superior Court of California for the County</w:t>
      </w:r>
      <w:r>
        <w:rPr>
          <w:rFonts w:ascii="Arial" w:cs="Arial" w:eastAsia="Arial" w:hAnsi="Arial"/>
          <w:sz w:val="16"/>
          <w:szCs w:val="16"/>
          <w:b w:val="1"/>
          <w:bCs w:val="1"/>
          <w:color w:val="auto"/>
        </w:rPr>
        <w:t xml:space="preserve"> </w:t>
      </w:r>
      <w:r>
        <w:rPr>
          <w:rFonts w:ascii="Arial" w:cs="Arial" w:eastAsia="Arial" w:hAnsi="Arial"/>
          <w:sz w:val="16"/>
          <w:szCs w:val="16"/>
          <w:color w:val="auto"/>
        </w:rPr>
        <w:t>of Los Angeles and in the U.S. District Court for the Central District of California against all of the Company’s directors and certain of its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its business and prospects for AFREZZA, thereby artificially inflating the price of its common stock. The Superior Court of California for the County of Los Angeles consolidated the actions pending before it. The consolidated state derivative actions are referred to as the State Derivative Action. The U.S. District Court for the Central District of California has also consolidated the derivative actions pending before it. The consolidated federal derivative actions are referred to as the Federal Derivative Action. The State Derivative Action and the Federal Derivative Action are collectively referred to as the Derivative Actions.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On August 3, 2012, the Company, while continuing to deny all allegations of wrongdoing or liability whatsoever arising out of the Derivative Actions and without in any way admitting fault or liability, entered into a stipulation of settlement to resolve the Derivative Action. Subject to preliminary and final approval of the settlement by the U.S. District Court and notice to shareholders, and in an exchange for a release of all claims by the plaintiffs, among others, and a dismissal of the Derivative Actions, the Company agreed (i) to adopt certain corporate governance measures, (ii) to cause the Company’s insurers to pay the plaintiffs’ attorneys a total of $800,000, and (iii) to issue plaintiffs’ attorneys 225,000 shares of the Company’s common stock. On September 12, 2012, the U.S. District Court preliminarily approved the settlement.</w:t>
      </w:r>
    </w:p>
    <w:p>
      <w:pPr>
        <w:spacing w:after="0" w:line="39"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On November 19, 2012, the U.S. District Court issued the Order and Final Judgment, providing final approval of the settlement for the derivative action. The Order and Final Judgment consisted of requiring the Company to cause its insurers to pay $800,000 and to issue the 225,000 shares of its common stock in accordance with the stipulation of settlement. In late September and in early October, following the preliminary approval of the settlement, the Company’s insurers remitted payment of the $800,000 into an account established by the plaintiffs’ attorneys. In December 2012, following final approval of the settlement, the Company transferred the 225,000 shares of its common stock into an investment brokerage account established by the plaintiffs’ attorneys. The shares were issued pursuant to an exemption from registration provided by Section 3(a)(10) of the Securities Act of 1933, as amended. As of December 31, 2012, the Derivative Actions were concluded.</w:t>
      </w:r>
    </w:p>
    <w:p>
      <w:pPr>
        <w:spacing w:after="0" w:line="3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As a result of settlement discussions with the plaintiffs taking place in the latter part of the quarter ended June 30, 2012 and entering into the stipulation of settlement for the Securities Action on July 23, 2012 and for the Derivative Action on August 3, 2012, the Company determined that the liabilities pertaining to both the securities and derivative lawsuits were probable as of June 30, 2012. The Company’s financial statements as of and for the three months ended June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2012 reflected the following accruals:</w:t>
      </w:r>
    </w:p>
    <w:p>
      <w:pPr>
        <w:spacing w:after="0" w:line="84" w:lineRule="exact"/>
        <w:rPr>
          <w:sz w:val="20"/>
          <w:szCs w:val="20"/>
          <w:color w:val="auto"/>
        </w:rPr>
      </w:pPr>
    </w:p>
    <w:p>
      <w:pPr>
        <w:ind w:left="900" w:right="8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Cash consideration</w:t>
      </w:r>
      <w:r>
        <w:rPr>
          <w:rFonts w:ascii="Arial" w:cs="Arial" w:eastAsia="Arial" w:hAnsi="Arial"/>
          <w:sz w:val="18"/>
          <w:szCs w:val="18"/>
          <w:color w:val="auto"/>
        </w:rPr>
        <w:t>. The Company recorded a current liability of $16.8 million under “Accrued expense and other current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current asset under “Prepaid expenses and other current asset” to reflect a receivable from the Company’s insurers. The Company has determined that the collectability of the receivable from the insurers is probable. The cash obligation resulted in no charge to the Company’s Condensed Consolidated Statements of Operations for the period.</w:t>
      </w:r>
    </w:p>
    <w:p>
      <w:pPr>
        <w:spacing w:after="0" w:line="62"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 consideration</w:t>
      </w:r>
      <w:r>
        <w:rPr>
          <w:rFonts w:ascii="Arial" w:cs="Arial" w:eastAsia="Arial" w:hAnsi="Arial"/>
          <w:sz w:val="18"/>
          <w:szCs w:val="18"/>
          <w:color w:val="auto"/>
        </w:rPr>
        <w:t>. The Company recorded a charge to “General and administrative” expenses and an estimated current liability under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other current liabilities” of $7.7 million representing the estimated fair value of the 3,002,778 common shares to be issued in the aggregate subject to court approval.</w:t>
      </w:r>
    </w:p>
    <w:p>
      <w:pPr>
        <w:spacing w:after="0" w:line="59"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Additional stock consideration</w:t>
      </w:r>
      <w:r>
        <w:rPr>
          <w:rFonts w:ascii="Arial" w:cs="Arial" w:eastAsia="Arial" w:hAnsi="Arial"/>
          <w:sz w:val="18"/>
          <w:szCs w:val="18"/>
          <w:color w:val="auto"/>
        </w:rPr>
        <w:t>. The Company concluded that the contingent obligation to issue an additional 1,000,000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the stipulation of settlement agreement for the Securities Action, met the definition of a derivative instrument in accordance with ASC 815. The Company estimated the fair value of the derivative instrument using the Monte Carlo simulation model to forecast the contingent obligation applying probabilities that the stock price will be lower than $1.00 based on the following assumptions: expected volatility of 60%, risk free interest rate of 0.16% and final judgment dates ranging from four to six months. As a result, the Company estimated the fair value of this contingent obligation to be immaterial.</w:t>
      </w:r>
    </w:p>
    <w:p>
      <w:pPr>
        <w:spacing w:after="0" w:line="63" w:lineRule="exact"/>
        <w:rPr>
          <w:sz w:val="20"/>
          <w:szCs w:val="20"/>
          <w:color w:val="auto"/>
        </w:rPr>
      </w:pPr>
    </w:p>
    <w:p>
      <w:pPr>
        <w:ind w:right="340" w:firstLine="228"/>
        <w:spacing w:after="0" w:line="256" w:lineRule="auto"/>
        <w:rPr>
          <w:sz w:val="20"/>
          <w:szCs w:val="20"/>
          <w:color w:val="auto"/>
        </w:rPr>
      </w:pPr>
      <w:r>
        <w:rPr>
          <w:rFonts w:ascii="Arial" w:cs="Arial" w:eastAsia="Arial" w:hAnsi="Arial"/>
          <w:sz w:val="18"/>
          <w:szCs w:val="18"/>
          <w:color w:val="auto"/>
        </w:rPr>
        <w:t>As of September 30, 2012, the Company estimated the aggregate fair value of the stock consideration at $8.6 million and recognized an increase in the contingent liability of $901,000 during the quarter ended September 30, 2012. During the quarter ended September 30, 2012, the Company remeasured the additional stock consideration using the Monte Carlo simulation model to forecast the contingent obligation applying probabilities that the stock price will be lower than $1.00 based on the following assumptions: expected volatility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of 54%, risk free interest rate of 0.1% and final judgment date on or before December 31, 2012. As a result, the Company estimated the fair value of this contingent obligation related to the additional stock consideration to be immaterial.</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considered the following in its financial statements as of and for the year ended December 31, 2012:</w:t>
      </w:r>
    </w:p>
    <w:p>
      <w:pPr>
        <w:spacing w:after="0" w:line="90" w:lineRule="exact"/>
        <w:rPr>
          <w:sz w:val="20"/>
          <w:szCs w:val="20"/>
          <w:color w:val="auto"/>
        </w:rPr>
      </w:pPr>
    </w:p>
    <w:p>
      <w:pPr>
        <w:ind w:left="90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Cash consideration</w:t>
      </w:r>
      <w:r>
        <w:rPr>
          <w:rFonts w:ascii="Arial" w:cs="Arial" w:eastAsia="Arial" w:hAnsi="Arial"/>
          <w:sz w:val="16"/>
          <w:szCs w:val="16"/>
          <w:color w:val="auto"/>
        </w:rPr>
        <w:t>. Upon satisfying the conditions of cash payment during the fourth quarter of 2012 and receiving final approvals of settlement,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relieved from its balance sheet the $16.8 million of current liability and current receivable from insurers as of December 31, 2012.</w:t>
      </w:r>
    </w:p>
    <w:p>
      <w:pPr>
        <w:spacing w:after="0" w:line="4"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Stock consideration</w:t>
      </w:r>
      <w:r>
        <w:rPr>
          <w:rFonts w:ascii="Arial" w:cs="Arial" w:eastAsia="Arial" w:hAnsi="Arial"/>
          <w:sz w:val="16"/>
          <w:szCs w:val="16"/>
          <w:color w:val="auto"/>
        </w:rPr>
        <w:t>. As of December 31, 2012, the Company satisfied the conditions of issuing 225,000 shares of its common stock on the</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Action. With respect to the Securities Action, the issuance of 2,777,778 shares was initiated prior to year end and subsequently settled after year end. The Company concluded that the requirement to deliver these shares of common stock met the definition of a financial instrument representing a contingent forward contract in accordance with ASC 815 and that the forward contract met the criteria for equity classification, and further remeasurement through settlement was not required. The forward contract to issue shares settled on January 2, 2013, upon consummation of the delivery of these shares. The final fair values of the stock consideration are summarized in the following table:</w:t>
      </w:r>
    </w:p>
    <w:p>
      <w:pPr>
        <w:spacing w:after="0" w:line="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Closing Price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8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Final</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Final Fair Value of</w:t>
            </w:r>
          </w:p>
        </w:tc>
      </w:tr>
      <w:tr>
        <w:trPr>
          <w:trHeight w:val="149"/>
        </w:trPr>
        <w:tc>
          <w:tcPr>
            <w:tcW w:w="5280" w:type="dxa"/>
            <w:vAlign w:val="bottom"/>
          </w:tcPr>
          <w:p>
            <w:pPr>
              <w:spacing w:after="0"/>
              <w:rPr>
                <w:sz w:val="12"/>
                <w:szCs w:val="12"/>
                <w:color w:val="auto"/>
              </w:rPr>
            </w:pPr>
          </w:p>
        </w:tc>
        <w:tc>
          <w:tcPr>
            <w:tcW w:w="15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5"/>
              </w:rPr>
              <w:t>of</w:t>
            </w:r>
          </w:p>
        </w:tc>
        <w:tc>
          <w:tcPr>
            <w:tcW w:w="10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Approval</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61"/>
        </w:trPr>
        <w:tc>
          <w:tcPr>
            <w:tcW w:w="5280" w:type="dxa"/>
            <w:vAlign w:val="bottom"/>
          </w:tcPr>
          <w:p>
            <w:pPr>
              <w:spacing w:after="0"/>
              <w:rPr>
                <w:sz w:val="14"/>
                <w:szCs w:val="14"/>
                <w:color w:val="auto"/>
              </w:rPr>
            </w:pPr>
          </w:p>
        </w:tc>
        <w:tc>
          <w:tcPr>
            <w:tcW w:w="15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14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Consideration</w:t>
            </w: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 Action</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Securities Action</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2,777,778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6,055,556</w:t>
            </w:r>
          </w:p>
        </w:tc>
        <w:tc>
          <w:tcPr>
            <w:tcW w:w="100" w:type="dxa"/>
            <w:vAlign w:val="bottom"/>
          </w:tcPr>
          <w:p>
            <w:pPr>
              <w:spacing w:after="0"/>
              <w:rPr>
                <w:sz w:val="18"/>
                <w:szCs w:val="18"/>
                <w:color w:val="auto"/>
              </w:rPr>
            </w:pPr>
          </w:p>
        </w:tc>
      </w:tr>
      <w:tr>
        <w:trPr>
          <w:trHeight w:val="27"/>
        </w:trPr>
        <w:tc>
          <w:tcPr>
            <w:tcW w:w="5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9"/>
              </w:rPr>
              <w:t>3,002,778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6,492,056</w:t>
            </w:r>
          </w:p>
        </w:tc>
        <w:tc>
          <w:tcPr>
            <w:tcW w:w="100" w:type="dxa"/>
            <w:vAlign w:val="bottom"/>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In recognizing the fair value of the total stock consideration to equity on the date of final approval of the respective settlements, the Company released the previously recorded litigation accrual of $8.6 million, recognized the fair value of the total stock consideration of $6.5 million to equity, and recorded an adjustment to decrease legal expense by $2.1 million in the fourth quarter of 2012.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96"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The Company administers a 401(k) Savings Retirement Plan (the “MannKind Retirement Plan”) for its employees. For the years ended December 31, 2011, 2012 and 2013, the Company contributed $777,000, $571,000 and $533,000 respectively, to the MannKind Retirement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280" w:firstLine="228"/>
        <w:spacing w:after="0" w:line="306" w:lineRule="auto"/>
        <w:rPr>
          <w:sz w:val="20"/>
          <w:szCs w:val="20"/>
          <w:color w:val="auto"/>
        </w:rPr>
      </w:pPr>
      <w:r>
        <w:rPr>
          <w:rFonts w:ascii="Arial" w:cs="Arial" w:eastAsia="Arial" w:hAnsi="Arial"/>
          <w:sz w:val="16"/>
          <w:szCs w:val="16"/>
          <w:color w:val="auto"/>
        </w:rPr>
        <w:t>There is no provision for income taxes because the Company has incurred operating losses since inception. At December 31, 2013, the Company has concluded that it is more likely than not that the Company may not realize the benefit of its deferred tax assets due to its history of losses. Accordingly, the net deferred tax assets have been fully reserved. The provision for income taxes consists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state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Non-U.S.</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48,643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51,540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59,379</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U.S. state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8,582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9,199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(57,225)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(60,739)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(66,849)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2012 and 2013 are approximately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5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609,471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credits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Capitalized research</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Milestone Rights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Non-qualified stock option expense</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Capitalized patent costs</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5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deferred tax assets</w:t>
            </w:r>
          </w:p>
        </w:tc>
        <w:tc>
          <w:tcPr>
            <w:tcW w:w="5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750,151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(750,151)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(817,000)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160" w:type="dxa"/>
            <w:vAlign w:val="bottom"/>
            <w:vMerge w:val="restart"/>
          </w:tcPr>
          <w:p>
            <w:pPr>
              <w:jc w:val="right"/>
              <w:ind w:right="3392"/>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December 31, 2011, 2012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benefit rate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Intercompany transfer of intellectual property</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(30.0)</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 xml:space="preserve">As required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net losses since inception. Accordingly, the net deferred tax assets have been fully reserved. Management reevaluates the positive and negative evidence on an annual basis. During the years ended December 31, 2011, 2012 and 2013, the change in the valuation allowance was $57.2 million, $60.7 million and $66.8 million, respectively, for income taxes.</w:t>
      </w:r>
    </w:p>
    <w:p>
      <w:pPr>
        <w:spacing w:after="0" w:line="35"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At December 31, 2013, the Company had federal and state net operating loss carryforwards of approximately $1.7 billion and $1.2 billion available, respectively, to reduce future taxable income and which will expire at various dates beginning in 2018 and 2014, respectively.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2013, the Company had research and development credits of $45 million and $38 million for federal and state purposes, respectively. The federal credits begin to expire in 2024, and the state credits may be carried forward indefinitely.</w:t>
      </w:r>
    </w:p>
    <w:p>
      <w:pPr>
        <w:spacing w:after="0" w:line="39"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A portion of the net operating loss carryforwards include amounts related to stock-based payment awards. Any excess tax benefits from stock-based compensation are only recognized for financial reporting purposes when income taxes payable is reduced, with a corresponding increase to additional paid-in capital.</w:t>
      </w:r>
    </w:p>
    <w:p>
      <w:pPr>
        <w:spacing w:after="0" w:line="59"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Tax years since 1998 remain subject to examination by the major tax jurisdictions in which the Company is subject to tax.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Facility financing agreement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the Facility Agreement recorded as of December 31, 2013 consist of the following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10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10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 notes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Principal amount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100" w:type="dxa"/>
            <w:vAlign w:val="bottom"/>
          </w:tcPr>
          <w:p>
            <w:pPr>
              <w:spacing w:after="0"/>
              <w:rPr>
                <w:sz w:val="18"/>
                <w:szCs w:val="18"/>
                <w:color w:val="auto"/>
              </w:rPr>
            </w:pP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Principal converted to equity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Debt discount-net of amortization</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(10,834)</w:t>
            </w: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r>
      <w:tr>
        <w:trPr>
          <w:trHeight w:val="222"/>
        </w:trPr>
        <w:tc>
          <w:tcPr>
            <w:tcW w:w="10520" w:type="dxa"/>
            <w:vAlign w:val="bottom"/>
          </w:tcPr>
          <w:p>
            <w:pPr>
              <w:spacing w:after="0"/>
              <w:rPr>
                <w:sz w:val="20"/>
                <w:szCs w:val="20"/>
                <w:color w:val="auto"/>
              </w:rPr>
            </w:pPr>
            <w:r>
              <w:rPr>
                <w:rFonts w:ascii="Arial" w:cs="Arial" w:eastAsia="Arial" w:hAnsi="Arial"/>
                <w:sz w:val="18"/>
                <w:szCs w:val="18"/>
                <w:color w:val="auto"/>
              </w:rPr>
              <w:t>Net carrying amount of facility financing agreement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102,300</w:t>
            </w:r>
          </w:p>
        </w:tc>
        <w:tc>
          <w:tcPr>
            <w:tcW w:w="100" w:type="dxa"/>
            <w:vAlign w:val="bottom"/>
          </w:tcPr>
          <w:p>
            <w:pPr>
              <w:spacing w:after="0"/>
              <w:rPr>
                <w:sz w:val="19"/>
                <w:szCs w:val="19"/>
                <w:color w:val="auto"/>
              </w:rPr>
            </w:pPr>
          </w:p>
        </w:tc>
      </w:tr>
      <w:tr>
        <w:trPr>
          <w:trHeight w:val="20"/>
        </w:trPr>
        <w:tc>
          <w:tcPr>
            <w:tcW w:w="10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The Company’s Facility Agreement principal repayment schedule is comprised of payments beginning on the third anniversary of each issued tranche, totaling $28,375,000 annually, commencing on July 1, 2016 and ending on December 9, 2019, for a total amount of $113,500,000.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Milestone rights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Initial milestone rights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16,276</w:t>
            </w: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Debt discount-net of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Unaccreted debt issuance expense</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milestone rights included in other current liabilities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(3,151)</w:t>
            </w:r>
          </w:p>
        </w:tc>
      </w:tr>
      <w:tr>
        <w:trPr>
          <w:trHeight w:val="222"/>
        </w:trPr>
        <w:tc>
          <w:tcPr>
            <w:tcW w:w="10740" w:type="dxa"/>
            <w:vAlign w:val="bottom"/>
            <w:gridSpan w:val="2"/>
          </w:tcPr>
          <w:p>
            <w:pPr>
              <w:spacing w:after="0"/>
              <w:rPr>
                <w:sz w:val="20"/>
                <w:szCs w:val="20"/>
                <w:color w:val="auto"/>
              </w:rPr>
            </w:pPr>
            <w:r>
              <w:rPr>
                <w:rFonts w:ascii="Arial" w:cs="Arial" w:eastAsia="Arial" w:hAnsi="Arial"/>
                <w:sz w:val="18"/>
                <w:szCs w:val="18"/>
                <w:color w:val="auto"/>
              </w:rPr>
              <w:t>Net carrying amount included in other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 Asset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Initial commitment asset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13,393</w:t>
            </w: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Less Tranche 2 portion of commitment asset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(3,656)</w:t>
            </w:r>
          </w:p>
        </w:tc>
      </w:tr>
      <w:tr>
        <w:trPr>
          <w:trHeight w:val="223"/>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Less Tranche 3 portion of commitment asset</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(4,580)</w:t>
            </w: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Commitment asset value included in other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Accretion of debt issuance cost and debt discount in connection with the Deerfield financing during the three and twelve months ended December 31, 2013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4"/>
              </w:rPr>
              <w:t>Three months ended</w:t>
            </w:r>
          </w:p>
        </w:tc>
        <w:tc>
          <w:tcPr>
            <w:tcW w:w="14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Twelve months ended</w:t>
            </w:r>
          </w:p>
        </w:tc>
      </w:tr>
      <w:tr>
        <w:trPr>
          <w:trHeight w:val="149"/>
        </w:trPr>
        <w:tc>
          <w:tcPr>
            <w:tcW w:w="50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508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1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expense- debt issuance cost</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254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923</w:t>
            </w:r>
          </w:p>
        </w:tc>
        <w:tc>
          <w:tcPr>
            <w:tcW w:w="15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320" w:firstLine="228"/>
        <w:spacing w:after="0" w:line="256" w:lineRule="auto"/>
        <w:rPr>
          <w:sz w:val="20"/>
          <w:szCs w:val="20"/>
          <w:color w:val="auto"/>
        </w:rPr>
      </w:pPr>
      <w:r>
        <w:rPr>
          <w:rFonts w:ascii="Arial" w:cs="Arial" w:eastAsia="Arial" w:hAnsi="Arial"/>
          <w:sz w:val="18"/>
          <w:szCs w:val="18"/>
          <w:color w:val="auto"/>
        </w:rPr>
        <w:t>On July 1, 2013, the Company entered into the Facility Agreement providing for the sale of up to $160.0 million of 2019 notes to Deerfield in four equal tranches of $40.0 million principal amount. The 2019 notes accrue interest at a rate of 9.75% per annum until maturity in 2019 or their earlier repayment, repurchase, or conversion. A portion of the principal amount of the 2019 notes was converted into shares of the Company’s common stock as described under “Conversion Option” below.</w:t>
      </w:r>
    </w:p>
    <w:p>
      <w:pPr>
        <w:spacing w:after="0" w:line="62"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Deerfield purchased the first tranche of 2019 notes (the “Tranche 1notes”) and Milestone Rights (as defined below) in the aggregate principal amount of $40.0 million on July 1, 2013. The closing of the second tranche of 2019 notes (the “Tranche 2 notes”), which was subject to achievement and reporting of certain results from the Company’s two Phase 3 clinical studies of AFREZZA, occurred on September 5, 2013. Deerfield’s purchase of the third tranche of 2019 notes occurred on December 9, 2013 (the “Tranche 3 Notes”), and was subject to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repayment of the 2013 notes with the funds made available by the purchase of these 2019 notes. Deerfield’s obligation to purchase the fourth tranche of 2019 notes is subject to receipt of marketing approval of AFREZZA by the FDA and the shares of common stock issuable upon conversion of all previously sold 2019 notes being freely tradable pursuant to an effective registration statement filed with the SEC or pursuant to Rule 144 under the Securities Act.</w:t>
      </w:r>
    </w:p>
    <w:p>
      <w:pPr>
        <w:spacing w:after="0" w:line="26" w:lineRule="exact"/>
        <w:rPr>
          <w:sz w:val="20"/>
          <w:szCs w:val="20"/>
          <w:color w:val="auto"/>
        </w:rPr>
      </w:pPr>
    </w:p>
    <w:p>
      <w:pPr>
        <w:jc w:val="both"/>
        <w:ind w:right="20" w:firstLine="228"/>
        <w:spacing w:after="0" w:line="298" w:lineRule="auto"/>
        <w:rPr>
          <w:sz w:val="20"/>
          <w:szCs w:val="20"/>
          <w:color w:val="auto"/>
        </w:rPr>
      </w:pPr>
      <w:r>
        <w:rPr>
          <w:rFonts w:ascii="Arial" w:cs="Arial" w:eastAsia="Arial" w:hAnsi="Arial"/>
          <w:sz w:val="16"/>
          <w:szCs w:val="16"/>
          <w:color w:val="auto"/>
        </w:rPr>
        <w:t>The Company is required to repay 25% of the original principal amount of the 2019 notes sold in each tranche on the third, fourth, fifth and sixth anniversaries of the applicable issue dates of such 2019 notes; provided that the entire outstanding principal amount of all 2019 notes will become due and payable no later than December 31, 2019. The Company is required to repay any outstanding 2019 notes in full if the Company completes certain Major Transactions (as defined in the Facility Agreement), which include, but are not limited to, certain mergers and other change of control transactions involving the Company.</w:t>
      </w:r>
    </w:p>
    <w:p>
      <w:pPr>
        <w:spacing w:after="0" w:line="32"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The Facility Agreement includes customary representations, warranties and covenants, including, a restriction on the incurrence of additional indebtedness, and a financial covenant which requires the Company’s cash and cash equivalents, which includes available borrowings on the principal stockholder note, on the last day of each fiscal quarter to not be less than $25.0 million. As discussed in Note 1 — Basis of Presentation, the Company will need to raise additional capital to support its current operating plans. Due to the uncertainties related to maintaining sufficient resources to comply with the aforementioned covenant, the 2019 notes have been classified as current liabilities in the accompanying balance sheet as of December 31, 2013. In the event of non-compliance, there can be no assurances that the holders of the 2019 notes will not exercise remedies available to them, which may include, among other things, the issuance of a notice of acceleration.</w:t>
      </w:r>
    </w:p>
    <w:p>
      <w:pPr>
        <w:spacing w:after="0" w:line="66"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connection with the issuance of the Tranche 1 notes and Milestone Rights on July 1, 2013, the Company recorded $52.9 million in value received, which consisted of $39.5 million in cash from the issuance of the Tranche 1 notes plus a Commitment asset (as described further below) with a fair value equal to $13.4 million. In exchange, the Company issued to Deerfield the Tranche 1 notes and Milestone Rights with estimated fair values equal to $37.1 million and $16.3 million, respectively. The Tranche 1 notes, the Milestone Rights and the Commitment Asset were initially recorded at fair value.</w:t>
      </w:r>
    </w:p>
    <w:p>
      <w:pPr>
        <w:spacing w:after="0" w:line="32"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Tranche 1 notes are classified as short-term debt and are subsequently accounted for at amortized cost. The effective interest rate on the Tranche 1 notes is 12.19% and a debt discount of approximately $3.3 million recognized on the Tranche 1 notes is being amortized to interest expense over the term of the Tranche 1 notes using the effective interest method.</w:t>
      </w:r>
    </w:p>
    <w:p>
      <w:pPr>
        <w:spacing w:after="0" w:line="5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In accordance with the Facility Agreement, the Company reimbursed Deerfield $500,000 for a portion of documented expenses for attorneys, accountants and other professional advisors, and other out-of-pocket expenses Deerfield incurred in connection with the transaction. These costs were allocated between the 2019 notes and the Milestone Rights based upon their relative fair value resulting in $448,737 being allocated to the 2019 notes and included within the debt discount with the remainder being allocated to the Milestone Rights. In addition, the Company incurred a total of $597,529 in debt issuance costs, of which $536,266 was allocated to the 2019 notes and the remainder to the Milestone Rights using the relative fair value allocation method. A portion of the debt issuance costs, or $128,008, related to the fourth tranche of 2019 notes are included in other assets.</w:t>
      </w:r>
    </w:p>
    <w:p>
      <w:pPr>
        <w:spacing w:after="0" w:line="39"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The Commitment Asset represents the right to receive additional funding under the second, third and fourth tranches of the Facility Agreement. The fair value of the Commitment Asset was estimated using the income approach by estimating the fair value of the future tranches using a market debt rate commensurate with the risk of the future tranches and the fair value of the cash expected to be received by the Company and assessing the probability of the commitments being funded in the future. The Commitment Asset will not be subsequently remeasured but it will be monitored for impairment until future tranches of 2019 notes are drawn. Upon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drawing of additional tranches of 2019 notes, the portion of the Commitment Asset related to such tranche will be derecognized resulting in a debt discount being recorded on the additional tranches of 2019 notes issued. If the additional funding under the fourth tranche ceases to be probable of occurring, the Commitment Asset will be impaired and will be written off as an expense in the Statement of Operations.</w:t>
      </w:r>
    </w:p>
    <w:p>
      <w:pPr>
        <w:spacing w:after="0" w:line="59"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Upon the issuance of the Tranche 2 notes, the portion of the Commitment Asset attributed to the Tranche 2 Notes was derecognized and recorded as a debt discount to the Tranche 2 notes. Therefore, the Tranche 2 notes were recorded as short-term debt for the $40.0 million received, less a $3.7 million debt discount. The effective interest rate on the Tranche 2 notes is 12.45% and the debt discount is being amortized over the term of the Tranche 2 notes using the effective interest method.</w:t>
      </w:r>
    </w:p>
    <w:p>
      <w:pPr>
        <w:spacing w:after="0" w:line="62"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Upon the issuance of the Tranche 3 notes, the portion of the Commitment Asset attributed to the Tranche 3 Notes was derecognized and recorded as a debt discount to the Tranche 3 notes. Therefore, the Tranche 3 notes were recorded as short-term debt for the $40.0 million received, less a $5.0 million debt discount. The effective interest rate on the Tranche 3 notes is 13.49% and the debt discount is being amortized over the term of the Tranche 3 notes using the effective interest method.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Milestone Rights</w:t>
      </w:r>
    </w:p>
    <w:p>
      <w:pPr>
        <w:spacing w:after="0" w:line="90"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In connection with the execution of the Facility Agreement, on July 1, 2013, the Company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The payments due under the Milestone Rights are subject to pro rata reduction in the event of certain funding failures by Deerfield under the Facility Agreement.</w:t>
      </w:r>
    </w:p>
    <w:p>
      <w:pPr>
        <w:spacing w:after="0" w:line="32"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w:t>
      </w:r>
    </w:p>
    <w:p>
      <w:pPr>
        <w:spacing w:after="0" w:line="59"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The Company analyzed the Milestone Rights under the provisions of ASC 815 Derivatives and Hedging and determined that the instruments do not meet the definition of a freestanding derivative. Since the Company has not elected to apply the fair value option to the Milestone Rights, the Company has initially recorded the Milestone Rights at their estimated fair value and accounted for the Milestone Rights as a liability by applying the indexed debt guidance contained in paragraphs ASC 470-10-25-3 and 35-4.</w:t>
      </w:r>
    </w:p>
    <w:p>
      <w:pPr>
        <w:spacing w:after="0" w:line="6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The Milestone Rights were initially recorded as a short-term liability equal to $3.2 million included in Accrued expenses and other current liabilities in the accompanying condensed consolidated balance sheet and a long term liability equal to $13.1 million included in Other liabilities. In determining the fair value of the Milestone Rights, the 13 individual milestone payments were adjusted for both (i) the expected timing and (ii) the probability of achieving the milestones, and then discounted to present value using a discount rate of 17.5%. Once the initial valuation of each specified milestone payment was determined, the individual milestone payments were then aggregated to arrive at a total fair value of $16.3 million. The discount rate was based on the estimated cost of equity which was derived using the capital asset pricing model. In addition, a 5% risk premium was added to the computation of the cost of equity to adjust for non-systemic risk factors, such as the Company’s lack of product diversification and history of financial losses, which were not captured in other model inputs.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The Milestone Rights liability will be remeasured as the specified milestone events are achieved. Specifically, as each milestone event is achieved, the portion of the initially recorded Milestone Rights liability that pertains to such milestone event being achieved will be remeasured to the amount of the related milestone payment. The resulting change in the balance of the Milestone Rights liability due to such remeasurement will be recorded in the Company’s Statement of Operations as interest expense. Furthermore, the Milestone Rights liability will be reduced upon each such milestone payment being paid. As a result, each milestone payment would be effectively allocated between a reduction of the initially recorded Milestone Rights liability and an expense representing a return on a portion of the Milestone Rights liability paid to the Milestone Purchasers for the achievement of the related milestone event.</w:t>
      </w:r>
    </w:p>
    <w:p>
      <w:pPr>
        <w:spacing w:after="0" w:line="39" w:lineRule="exact"/>
        <w:rPr>
          <w:sz w:val="20"/>
          <w:szCs w:val="20"/>
          <w:color w:val="auto"/>
        </w:rPr>
      </w:pPr>
    </w:p>
    <w:p>
      <w:pPr>
        <w:jc w:val="both"/>
        <w:ind w:right="580" w:firstLine="228"/>
        <w:spacing w:after="0" w:line="259" w:lineRule="auto"/>
        <w:rPr>
          <w:sz w:val="20"/>
          <w:szCs w:val="20"/>
          <w:color w:val="auto"/>
        </w:rPr>
      </w:pPr>
      <w:r>
        <w:rPr>
          <w:rFonts w:ascii="Arial" w:cs="Arial" w:eastAsia="Arial" w:hAnsi="Arial"/>
          <w:sz w:val="18"/>
          <w:szCs w:val="18"/>
          <w:color w:val="auto"/>
        </w:rPr>
        <w:t>The Company identified and evaluated a number of embedded features in the Milestone Rights to determine if they represented embedded derivatives requiring bifurcation and separate accounting pursuant to ASC 815. There were no features in the Milestone Rights that required bifurcation and separate accounting</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Agreement</w:t>
      </w:r>
    </w:p>
    <w:p>
      <w:pPr>
        <w:spacing w:after="0" w:line="90"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In connection with the Facility Agreement, the Company and its subsidiary, MannKind LLC, entered into a Guaranty and Security Agreement (the “Security Agreement”) with Deerfield and HS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us and MannKind LLC will terminate upon repayment of the 2019 notes and tranche B notes, if applicable (see Note 18), in full. Our obligations under the Facility Agreement and the Milestone Agreement are also secured by certain mortgages on the Company’s facilities in Danbury, Connecticut and Valencia, California.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Registration Rights Agreement</w:t>
      </w:r>
    </w:p>
    <w:p>
      <w:pPr>
        <w:spacing w:after="0" w:line="90"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connection with the Facility Agreement and the sale of the 2019 notes pursuant thereto, the Company entered into a Registration Rights Agreement with Deerfield (the “Registration Rights Agreement”), pursuant to which the Company agreed to register for sale, the shares issuable upon conversion of the 2019 notes within a specified time period following the issuance of each tranche of 2019 notes.</w:t>
      </w:r>
    </w:p>
    <w:p>
      <w:pPr>
        <w:spacing w:after="0" w:line="59"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Pursuant to the Registration Rights Agreement, the number of aggregate shares of Common Stock included in the initial mandatory registration statement was 12.0 million shares (subject to adjustment in the event of a stock split, stock combination, reclassification, payment of stock dividends, recapitalization, or other similar transactions). (See Note 18.)</w:t>
      </w:r>
    </w:p>
    <w:p>
      <w:pPr>
        <w:spacing w:after="0" w:line="59"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In the event the Company is unable to meet certain requirements of the Registration Rights Agreement specifically related to the filing of the registration statement within specified periods, using its best efforts to obtain effectiveness of the registration statement, or maintaining the effectiveness of the registration statement, the Company will be required to pay additional damages to Deerfield. The additional damages are calculated as 1% of Deerfield’s original principal amount of the relevant tranche of 2019 notes and shall accrue until the earlier of (i) the date on which the registration failure has been cured and (ii) the date on which the shares issuable upon conversion may be disposed of by Deerfield.</w:t>
      </w:r>
    </w:p>
    <w:p>
      <w:pPr>
        <w:spacing w:after="0" w:line="3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accordance with the accounting guidance contained in ASC 825-20, the contingent obligation to make future payments, or otherwise transfer consideration, under a registration payment arrangement should be recognized and measured in accordance with ASC 450-20. ASC 450-20 requires an accrual to be recorded for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contingent payment if it is both probable of occurring and the amount of the payment can be reasonably estimated. As of December 31, 2013, the Company determined that it is not probable that it will be obligated to pay additional damages to Deerfield pursuant to the Registration Rights Agreement, and therefore no accrual for such contingent payment has been recorded.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Embedded Derivatives</w:t>
      </w:r>
    </w:p>
    <w:p>
      <w:pPr>
        <w:spacing w:after="0" w:line="90"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Company identified and evaluated a number of embedded features in the notes issued under the Facility Agreement to determine if they represented embedded derivatives requiring bifurcation and separate accounting pursuant to ASC 815. In the Tranche 1 notes, we determined that the Contingent Prepayment Option and Tax Gross-Up features were embedded derivatives requiring bifurcation from the Tranche 1 notes. These features were evaluated by the Company and deemed to have a de-minimus value. Based on our analysis of the Tranche 2 notes, only one feature (the Tax Gross-Up) was required to be bifurcated. Similar to the conclusions reached in our analysis of the embedded features contained in the Tranche 1 notes, the Tax Gross-Up feature was deemed to have a de-minimus value. In analyzing the Tranche 3 notes, we identified four embedded features that required bifurcation and separate accounting and the Company determined that they should be bundled together as a single, compound embedded derivative, bifurcated from the host contract, and accounted for at fair value, with changes in fair value being recorded in the Statement of Operations. The four embedded derivatives contained in the Tranche 3 notes were the Conversion Option, Major Transaction Put Option, Acceleration upon a Legal Judgment Against the Company in Excess of $100,000, and Tax Gross-Up. The four embedded features, discussed in detail below, were evaluated together as a single compound derivative to determine the fair value of the derivative with the exception of the Tax Gross-Up feature which was deemed to have a de-minimus value. At the time of the issuance of Tranche 3, management determined that the value of these embedded derivatives at December 9, 2013, and at December 31, 2013 was immaterial.</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Conversion Option</w:t>
      </w:r>
    </w:p>
    <w:p>
      <w:pPr>
        <w:spacing w:after="0" w:line="90"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As of December 31, 2013, a portion of the 2019 notes was convertible into fully paid shares of the Company’s common stock from and after the 11</w:t>
      </w:r>
      <w:r>
        <w:rPr>
          <w:rFonts w:ascii="Arial" w:cs="Arial" w:eastAsia="Arial" w:hAnsi="Arial"/>
          <w:sz w:val="11"/>
          <w:szCs w:val="11"/>
          <w:color w:val="auto"/>
        </w:rPr>
        <w:t>th</w:t>
      </w:r>
      <w:r>
        <w:rPr>
          <w:rFonts w:ascii="Arial" w:cs="Arial" w:eastAsia="Arial" w:hAnsi="Arial"/>
          <w:sz w:val="18"/>
          <w:szCs w:val="18"/>
          <w:color w:val="auto"/>
        </w:rPr>
        <w:t xml:space="preserve"> trading day following the public release, by the Company, of the Phase III data for the Product and until the second business day immediately prior to the final payment date, at a conversion price equal to the volume weighted average price (“VWAP”) per share of the stock during the 20 trading days immediately preceding the Purchaser’s election to convert. The number of Conversion Shares issuable upon a conversion shall be determined by dividing the Conversion Amount by the Conversion Price.</w:t>
      </w:r>
    </w:p>
    <w:p>
      <w:pPr>
        <w:spacing w:after="0" w:line="62"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The number of shares issuable upon conversion of the 2019 notes was limited to the extent that Deerfield would otherwise acquire shares, that would cause the beneficial ownership of Deerfield and their affiliates to exceed 9.985% of the total number of shares of Common Stock then issued and outstanding.</w:t>
      </w:r>
    </w:p>
    <w:p>
      <w:pPr>
        <w:spacing w:after="0" w:line="4"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The 2019 notes provided that Deerfield may exercise this conversion right for (i) up to 12.0 million shares of stock if the Conversion Price is $3.33 per share or less, (ii) up to 6.0 million shares of stock if the Conversion Price is $6.67 per share or more, and (iii) up to $40.0 million of principal if the Conversion Price is between $3.33 and $6.67 per share (collectively, the “Applicable Limits”).</w:t>
      </w:r>
    </w:p>
    <w:p>
      <w:pPr>
        <w:spacing w:after="0" w:line="59"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As of December 31, 2013, Deerfield had converted $6.5 million principal amount of the 2019 notes to equity, resulting in an issuance of 1,293,224 shares of the Company’s common stock. Upon the conversion, the principal balance of the notes were recorded in equity and the loss was recognized in the Statement of Operations for the difference between the principal amount of the notes converted and their carrying amount (which included unamortized discount and debt issuance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Major Transaction Put Option</w:t>
      </w:r>
    </w:p>
    <w:p>
      <w:pPr>
        <w:spacing w:after="0" w:line="90"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The Facility Agreement requires that the Company give Deerfield notice of a Major Transaction at least 20 days prior to the anticipated effective date for such transaction, or if the Company has outstanding any class of publicly traded securities, not later than 2 business days following the public announcement thereof. Upon receiving such notice, if the successor entity does not meet the Qualification Criteria, then the Purchasers may exercise the put option, in their sole discretion, requiring the Company to repay the notes in full at an amount equal to the sum of the outstanding principal amount of the notes plus all interest accrued and unpaid on such date. Furthermore, in the event that the Purchaser exercises their rights under the Major Transaction Put Option, the obligations under the Milestone Agreement shall not terminate.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Acceleration upon a Legal Judgment Against the Company in Excess of $100,000</w:t>
      </w:r>
    </w:p>
    <w:p>
      <w:pPr>
        <w:spacing w:after="0" w:line="90" w:lineRule="exact"/>
        <w:rPr>
          <w:sz w:val="20"/>
          <w:szCs w:val="20"/>
          <w:color w:val="auto"/>
        </w:rPr>
      </w:pPr>
    </w:p>
    <w:p>
      <w:pPr>
        <w:ind w:right="320" w:firstLine="228"/>
        <w:spacing w:after="0" w:line="298" w:lineRule="auto"/>
        <w:rPr>
          <w:sz w:val="20"/>
          <w:szCs w:val="20"/>
          <w:color w:val="auto"/>
        </w:rPr>
      </w:pPr>
      <w:r>
        <w:rPr>
          <w:rFonts w:ascii="Arial" w:cs="Arial" w:eastAsia="Arial" w:hAnsi="Arial"/>
          <w:sz w:val="16"/>
          <w:szCs w:val="16"/>
          <w:color w:val="auto"/>
        </w:rPr>
        <w:t>The Facility Agreement contains various events of default, including an event of default triggered in the event that a legal judgment is made against the Company in excess of $100,000, and the judgment remains unstayed on the appeal, undischarged, unbounded or undismissed for a period of 90 days from the date of judgment. Upon the occurrence and during the continuance of an event of default, the note holders have the option to cause the outstanding principal amount of the 2019 notes plus all accrued and unpaid interest to become immediately due and payable.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Gross-Up</w:t>
      </w:r>
    </w:p>
    <w:p>
      <w:pPr>
        <w:spacing w:after="0" w:line="90" w:lineRule="exact"/>
        <w:rPr>
          <w:sz w:val="20"/>
          <w:szCs w:val="20"/>
          <w:color w:val="auto"/>
        </w:rPr>
      </w:pPr>
    </w:p>
    <w:p>
      <w:pPr>
        <w:ind w:right="400" w:firstLine="228"/>
        <w:spacing w:after="0" w:line="256" w:lineRule="auto"/>
        <w:rPr>
          <w:sz w:val="20"/>
          <w:szCs w:val="20"/>
          <w:color w:val="auto"/>
        </w:rPr>
      </w:pPr>
      <w:r>
        <w:rPr>
          <w:rFonts w:ascii="Arial" w:cs="Arial" w:eastAsia="Arial" w:hAnsi="Arial"/>
          <w:sz w:val="18"/>
          <w:szCs w:val="18"/>
          <w:color w:val="auto"/>
        </w:rPr>
        <w:t>The Facility Agreement requires that if the Company is required by law to deduct any tax from any amount payable under the Agreement or any other Transaction Document, then the sum payable shall be increased by as much as necessary to compensate for such deduction. In addition, the Company will reimburse Deerfield for any future stamp or documentary taxes, or similar other charges or levies, incurred by Deerfield. The tax gross-up obligations do not apply to any payments under the Milestone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96"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The following unaudited selected quarterly financial data has been prepared on the same basis as the audited information and includes all adjustments necessary to present fairly the information set forth in the Company’s consolidated financial statements and notes herein. As a development stage enterprise, the Company has experienced fluctuations in its quarterly results related to the development of its lead product candidate, AFREZZA, and in its expansion of the product candidate portfolio. The Company expects these fluctuations to continue in the future. Due to these and other factors, the quarterly operating results are not indicative of the Company’s future performance.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June 30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(38,173)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(36,578)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(42,834)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(51,781)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(38,173)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(36,578)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(42,834)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(51,781)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Weighted average common shares used to compute basic and diluted net loss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applicable to common stockholders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143,154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159,859</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190,534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229,234</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80"/>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June 30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(40,965)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(46,124)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(50,818)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(53,582)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(40,965)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(46,124)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(50,818)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(53,582)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Weighted average common shares used to compute basic and diluted net loss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applicable to common stockholders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280,058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284,044</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296,386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337,284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96"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January 2014, Deerfield elected to convert an aggregate of $33.5 million of principal amount of the Tranche 2 Notes, pursuant to which the Company issued Deerfield 6,559,251 shares of the Company’s common stock. As a result of this election, Deerfield has fully exercised the conversion option under the 2019 notes by converting all of the Tranche 2 Notes, or $40.0 million of principal, into 7,852,475 shares of the Company’s common stock in the aggregate.</w:t>
      </w:r>
    </w:p>
    <w:p>
      <w:pPr>
        <w:spacing w:after="0" w:line="26" w:lineRule="exact"/>
        <w:rPr>
          <w:sz w:val="20"/>
          <w:szCs w:val="20"/>
          <w:color w:val="auto"/>
        </w:rPr>
      </w:pPr>
    </w:p>
    <w:p>
      <w:pPr>
        <w:ind w:right="80" w:firstLine="228"/>
        <w:spacing w:after="0" w:line="286" w:lineRule="auto"/>
        <w:rPr>
          <w:sz w:val="20"/>
          <w:szCs w:val="20"/>
          <w:color w:val="auto"/>
        </w:rPr>
      </w:pPr>
      <w:r>
        <w:rPr>
          <w:rFonts w:ascii="Arial" w:cs="Arial" w:eastAsia="Arial" w:hAnsi="Arial"/>
          <w:sz w:val="16"/>
          <w:szCs w:val="16"/>
          <w:color w:val="auto"/>
        </w:rPr>
        <w:t>On February 28, 2014, the Company entered into a First Amendment to Facility Agreement and Registration Rights Agreement with Deerfield to provide for the issuance of tranche B notes to Deerfield in a maximum principal amount equal to (x) if the FDA approves the NDA for AFFREZZA and Deerfield purchased the fourth tranche of 2019 notes, 150% of the aggregate principal amount of the 2019 notes that Deerfield has converted into the Company’s common stock on and after the effective date of the amendment, up to $90.0 million, and (y) otherwise, 33.33% of the aggregate principal amount of the 2019 notes that Deerfield has converted into the Company’s common stock on and after the effective date of the amendment, up to $20.0 million, in each case subject to the satisfaction of certain other conditions. Any tranche B notes, if and when issued, would bear interest at the rate of 9.75% per year, subject to reduction to 8.75% if the Company enters into a collaboration with a third party to commercialize AFFREZZA, on the outstanding principal amount, payable in cash quarterly in arrears on the last business day of December, March, June and September of each year. The Company is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will be prepayable without penalty or premium commencing two years after issuance thereof.</w:t>
      </w:r>
    </w:p>
    <w:p>
      <w:pPr>
        <w:spacing w:after="0" w:line="46"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In addition, pursuant to the amendment, the outstanding 2019 notes held by Deerfield were amended and restated such that Deerfield may, subject to certain limitations, convert up to an additional $60.0 million principal amount under such 2019 notes into common stock after the effective date of the amendment. Pursuant to the amendment, the Company also amended its Registration Rights Agreement with Deerfield dated July 1, 2013 and agreed to register for resale up to 12,000,000 shares of common stock issuable upon conversion of the outstanding 2019 notes, as amended and restated, as of the date of the amendment, with a minimum conversion price of $5.00 per share unless the Company otherwise consents. The conversion price will be determined by the average of the volume weighted average prices per share during the three trading days immediately preceding the election to convert.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8"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On March 3, 2014, the Company entered into two At-The-Market Issuance Sales Agreements (the “ATM Agreements”), one with MLV &amp; Co. LLC (“MLV”), and one with Meyers Associates, L.P. (doing business as Brinson Patrick, a division of Meyers Associates, L.P.) (“Brinson Patrick”), pursuant to which the Company may issue and sell its common stock having aggregate sales proceeds of up to $50.0 million from time to time through MLV or Brinson Patrick, acting as the Company’s sales agents. The Company currently anticipates that all or substantially all sales of common stock under the ATM Agreements will be made in “at the market” offerings as defined in Rule 415 of the Securities Act of 1933, as amended. The Company has not yet sold or issued any shares of its common stock under the ATM Agreements.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459"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THIS NOTE IS BEING ISSUED WITH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THE FOLLOWING INFORMATION IS BEING PROVIDED PURSUANT TO TREASURY REGULATION SECTION 1.1275-3:</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PRICE: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 OF OID: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SENIOR SECURED CONVERTIBLE NOTE</w:t>
      </w:r>
    </w:p>
    <w:p>
      <w:pPr>
        <w:spacing w:after="0" w:line="256" w:lineRule="exact"/>
        <w:rPr>
          <w:sz w:val="20"/>
          <w:szCs w:val="20"/>
          <w:color w:val="auto"/>
        </w:rPr>
      </w:pPr>
    </w:p>
    <w:p>
      <w:pPr>
        <w:spacing w:after="0"/>
        <w:tabs>
          <w:tab w:leader="none" w:pos="9540" w:val="left"/>
          <w:tab w:leader="none" w:pos="11340" w:val="left"/>
        </w:tabs>
        <w:rPr>
          <w:sz w:val="20"/>
          <w:szCs w:val="20"/>
          <w:color w:val="auto"/>
        </w:rPr>
      </w:pPr>
      <w:r>
        <w:rPr>
          <w:rFonts w:ascii="Arial" w:cs="Arial" w:eastAsia="Arial" w:hAnsi="Arial"/>
          <w:sz w:val="18"/>
          <w:szCs w:val="18"/>
          <w:color w:val="auto"/>
        </w:rPr>
        <w:t>Issuance Date: [July 1] [December 9], 2013</w:t>
      </w:r>
      <w:r>
        <w:rPr>
          <w:sz w:val="20"/>
          <w:szCs w:val="20"/>
          <w:color w:val="auto"/>
        </w:rPr>
        <w:tab/>
      </w:r>
      <w:r>
        <w:rPr>
          <w:rFonts w:ascii="Arial" w:cs="Arial" w:eastAsia="Arial" w:hAnsi="Arial"/>
          <w:sz w:val="18"/>
          <w:szCs w:val="18"/>
          <w:color w:val="auto"/>
        </w:rPr>
        <w:t>Principal: U.S.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VALUE RECEIVED, MANNKIND CORPORATION, </w:t>
      </w: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promises to pay to</w:t>
      </w:r>
    </w:p>
    <w:p>
      <w:pPr>
        <w:spacing w:after="0" w:line="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 or its registered assigns (the “</w:t>
      </w:r>
      <w:r>
        <w:rPr>
          <w:rFonts w:ascii="Arial" w:cs="Arial" w:eastAsia="Arial" w:hAnsi="Arial"/>
          <w:sz w:val="16"/>
          <w:szCs w:val="16"/>
          <w:b w:val="1"/>
          <w:bCs w:val="1"/>
          <w:color w:val="auto"/>
        </w:rPr>
        <w:t>Holder</w:t>
      </w:r>
      <w:r>
        <w:rPr>
          <w:rFonts w:ascii="Arial" w:cs="Arial" w:eastAsia="Arial" w:hAnsi="Arial"/>
          <w:sz w:val="16"/>
          <w:szCs w:val="16"/>
          <w:color w:val="auto"/>
        </w:rPr>
        <w:t>”) the principal amount of [ ] Dollars ($[ ]) (the “</w:t>
      </w:r>
      <w:r>
        <w:rPr>
          <w:rFonts w:ascii="Arial" w:cs="Arial" w:eastAsia="Arial" w:hAnsi="Arial"/>
          <w:sz w:val="16"/>
          <w:szCs w:val="16"/>
          <w:b w:val="1"/>
          <w:bCs w:val="1"/>
          <w:color w:val="auto"/>
        </w:rPr>
        <w:t>Principal</w:t>
      </w:r>
      <w:r>
        <w:rPr>
          <w:rFonts w:ascii="Arial" w:cs="Arial" w:eastAsia="Arial" w:hAnsi="Arial"/>
          <w:sz w:val="16"/>
          <w:szCs w:val="16"/>
          <w:color w:val="auto"/>
        </w:rPr>
        <w:t>”) pursuant to, and in accordance with, the terms of that certain Facility Agreement, dated as of July 1, 2013, as amended on February 28, 2014, by and among the Company and the Purchasers party thereto (together with all exhibits and schedules thereto and as may be amended, restated, modified and supplemented from time to time, the “</w:t>
      </w:r>
      <w:r>
        <w:rPr>
          <w:rFonts w:ascii="Arial" w:cs="Arial" w:eastAsia="Arial" w:hAnsi="Arial"/>
          <w:sz w:val="16"/>
          <w:szCs w:val="16"/>
          <w:b w:val="1"/>
          <w:bCs w:val="1"/>
          <w:color w:val="auto"/>
        </w:rPr>
        <w:t>Facility Agreement</w:t>
      </w:r>
      <w:r>
        <w:rPr>
          <w:rFonts w:ascii="Arial" w:cs="Arial" w:eastAsia="Arial" w:hAnsi="Arial"/>
          <w:sz w:val="16"/>
          <w:szCs w:val="16"/>
          <w:color w:val="auto"/>
        </w:rPr>
        <w:t>”). The Company hereby promises to pay accrued and unpaid Interest (as defined below) and premium, if any, on the Principal on the dates, at the rates and in the manner provided for in the Facility Agreement. This Senior Secured Convertible Note (including all Senior Secured Convertible Notes issued in exchange, transfer or replacement hereof, and as any of the foregoing may be amended, restated, supplemented or otherwise modified from time, this “</w:t>
      </w:r>
      <w:r>
        <w:rPr>
          <w:rFonts w:ascii="Arial" w:cs="Arial" w:eastAsia="Arial" w:hAnsi="Arial"/>
          <w:sz w:val="16"/>
          <w:szCs w:val="16"/>
          <w:b w:val="1"/>
          <w:bCs w:val="1"/>
          <w:color w:val="auto"/>
        </w:rPr>
        <w:t>Note</w:t>
      </w:r>
      <w:r>
        <w:rPr>
          <w:rFonts w:ascii="Arial" w:cs="Arial" w:eastAsia="Arial" w:hAnsi="Arial"/>
          <w:sz w:val="16"/>
          <w:szCs w:val="16"/>
          <w:color w:val="auto"/>
        </w:rPr>
        <w:t>”) is one of the Senior Secured Convertible Notes issued pursuant to the Facility Agreement (collectively, including Senior Secured Convertible Notes to be issued pursuant to the Facility Agreement in the future, all Senior Secured Convertible Notes issued in exchange, transfer or replacement thereof, as well as any of the foregoing may be amended, restated, supplemented or otherwise modified from time to time, the “</w:t>
      </w:r>
      <w:r>
        <w:rPr>
          <w:rFonts w:ascii="Arial" w:cs="Arial" w:eastAsia="Arial" w:hAnsi="Arial"/>
          <w:sz w:val="16"/>
          <w:szCs w:val="16"/>
          <w:b w:val="1"/>
          <w:bCs w:val="1"/>
          <w:color w:val="auto"/>
        </w:rPr>
        <w:t>Notes</w:t>
      </w:r>
      <w:r>
        <w:rPr>
          <w:rFonts w:ascii="Arial" w:cs="Arial" w:eastAsia="Arial" w:hAnsi="Arial"/>
          <w:sz w:val="16"/>
          <w:szCs w:val="16"/>
          <w:color w:val="auto"/>
        </w:rPr>
        <w:t>”). All capitalized terms used and not otherwise defined herein shall have the respective meanings set forth in the Facility Agreement.</w:t>
      </w:r>
    </w:p>
    <w:p>
      <w:pPr>
        <w:sectPr>
          <w:pgSz w:w="11900" w:h="16838" w:orient="portrait"/>
          <w:cols w:equalWidth="0" w:num="1">
            <w:col w:w="11420"/>
          </w:cols>
          <w:pgMar w:left="240" w:top="121" w:right="239" w:bottom="1440" w:gutter="0" w:footer="0" w:header="0"/>
        </w:sectPr>
      </w:pPr>
    </w:p>
    <w:bookmarkStart w:id="125" w:name="page126"/>
    <w:bookmarkEnd w:id="12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expressly provided in the Facility Agreement, the Company has no right, but under certain circumstances may have an obligation, to make payments of Principal prior to the Final Payment Date. At any time an Event of Default exists, the Principal of this Note, together with all accrued and unpaid Interest and any applicable premium due, if any, may be declared, or shall otherwise become, due and payable in the manner, at the price and with the effect provided in the Facility Agreement.</w:t>
      </w:r>
    </w:p>
    <w:p>
      <w:pPr>
        <w:spacing w:after="0" w:line="187" w:lineRule="exact"/>
        <w:rPr>
          <w:sz w:val="20"/>
          <w:szCs w:val="20"/>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Note, the following terms shall have the following meanings:</w:t>
      </w:r>
    </w:p>
    <w:p>
      <w:pPr>
        <w:spacing w:after="0" w:line="221" w:lineRule="exact"/>
        <w:rPr>
          <w:rFonts w:ascii="Arial" w:cs="Arial" w:eastAsia="Arial" w:hAnsi="Arial"/>
          <w:sz w:val="18"/>
          <w:szCs w:val="18"/>
          <w:color w:val="auto"/>
        </w:rPr>
      </w:pPr>
    </w:p>
    <w:p>
      <w:pPr>
        <w:ind w:right="60" w:firstLine="1948"/>
        <w:spacing w:after="0" w:line="256" w:lineRule="auto"/>
        <w:tabs>
          <w:tab w:leader="none" w:pos="215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or entity that, directly or indirectly through one or more intermediaries, controls or is controlled by or is under common 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87" w:lineRule="exact"/>
        <w:rPr>
          <w:rFonts w:ascii="Arial" w:cs="Arial" w:eastAsia="Arial" w:hAnsi="Arial"/>
          <w:sz w:val="18"/>
          <w:szCs w:val="18"/>
          <w:color w:val="auto"/>
        </w:rPr>
      </w:pPr>
    </w:p>
    <w:p>
      <w:pPr>
        <w:ind w:left="2220" w:hanging="272"/>
        <w:spacing w:after="0"/>
        <w:tabs>
          <w:tab w:leader="none" w:pos="22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Principal amount to be converted.</w:t>
      </w:r>
    </w:p>
    <w:p>
      <w:pPr>
        <w:spacing w:after="0" w:line="225" w:lineRule="exact"/>
        <w:rPr>
          <w:rFonts w:ascii="Arial" w:cs="Arial" w:eastAsia="Arial" w:hAnsi="Arial"/>
          <w:sz w:val="18"/>
          <w:szCs w:val="18"/>
          <w:color w:val="auto"/>
        </w:rPr>
      </w:pPr>
    </w:p>
    <w:p>
      <w:pPr>
        <w:ind w:left="2260" w:hanging="312"/>
        <w:spacing w:after="0"/>
        <w:tabs>
          <w:tab w:leader="none" w:pos="2260"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Commencement Date</w:t>
      </w:r>
      <w:r>
        <w:rPr>
          <w:rFonts w:ascii="Arial" w:cs="Arial" w:eastAsia="Arial" w:hAnsi="Arial"/>
          <w:sz w:val="16"/>
          <w:szCs w:val="16"/>
          <w:color w:val="auto"/>
        </w:rPr>
        <w:t>” means the eleventh full Trading Day following the public release by the Company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Phase III Data for the Product.</w:t>
      </w:r>
    </w:p>
    <w:p>
      <w:pPr>
        <w:spacing w:after="0" w:line="206" w:lineRule="exact"/>
        <w:rPr>
          <w:rFonts w:ascii="Arial" w:cs="Arial" w:eastAsia="Arial" w:hAnsi="Arial"/>
          <w:sz w:val="16"/>
          <w:szCs w:val="16"/>
          <w:color w:val="auto"/>
        </w:rPr>
      </w:pPr>
    </w:p>
    <w:p>
      <w:pPr>
        <w:ind w:right="20" w:firstLine="1948"/>
        <w:spacing w:after="0" w:line="256" w:lineRule="auto"/>
        <w:tabs>
          <w:tab w:leader="none" w:pos="224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Conversion Date the average of the Volume Weighted Average Prices per Share for the three (3) Trading Day period immediately preceding the Conversion Date (the “</w:t>
      </w:r>
      <w:r>
        <w:rPr>
          <w:rFonts w:ascii="Arial" w:cs="Arial" w:eastAsia="Arial" w:hAnsi="Arial"/>
          <w:sz w:val="18"/>
          <w:szCs w:val="18"/>
          <w:b w:val="1"/>
          <w:bCs w:val="1"/>
          <w:color w:val="auto"/>
        </w:rPr>
        <w:t>Measurement Period</w:t>
      </w:r>
      <w:r>
        <w:rPr>
          <w:rFonts w:ascii="Arial" w:cs="Arial" w:eastAsia="Arial" w:hAnsi="Arial"/>
          <w:sz w:val="18"/>
          <w:szCs w:val="18"/>
          <w:color w:val="auto"/>
        </w:rPr>
        <w:t>”), provided, that in the event that a stock split, stock combination, reclassification, payment of stock dividend, recapitalization or other similar transaction of such character that the Shares shall be changed into or become exchangeable for a larger or small number of shares (a “</w:t>
      </w:r>
      <w:r>
        <w:rPr>
          <w:rFonts w:ascii="Arial" w:cs="Arial" w:eastAsia="Arial" w:hAnsi="Arial"/>
          <w:sz w:val="18"/>
          <w:szCs w:val="18"/>
          <w:b w:val="1"/>
          <w:bCs w:val="1"/>
          <w:color w:val="auto"/>
        </w:rPr>
        <w:t>Stock Event</w:t>
      </w:r>
      <w:r>
        <w:rPr>
          <w:rFonts w:ascii="Arial" w:cs="Arial" w:eastAsia="Arial" w:hAnsi="Arial"/>
          <w:sz w:val="18"/>
          <w:szCs w:val="18"/>
          <w:color w:val="auto"/>
        </w:rPr>
        <w:t>”) is consummated during the Measurement Period, the Volume Weighted Average Price for all Trading Days during the Measurement Period prior to the effectiveness of the Stock Event shall be appropriately adjusted to reflect such Stock Event.</w:t>
      </w:r>
    </w:p>
    <w:p>
      <w:pPr>
        <w:spacing w:after="0" w:line="187" w:lineRule="exact"/>
        <w:rPr>
          <w:rFonts w:ascii="Arial" w:cs="Arial" w:eastAsia="Arial" w:hAnsi="Arial"/>
          <w:sz w:val="18"/>
          <w:szCs w:val="18"/>
          <w:color w:val="auto"/>
        </w:rPr>
      </w:pPr>
    </w:p>
    <w:p>
      <w:pPr>
        <w:ind w:left="2200" w:hanging="252"/>
        <w:spacing w:after="0"/>
        <w:tabs>
          <w:tab w:leader="none" w:pos="2200" w:val="left"/>
        </w:tabs>
        <w:numPr>
          <w:ilvl w:val="2"/>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w:t>
      </w:r>
      <w:r>
        <w:rPr>
          <w:rFonts w:ascii="Arial" w:cs="Arial" w:eastAsia="Arial" w:hAnsi="Arial"/>
          <w:sz w:val="16"/>
          <w:szCs w:val="16"/>
          <w:color w:val="auto"/>
        </w:rPr>
        <w:t>” means any interest (including any default interest) accrued on the Principal pursuant to the terms of this Note and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Facility Agreement.</w:t>
      </w:r>
    </w:p>
    <w:p>
      <w:pPr>
        <w:spacing w:after="0" w:line="206" w:lineRule="exact"/>
        <w:rPr>
          <w:rFonts w:ascii="Arial" w:cs="Arial" w:eastAsia="Arial" w:hAnsi="Arial"/>
          <w:sz w:val="16"/>
          <w:szCs w:val="16"/>
          <w:color w:val="auto"/>
        </w:rPr>
      </w:pPr>
    </w:p>
    <w:p>
      <w:pPr>
        <w:ind w:left="2260" w:hanging="312"/>
        <w:spacing w:after="0"/>
        <w:tabs>
          <w:tab w:leader="none" w:pos="22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Date</w:t>
      </w:r>
      <w:r>
        <w:rPr>
          <w:rFonts w:ascii="Arial" w:cs="Arial" w:eastAsia="Arial" w:hAnsi="Arial"/>
          <w:sz w:val="18"/>
          <w:szCs w:val="18"/>
          <w:color w:val="auto"/>
        </w:rPr>
        <w:t>” means [July 1] [December 9], 2013, regardless of any exchange or replacement hereof.</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26" w:name="page127"/>
    <w:bookmarkEnd w:id="126"/>
    <w:p>
      <w:pPr>
        <w:ind w:left="-20" w:firstLine="1948"/>
        <w:spacing w:after="0" w:line="282" w:lineRule="auto"/>
        <w:tabs>
          <w:tab w:leader="none" w:pos="2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Major Pharmaceutical Company</w:t>
      </w:r>
      <w:r>
        <w:rPr>
          <w:rFonts w:ascii="Arial" w:cs="Arial" w:eastAsia="Arial" w:hAnsi="Arial"/>
          <w:sz w:val="18"/>
          <w:szCs w:val="18"/>
          <w:color w:val="auto"/>
        </w:rPr>
        <w:t>” means any Person engaged in the pharmaceutical or biotechnology industry who, for the immediately preceding fiscal year, had total revenues in excess of $2,000,000,000 (or its equivalent in another currency).</w:t>
      </w:r>
    </w:p>
    <w:p>
      <w:pPr>
        <w:spacing w:after="0" w:line="161" w:lineRule="exact"/>
        <w:rPr>
          <w:rFonts w:ascii="Arial" w:cs="Arial" w:eastAsia="Arial" w:hAnsi="Arial"/>
          <w:sz w:val="18"/>
          <w:szCs w:val="18"/>
          <w:color w:val="auto"/>
        </w:rPr>
      </w:pPr>
    </w:p>
    <w:p>
      <w:pPr>
        <w:ind w:left="-20" w:right="60" w:firstLine="1948"/>
        <w:spacing w:after="0" w:line="273" w:lineRule="auto"/>
        <w:tabs>
          <w:tab w:leader="none" w:pos="232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trading day and any security, (a) a failure by the Principal Market to open for trading during its entire regular trading session, (b) the occurrence or existence prior to 1:00 p.m., New York City time, on such day for such securities for more than one half-hour period in the aggregate during regular trading hours of any suspension or limitation imposed on trading (by reason of movements in price exceeding limits permitted by the relevant securities exchange or otherwise) in such securities or in any options, contracts or future contracts relating to such securities, or (c) to the extent “Volume Weighted Average Price” is determined in accordance with clause (b) of the definition thereof, the suspension of trading for the one-half hour period ending on the scheduled close of trading on such day (by reason of movements in price exceeding limits permitted by the stock exchange or otherwise) in such securities.</w:t>
      </w:r>
    </w:p>
    <w:p>
      <w:pPr>
        <w:spacing w:after="0" w:line="172" w:lineRule="exact"/>
        <w:rPr>
          <w:rFonts w:ascii="Arial" w:cs="Arial" w:eastAsia="Arial" w:hAnsi="Arial"/>
          <w:sz w:val="17"/>
          <w:szCs w:val="17"/>
          <w:color w:val="auto"/>
        </w:rPr>
      </w:pPr>
    </w:p>
    <w:p>
      <w:pPr>
        <w:ind w:left="2240" w:hanging="312"/>
        <w:spacing w:after="0"/>
        <w:tabs>
          <w:tab w:leader="none" w:pos="2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means the outstanding principal amount of this Note as of any date of determination.</w:t>
      </w:r>
    </w:p>
    <w:p>
      <w:pPr>
        <w:spacing w:after="0" w:line="225" w:lineRule="exact"/>
        <w:rPr>
          <w:rFonts w:ascii="Arial" w:cs="Arial" w:eastAsia="Arial" w:hAnsi="Arial"/>
          <w:sz w:val="18"/>
          <w:szCs w:val="18"/>
          <w:color w:val="auto"/>
        </w:rPr>
      </w:pPr>
    </w:p>
    <w:p>
      <w:pPr>
        <w:ind w:left="-20" w:firstLine="1948"/>
        <w:spacing w:after="0" w:line="268" w:lineRule="auto"/>
        <w:tabs>
          <w:tab w:leader="none" w:pos="21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Failure</w:t>
      </w:r>
      <w:r>
        <w:rPr>
          <w:rFonts w:ascii="Arial" w:cs="Arial" w:eastAsia="Arial" w:hAnsi="Arial"/>
          <w:sz w:val="17"/>
          <w:szCs w:val="17"/>
          <w:color w:val="auto"/>
        </w:rPr>
        <w:t>” means that (A) the Company fails to file with the SEC on or before the Filing Deadline (as defined in the Registration Rights Agreement) any Registration Statement required to be filed pursuant to Section 2(a) of the Registration Rights Agreement registering Conversion Shares, (B) the Company fails to use its best efforts to obtain effectiveness with the SEC, prior to the Registration Deadline (as defined in the Registration Rights Agreement), of any Registration Statement (as defined in the Registration Rights Agreement) that is required to be filed pursuant to Section 2(a) of the Registration Rights Agreement registering Conversion Shares, or fails to use its best efforts to keep such Registration Statement current and effective as required in Section 3 of the Registration Rights Agreement, (C) the Company fails to file any additional Registration Statements required to be filed pursuant to Section 2(a)(ii) of the Registration Rights Agreement registering Conversion Shares on or before the Additional Filing Deadline or fails to use its best efforts to cause such new Registration Statement to become effective on or before the Additional Registration Deadline, (D) any Registration Statement required to be filed under the Registration Rights Agreement registering Conversion Shares, after its initial effectiveness and during the Registration Period (as defined in the Registration Rights Agreement), lapses in effect or sales of any Conversion Shares constituting Registrable Securities (as defined in the Registration Rights Agreement) cannot otherwise be made thereunder (whether by reason of the Company’s failure to amend or supplement the prospectus included therein in accordance with the Registration Rights Agreement, the Company’s failure to file and to obtain effectiveness with the SEC of an additional Registration Statement registering Conversion Shares or amended Registration Statement required pursuant to Sections 2(a)(ii) or 3(b) of the Registration Rights Agreement, as applicable, or otherwise), other than in each case as permitted pursuant to Section 3(q) of the Registration Rights Agreement.</w:t>
      </w:r>
    </w:p>
    <w:p>
      <w:pPr>
        <w:spacing w:after="0" w:line="183" w:lineRule="exact"/>
        <w:rPr>
          <w:rFonts w:ascii="Arial" w:cs="Arial" w:eastAsia="Arial" w:hAnsi="Arial"/>
          <w:sz w:val="17"/>
          <w:szCs w:val="17"/>
          <w:color w:val="auto"/>
        </w:rPr>
      </w:pPr>
    </w:p>
    <w:p>
      <w:pPr>
        <w:ind w:left="2240" w:hanging="312"/>
        <w:spacing w:after="0"/>
        <w:tabs>
          <w:tab w:leader="none" w:pos="2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Note Holders</w:t>
      </w:r>
      <w:r>
        <w:rPr>
          <w:rFonts w:ascii="Arial" w:cs="Arial" w:eastAsia="Arial" w:hAnsi="Arial"/>
          <w:sz w:val="18"/>
          <w:szCs w:val="18"/>
          <w:color w:val="auto"/>
        </w:rPr>
        <w:t>” means Holders of at least 51% in interest of the Notes.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0" w:right="239" w:bottom="1440" w:gutter="0" w:footer="0" w:header="0"/>
        </w:sectPr>
      </w:pPr>
    </w:p>
    <w:bookmarkStart w:id="127" w:name="page128"/>
    <w:bookmarkEnd w:id="127"/>
    <w:p>
      <w:pPr>
        <w:ind w:left="2292" w:hanging="352"/>
        <w:spacing w:after="0"/>
        <w:tabs>
          <w:tab w:leader="none" w:pos="2292" w:val="left"/>
        </w:tabs>
        <w:numPr>
          <w:ilvl w:val="2"/>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Common Stock, $0.01 par value.</w:t>
      </w:r>
    </w:p>
    <w:p>
      <w:pPr>
        <w:spacing w:after="0" w:line="225" w:lineRule="exact"/>
        <w:rPr>
          <w:rFonts w:ascii="Arial" w:cs="Arial" w:eastAsia="Arial" w:hAnsi="Arial"/>
          <w:sz w:val="18"/>
          <w:szCs w:val="18"/>
          <w:color w:val="auto"/>
        </w:rPr>
      </w:pPr>
    </w:p>
    <w:p>
      <w:pPr>
        <w:ind w:left="-8" w:right="160" w:firstLine="1948"/>
        <w:spacing w:after="0" w:line="313" w:lineRule="auto"/>
        <w:tabs>
          <w:tab w:leader="none" w:pos="2337" w:val="left"/>
        </w:tabs>
        <w:numPr>
          <w:ilvl w:val="2"/>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for any period on the Principal Market; provided that for purposes of the definition of “Conversion Shares”, Trading Day shall not include any Trading Day on which there is a Market Disruption Event.</w:t>
      </w:r>
    </w:p>
    <w:p>
      <w:pPr>
        <w:spacing w:after="0" w:line="138" w:lineRule="exact"/>
        <w:rPr>
          <w:rFonts w:ascii="Arial" w:cs="Arial" w:eastAsia="Arial" w:hAnsi="Arial"/>
          <w:sz w:val="17"/>
          <w:szCs w:val="17"/>
          <w:color w:val="auto"/>
        </w:rPr>
      </w:pPr>
    </w:p>
    <w:p>
      <w:pPr>
        <w:ind w:left="-8" w:firstLine="1948"/>
        <w:spacing w:after="0" w:line="269" w:lineRule="auto"/>
        <w:tabs>
          <w:tab w:leader="none" w:pos="2327" w:val="left"/>
        </w:tabs>
        <w:numPr>
          <w:ilvl w:val="2"/>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 Weighted Average Price</w:t>
      </w:r>
      <w:r>
        <w:rPr>
          <w:rFonts w:ascii="Arial" w:cs="Arial" w:eastAsia="Arial" w:hAnsi="Arial"/>
          <w:sz w:val="17"/>
          <w:szCs w:val="17"/>
          <w:color w:val="auto"/>
        </w:rPr>
        <w:t>” for any security as of any Trading Day means (a) the volume weighted average sale price of such security on the principal U.S. national or regional securities exchange on which such security is traded as reported by Bloomberg Financial Markets or an equivalent, reliable reporting service mutually acceptable to and hereinafter designated by the Required Note Holders and the Company (“</w:t>
      </w:r>
      <w:r>
        <w:rPr>
          <w:rFonts w:ascii="Arial" w:cs="Arial" w:eastAsia="Arial" w:hAnsi="Arial"/>
          <w:sz w:val="17"/>
          <w:szCs w:val="17"/>
          <w:b w:val="1"/>
          <w:bCs w:val="1"/>
          <w:color w:val="auto"/>
        </w:rPr>
        <w:t>Bloomberg</w:t>
      </w:r>
      <w:r>
        <w:rPr>
          <w:rFonts w:ascii="Arial" w:cs="Arial" w:eastAsia="Arial" w:hAnsi="Arial"/>
          <w:sz w:val="17"/>
          <w:szCs w:val="17"/>
          <w:color w:val="auto"/>
        </w:rPr>
        <w:t>”) or (b), if no volume weighted average sale price is reported for such security, then the closing price per share of such security, or, if no closing price per share is reported for such security by Bloomberg, the average of the last bid and last ask price (or if more than one in either case, the average of the average last bid and average last ask prices) on such Trading Day as reported in the composite transactions for the principal U.S. national or regional securities exchange on which such security is traded. If the security is not listed for trading on a U.S. national or regional securities exchange on the relevant Trading Day, then the Volume Weighted Average Price will be the average of the mid-point of the last bid and last ask prices of the security in the over-the-counter market on the relevant Trading Day as reported by the OTC Markets Group, Inc. or similar organization. If the Volume Weighted Average Price cannot be calculated for such security on such date in the manner provided above, the Volume Weighted Average Price shall be the fair market value as mutually determined by the Company and the Holders of a majority in interest of the Notes being converted for which the calculation of the Volume Weighted Average Price is required in order to determine the Conversion Price of such Notes. Volume Weighted Average Price will be determine without regard to after-hours trading or any other trading outside of the regular trading hours.</w:t>
      </w:r>
    </w:p>
    <w:p>
      <w:pPr>
        <w:spacing w:after="0" w:line="180" w:lineRule="exact"/>
        <w:rPr>
          <w:rFonts w:ascii="Arial" w:cs="Arial" w:eastAsia="Arial" w:hAnsi="Arial"/>
          <w:sz w:val="17"/>
          <w:szCs w:val="17"/>
          <w:color w:val="auto"/>
        </w:rPr>
      </w:pPr>
    </w:p>
    <w:p>
      <w:pPr>
        <w:ind w:left="1092" w:hanging="179"/>
        <w:spacing w:after="0"/>
        <w:tabs>
          <w:tab w:leader="none" w:pos="109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Conversion Rights</w:t>
      </w:r>
      <w:r>
        <w:rPr>
          <w:rFonts w:ascii="Arial" w:cs="Arial" w:eastAsia="Arial" w:hAnsi="Arial"/>
          <w:sz w:val="18"/>
          <w:szCs w:val="18"/>
          <w:color w:val="auto"/>
        </w:rPr>
        <w:t xml:space="preserve">. This Note may be converted into Shares on the terms and conditions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120" w:firstLine="1492"/>
        <w:spacing w:after="0" w:line="255" w:lineRule="auto"/>
        <w:tabs>
          <w:tab w:leader="none" w:pos="172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Conversion at Option of the Holder</w:t>
      </w:r>
      <w:r>
        <w:rPr>
          <w:rFonts w:ascii="Arial" w:cs="Arial" w:eastAsia="Arial" w:hAnsi="Arial"/>
          <w:sz w:val="18"/>
          <w:szCs w:val="18"/>
          <w:color w:val="auto"/>
        </w:rPr>
        <w:t>. On and after the Conversion Commencement Date and until the close of business on the second business day immediately prior to the Final Payment Date, the Holder shall be entitled to convert all or any part of the Principal into fully paid and nonassessable Shares (the “</w:t>
      </w:r>
      <w:r>
        <w:rPr>
          <w:rFonts w:ascii="Arial" w:cs="Arial" w:eastAsia="Arial" w:hAnsi="Arial"/>
          <w:sz w:val="18"/>
          <w:szCs w:val="18"/>
          <w:b w:val="1"/>
          <w:bCs w:val="1"/>
          <w:color w:val="auto"/>
        </w:rPr>
        <w:t>Conversion Shares</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at the Conversion Rate (as defined in </w:t>
      </w:r>
      <w:r>
        <w:rPr>
          <w:rFonts w:ascii="Arial" w:cs="Arial" w:eastAsia="Arial" w:hAnsi="Arial"/>
          <w:sz w:val="18"/>
          <w:szCs w:val="18"/>
          <w:u w:val="single" w:color="auto"/>
          <w:color w:val="auto"/>
        </w:rPr>
        <w:t>Section 2(b)</w:t>
      </w:r>
      <w:r>
        <w:rPr>
          <w:rFonts w:ascii="Arial" w:cs="Arial" w:eastAsia="Arial" w:hAnsi="Arial"/>
          <w:sz w:val="18"/>
          <w:szCs w:val="18"/>
          <w:color w:val="auto"/>
        </w:rPr>
        <w:t>); provided that, unless otherwise agreed to by the Company, the Holder shall not be entitled to convert any Principal if the Conversion Price is less than $5.00 per Share [or if the Tranche 3 Notes (as defined in the Facility Agreement) have not been converted in full]</w:t>
      </w:r>
      <w:r>
        <w:rPr>
          <w:rFonts w:ascii="Arial" w:cs="Arial" w:eastAsia="Arial" w:hAnsi="Arial"/>
          <w:sz w:val="15"/>
          <w:szCs w:val="15"/>
          <w:color w:val="auto"/>
        </w:rPr>
        <w:t>1</w:t>
      </w:r>
      <w:r>
        <w:rPr>
          <w:rFonts w:ascii="Arial" w:cs="Arial" w:eastAsia="Arial" w:hAnsi="Arial"/>
          <w:sz w:val="18"/>
          <w:szCs w:val="18"/>
          <w:color w:val="auto"/>
        </w:rPr>
        <w:t>. The Company shall not issue any fraction of a Share upon any conversion. If the issuance would result in the issuance of a fraction of a Share, then the Company shall round such fraction of a Share up or down to the nearest whole share (with 0.5 rounded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212" w:hanging="212"/>
        <w:spacing w:after="0"/>
        <w:tabs>
          <w:tab w:leader="none" w:pos="212" w:val="left"/>
        </w:tabs>
        <w:numPr>
          <w:ilvl w:val="0"/>
          <w:numId w:val="41"/>
        </w:numPr>
        <w:rPr>
          <w:rFonts w:ascii="Arial" w:cs="Arial" w:eastAsia="Arial" w:hAnsi="Arial"/>
          <w:sz w:val="15"/>
          <w:szCs w:val="15"/>
          <w:color w:val="auto"/>
        </w:rPr>
      </w:pPr>
      <w:r>
        <w:rPr>
          <w:rFonts w:ascii="Arial" w:cs="Arial" w:eastAsia="Arial" w:hAnsi="Arial"/>
          <w:sz w:val="18"/>
          <w:szCs w:val="18"/>
          <w:color w:val="auto"/>
        </w:rPr>
        <w:t>Include bracketed language in the Tranche 1 Notes only.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0" w:right="239" w:bottom="1440" w:gutter="0" w:footer="0" w:header="0"/>
        </w:sectPr>
      </w:pPr>
    </w:p>
    <w:bookmarkStart w:id="128" w:name="page129"/>
    <w:bookmarkEnd w:id="128"/>
    <w:p>
      <w:pPr>
        <w:ind w:left="-8" w:firstLine="1492"/>
        <w:spacing w:after="0" w:line="277" w:lineRule="auto"/>
        <w:tabs>
          <w:tab w:leader="none" w:pos="173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Rate</w:t>
      </w:r>
      <w:r>
        <w:rPr>
          <w:rFonts w:ascii="Arial" w:cs="Arial" w:eastAsia="Arial" w:hAnsi="Arial"/>
          <w:sz w:val="18"/>
          <w:szCs w:val="18"/>
          <w:color w:val="auto"/>
        </w:rPr>
        <w:t xml:space="preserve">. The number of Conversion Shares issuable upon a conversion of any portion of this Note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determined according to the following formula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-10160</wp:posOffset>
            </wp:positionV>
            <wp:extent cx="1609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09725" cy="8890"/>
                    </a:xfrm>
                    <a:prstGeom prst="rect">
                      <a:avLst/>
                    </a:prstGeom>
                    <a:noFill/>
                  </pic:spPr>
                </pic:pic>
              </a:graphicData>
            </a:graphic>
          </wp:anchor>
        </w:drawing>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732" w:hanging="248"/>
        <w:spacing w:after="0"/>
        <w:tabs>
          <w:tab w:leader="none" w:pos="173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this Note shall be conducted in the following manner:</w:t>
      </w:r>
    </w:p>
    <w:p>
      <w:pPr>
        <w:spacing w:after="0" w:line="221" w:lineRule="exact"/>
        <w:rPr>
          <w:rFonts w:ascii="Arial" w:cs="Arial" w:eastAsia="Arial" w:hAnsi="Arial"/>
          <w:sz w:val="18"/>
          <w:szCs w:val="18"/>
          <w:color w:val="auto"/>
        </w:rPr>
      </w:pPr>
    </w:p>
    <w:p>
      <w:pPr>
        <w:ind w:left="-8" w:right="20" w:firstLine="1948"/>
        <w:spacing w:after="0" w:line="256" w:lineRule="auto"/>
        <w:tabs>
          <w:tab w:leader="none" w:pos="2147"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Holder’s Delivery Requirements</w:t>
      </w:r>
      <w:r>
        <w:rPr>
          <w:rFonts w:ascii="Arial" w:cs="Arial" w:eastAsia="Arial" w:hAnsi="Arial"/>
          <w:sz w:val="18"/>
          <w:szCs w:val="18"/>
          <w:color w:val="auto"/>
        </w:rPr>
        <w:t>. To convert a Conversion Amount into Conversion Shares on any date (the “</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Holder shall (A) transmit by facsimile or electronic mail (or otherwise deliver), for receipt on or prior to 5:00 p.m. New York City time on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a copy of an executed conversion notice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Conversion Notice</w:t>
      </w:r>
      <w:r>
        <w:rPr>
          <w:rFonts w:ascii="Arial" w:cs="Arial" w:eastAsia="Arial" w:hAnsi="Arial"/>
          <w:sz w:val="18"/>
          <w:szCs w:val="18"/>
          <w:color w:val="auto"/>
        </w:rPr>
        <w:t>”) to the Company (</w:t>
      </w:r>
      <w:r>
        <w:rPr>
          <w:rFonts w:ascii="Arial" w:cs="Arial" w:eastAsia="Arial" w:hAnsi="Arial"/>
          <w:sz w:val="18"/>
          <w:szCs w:val="18"/>
          <w:u w:val="single" w:color="auto"/>
          <w:color w:val="auto"/>
        </w:rPr>
        <w:t>Attention</w:t>
      </w:r>
      <w:r>
        <w:rPr>
          <w:rFonts w:ascii="Arial" w:cs="Arial" w:eastAsia="Arial" w:hAnsi="Arial"/>
          <w:sz w:val="18"/>
          <w:szCs w:val="18"/>
          <w:color w:val="auto"/>
        </w:rPr>
        <w:t xml:space="preserve">: Matthew Pfeffer, </w:t>
      </w:r>
      <w:r>
        <w:rPr>
          <w:rFonts w:ascii="Arial" w:cs="Arial" w:eastAsia="Arial" w:hAnsi="Arial"/>
          <w:sz w:val="18"/>
          <w:szCs w:val="18"/>
          <w:u w:val="single" w:color="auto"/>
          <w:color w:val="auto"/>
        </w:rPr>
        <w:t>Fax</w:t>
      </w:r>
      <w:r>
        <w:rPr>
          <w:rFonts w:ascii="Arial" w:cs="Arial" w:eastAsia="Arial" w:hAnsi="Arial"/>
          <w:sz w:val="18"/>
          <w:szCs w:val="18"/>
          <w:color w:val="auto"/>
        </w:rPr>
        <w:t xml:space="preserve">: (661) 775-2099, </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mpfeffer@mannkindcorp.com), and (B) if required by </w:t>
      </w:r>
      <w:r>
        <w:rPr>
          <w:rFonts w:ascii="Arial" w:cs="Arial" w:eastAsia="Arial" w:hAnsi="Arial"/>
          <w:sz w:val="18"/>
          <w:szCs w:val="18"/>
          <w:u w:val="single" w:color="auto"/>
          <w:color w:val="auto"/>
        </w:rPr>
        <w:t>Section 2(c)(vi)</w:t>
      </w:r>
      <w:r>
        <w:rPr>
          <w:rFonts w:ascii="Arial" w:cs="Arial" w:eastAsia="Arial" w:hAnsi="Arial"/>
          <w:sz w:val="18"/>
          <w:szCs w:val="18"/>
          <w:color w:val="auto"/>
        </w:rPr>
        <w:t>, surrender to a common carrier for delivery to the Company, no later than three (3) Business Days after the Conversion Date, the original Note being converted (or an indemnification undertaking in customary form with respect to this Note in the case of its loss, theft or destruction).</w:t>
      </w:r>
    </w:p>
    <w:p>
      <w:pPr>
        <w:spacing w:after="0" w:line="191" w:lineRule="exact"/>
        <w:rPr>
          <w:rFonts w:ascii="Arial" w:cs="Arial" w:eastAsia="Arial" w:hAnsi="Arial"/>
          <w:sz w:val="18"/>
          <w:szCs w:val="18"/>
          <w:color w:val="auto"/>
        </w:rPr>
      </w:pPr>
    </w:p>
    <w:p>
      <w:pPr>
        <w:ind w:left="2212" w:hanging="272"/>
        <w:spacing w:after="0"/>
        <w:tabs>
          <w:tab w:leader="none" w:pos="2212" w:val="left"/>
        </w:tabs>
        <w:numPr>
          <w:ilvl w:val="2"/>
          <w:numId w:val="43"/>
        </w:numPr>
        <w:rPr>
          <w:rFonts w:ascii="Arial" w:cs="Arial" w:eastAsia="Arial" w:hAnsi="Arial"/>
          <w:sz w:val="17"/>
          <w:szCs w:val="17"/>
          <w:color w:val="auto"/>
        </w:rPr>
      </w:pPr>
      <w:r>
        <w:rPr>
          <w:rFonts w:ascii="Arial" w:cs="Arial" w:eastAsia="Arial" w:hAnsi="Arial"/>
          <w:sz w:val="17"/>
          <w:szCs w:val="17"/>
          <w:u w:val="single" w:color="auto"/>
          <w:color w:val="auto"/>
        </w:rPr>
        <w:t>Company’s Response</w:t>
      </w:r>
      <w:r>
        <w:rPr>
          <w:rFonts w:ascii="Arial" w:cs="Arial" w:eastAsia="Arial" w:hAnsi="Arial"/>
          <w:sz w:val="17"/>
          <w:szCs w:val="17"/>
          <w:color w:val="auto"/>
        </w:rPr>
        <w:t>. Upon receipt or deemed receipt by the Company of a copy of a Conversion Notice, the Company</w:t>
      </w:r>
    </w:p>
    <w:p>
      <w:pPr>
        <w:spacing w:after="0" w:line="34" w:lineRule="exact"/>
        <w:rPr>
          <w:rFonts w:ascii="Arial" w:cs="Arial" w:eastAsia="Arial" w:hAnsi="Arial"/>
          <w:sz w:val="17"/>
          <w:szCs w:val="17"/>
          <w:color w:val="auto"/>
        </w:rPr>
      </w:pPr>
    </w:p>
    <w:p>
      <w:pPr>
        <w:ind w:left="-8" w:right="20" w:firstLine="8"/>
        <w:spacing w:after="0" w:line="285" w:lineRule="auto"/>
        <w:tabs>
          <w:tab w:leader="none" w:pos="217"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immediately send, via facsimile, a confirmation of receipt of such Conversion Notice to the Holder and the Company’s designated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which confirmation shall constitute an instruction to the Transfer Agent to process such Conversion Notice in accordance with the terms herein and (II) on or before the second (2</w:t>
      </w:r>
      <w:r>
        <w:rPr>
          <w:rFonts w:ascii="Arial" w:cs="Arial" w:eastAsia="Arial" w:hAnsi="Arial"/>
          <w:sz w:val="13"/>
          <w:szCs w:val="13"/>
          <w:color w:val="auto"/>
        </w:rPr>
        <w:t>nd</w:t>
      </w:r>
      <w:r>
        <w:rPr>
          <w:rFonts w:ascii="Arial" w:cs="Arial" w:eastAsia="Arial" w:hAnsi="Arial"/>
          <w:sz w:val="16"/>
          <w:szCs w:val="16"/>
          <w:color w:val="auto"/>
        </w:rPr>
        <w:t>) Business Day following the date of receipt or deemed receipt by the Company of such Conversion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(A)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xml:space="preserve">”) Fast Automated Securities Transfer Program and provided that the Holder is eligible to receive Shares through DTC, credit such aggregate number of Conversion Shares to which the Holder shall be entitled to the Holder’s or its designee’s balance account with DTC through its Deposit Withdrawal Agent Commission system, or (B) if the foregoing shall not apply, issue and deliver to the address as specified in the Conversion Notice, a stock certificate, registered in the name of the Holder or its designee, for the number of Conversion Shares to which the Holder shall be entitled. If notwithstanding the provisions of </w:t>
      </w:r>
      <w:r>
        <w:rPr>
          <w:rFonts w:ascii="Arial" w:cs="Arial" w:eastAsia="Arial" w:hAnsi="Arial"/>
          <w:sz w:val="16"/>
          <w:szCs w:val="16"/>
          <w:u w:val="single" w:color="auto"/>
          <w:color w:val="auto"/>
        </w:rPr>
        <w:t>Section 2(c)(vi)</w:t>
      </w:r>
      <w:r>
        <w:rPr>
          <w:rFonts w:ascii="Arial" w:cs="Arial" w:eastAsia="Arial" w:hAnsi="Arial"/>
          <w:sz w:val="16"/>
          <w:szCs w:val="16"/>
          <w:color w:val="auto"/>
        </w:rPr>
        <w:t>, the Holder elects to physically surrender this Note for conversion and the Principal represented by this Note is greater than the Principal being converted, then the Company shall, as soon as practicable and in no event later than three (3) Business Days after receipt of this Note (the “</w:t>
      </w:r>
      <w:r>
        <w:rPr>
          <w:rFonts w:ascii="Arial" w:cs="Arial" w:eastAsia="Arial" w:hAnsi="Arial"/>
          <w:sz w:val="16"/>
          <w:szCs w:val="16"/>
          <w:b w:val="1"/>
          <w:bCs w:val="1"/>
          <w:color w:val="auto"/>
        </w:rPr>
        <w:t>Note Delivery Date</w:t>
      </w:r>
      <w:r>
        <w:rPr>
          <w:rFonts w:ascii="Arial" w:cs="Arial" w:eastAsia="Arial" w:hAnsi="Arial"/>
          <w:sz w:val="16"/>
          <w:szCs w:val="16"/>
          <w:color w:val="auto"/>
        </w:rPr>
        <w:t>”) and at its own expense, issue and deliver to the Holder a new Note representing the Principal not converted and cancel this Note. The Conversion Shares will be freely transferable and will not contain a legend restricting the resale or transferability of the Conversion Shares if the Unrestricted Conditions (as defined below) are met.</w:t>
      </w:r>
    </w:p>
    <w:p>
      <w:pPr>
        <w:spacing w:after="0" w:line="172" w:lineRule="exact"/>
        <w:rPr>
          <w:rFonts w:ascii="Arial" w:cs="Arial" w:eastAsia="Arial" w:hAnsi="Arial"/>
          <w:sz w:val="16"/>
          <w:szCs w:val="16"/>
          <w:color w:val="auto"/>
        </w:rPr>
      </w:pPr>
    </w:p>
    <w:p>
      <w:pPr>
        <w:ind w:left="-8" w:right="60" w:firstLine="1948"/>
        <w:spacing w:after="0" w:line="277" w:lineRule="auto"/>
        <w:tabs>
          <w:tab w:leader="none" w:pos="2247"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case of a dispute as to the determination of the Conversion Price or the arithmetic calculation of the Conversion Rate, the Company shall instruct the Transfer Agent to issue to the Holder the number of Conversion</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that is not disputed and shall transmit an explanation of the disputed determinations or arithmetic calculations to the Holder via facsimile within two</w:t>
      </w:r>
    </w:p>
    <w:p>
      <w:pPr>
        <w:spacing w:after="0" w:line="46" w:lineRule="exact"/>
        <w:rPr>
          <w:sz w:val="20"/>
          <w:szCs w:val="20"/>
          <w:color w:val="auto"/>
        </w:rPr>
      </w:pPr>
    </w:p>
    <w:p>
      <w:pPr>
        <w:ind w:firstLine="8"/>
        <w:spacing w:after="0" w:line="25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Days of receipt or deemed receipt of the Holder’s Conversion Notice or other date of determination. If the Holder and the Company are unable to agree upon the determination of the Conversion Price or arithmetic calculation of the Conversion Rate within one (1) Business Day of such disputed determination or arithmetic calculation being transmitted to the Holder, then the Company shall promptly (and in any event within two (2) Business Days) submit via facsimile (A) the disputed determination of the Conversion Price to an independent, reputable investment banking firm agreed to by the Company and the Required Note Holders, or (B) the disputed arithmetic calculation of the Conversion Rate to the Company’s independent registered public accounting firm, as the case may be. The Company shall direct the investment bank or the accounting firm, as the case may be, to perform the determinations or calculations and notify the Company and the Holder of the results no later than two (2) Business Days from the time it receives the disputed determinations or calculations. Such investment bank’s or accounting firm’s determination or calculation, as the case may be, shall be binding upon all parties absent manifest error.</w:t>
      </w:r>
    </w:p>
    <w:p>
      <w:pPr>
        <w:spacing w:after="0" w:line="198" w:lineRule="exact"/>
        <w:rPr>
          <w:rFonts w:ascii="Arial" w:cs="Arial" w:eastAsia="Arial" w:hAnsi="Arial"/>
          <w:sz w:val="18"/>
          <w:szCs w:val="18"/>
          <w:color w:val="auto"/>
        </w:rPr>
      </w:pPr>
    </w:p>
    <w:p>
      <w:pPr>
        <w:ind w:firstLine="1948"/>
        <w:spacing w:after="0" w:line="257" w:lineRule="auto"/>
        <w:tabs>
          <w:tab w:leader="none" w:pos="224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xml:space="preserve">. The person or persons entitled to receive the Conversion Shares issuable upon a conversion of this Note shall be treated for all purposes as the legal and record holder or holders of such Shares on the Conversion Date, or in the case of Conversion Shares the issuance of which is subject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that is subject to and being resolved pursuant to, and in compliance with the time periods and other provisions of, the dispute resolution provisions of </w:t>
      </w:r>
      <w:r>
        <w:rPr>
          <w:rFonts w:ascii="Arial" w:cs="Arial" w:eastAsia="Arial" w:hAnsi="Arial"/>
          <w:sz w:val="18"/>
          <w:szCs w:val="18"/>
          <w:u w:val="single" w:color="auto"/>
          <w:color w:val="auto"/>
        </w:rPr>
        <w:t>Section 2(c)(iii)</w:t>
      </w:r>
      <w:r>
        <w:rPr>
          <w:rFonts w:ascii="Arial" w:cs="Arial" w:eastAsia="Arial" w:hAnsi="Arial"/>
          <w:sz w:val="18"/>
          <w:szCs w:val="18"/>
          <w:color w:val="auto"/>
        </w:rPr>
        <w:t xml:space="preserve">, the first Business Day after the resolution of such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and the fees and expenses of such investment bank or accountant shall be paid by the Company.</w:t>
      </w:r>
    </w:p>
    <w:p>
      <w:pPr>
        <w:spacing w:after="0" w:line="188" w:lineRule="exact"/>
        <w:rPr>
          <w:rFonts w:ascii="Arial" w:cs="Arial" w:eastAsia="Arial" w:hAnsi="Arial"/>
          <w:sz w:val="18"/>
          <w:szCs w:val="18"/>
          <w:color w:val="auto"/>
        </w:rPr>
      </w:pPr>
    </w:p>
    <w:p>
      <w:pPr>
        <w:ind w:left="2200" w:hanging="252"/>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Company’s Failure to Timely Convert.</w:t>
      </w:r>
    </w:p>
    <w:p>
      <w:pPr>
        <w:spacing w:after="0" w:line="225" w:lineRule="exact"/>
        <w:rPr>
          <w:rFonts w:ascii="Arial" w:cs="Arial" w:eastAsia="Arial" w:hAnsi="Arial"/>
          <w:sz w:val="18"/>
          <w:szCs w:val="18"/>
          <w:color w:val="auto"/>
        </w:rPr>
      </w:pPr>
    </w:p>
    <w:p>
      <w:pPr>
        <w:ind w:right="20" w:firstLine="2404"/>
        <w:spacing w:after="0" w:line="269" w:lineRule="auto"/>
        <w:tabs>
          <w:tab w:leader="none" w:pos="2691"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Cash Damages</w:t>
      </w:r>
      <w:r>
        <w:rPr>
          <w:rFonts w:ascii="Arial" w:cs="Arial" w:eastAsia="Arial" w:hAnsi="Arial"/>
          <w:sz w:val="17"/>
          <w:szCs w:val="17"/>
          <w:color w:val="auto"/>
        </w:rPr>
        <w:t>. If within three (3) Business Days after the Company’s receipt of the facsimile or electronic mail copy of a Conversion Notice or deemed receipt of a Conversion Notice the Company shall fail to issue and deliver a certificate to the Holder for, or credit the Holder’s or its designee’s balance account with DTC with, the number of Conversion Shares (free of any restrictive legend if the Unrestricted Conditions (as defined below) are met) to which the Holder is entitled upon the Holder’s conversion of any Conversion Amount (a “</w:t>
      </w:r>
      <w:r>
        <w:rPr>
          <w:rFonts w:ascii="Arial" w:cs="Arial" w:eastAsia="Arial" w:hAnsi="Arial"/>
          <w:sz w:val="17"/>
          <w:szCs w:val="17"/>
          <w:b w:val="1"/>
          <w:bCs w:val="1"/>
          <w:color w:val="auto"/>
        </w:rPr>
        <w:t>Delivery Failure</w:t>
      </w:r>
      <w:r>
        <w:rPr>
          <w:rFonts w:ascii="Arial" w:cs="Arial" w:eastAsia="Arial" w:hAnsi="Arial"/>
          <w:sz w:val="17"/>
          <w:szCs w:val="17"/>
          <w:color w:val="auto"/>
        </w:rPr>
        <w:t>”) then in addition to all other available remedies that the Holder may pursue hereunder and under the Facility Agreement, the Company shall pay additional damages to the Holder for each day after the Share Delivery Date such conversion is not timely effected in an amount equal to one percent (1%) of the product of (I) the number of Conversion Shares not issued to the Holder or its designee on or prior to the Share Delivery Date and to which the Holder is entitled and (II) the Volume Weighted Average Price of the Common Stock on the Share Delivery Date (such product is referred to herein as the “</w:t>
      </w:r>
      <w:r>
        <w:rPr>
          <w:rFonts w:ascii="Arial" w:cs="Arial" w:eastAsia="Arial" w:hAnsi="Arial"/>
          <w:sz w:val="17"/>
          <w:szCs w:val="17"/>
          <w:b w:val="1"/>
          <w:bCs w:val="1"/>
          <w:color w:val="auto"/>
        </w:rPr>
        <w:t>Share Product Amount</w:t>
      </w:r>
      <w:r>
        <w:rPr>
          <w:rFonts w:ascii="Arial" w:cs="Arial" w:eastAsia="Arial" w:hAnsi="Arial"/>
          <w:sz w:val="17"/>
          <w:szCs w:val="17"/>
          <w:color w:val="auto"/>
        </w:rPr>
        <w:t xml:space="preserve">”) Alternatively in lieu of the foregoing damages, subject to </w:t>
      </w:r>
      <w:r>
        <w:rPr>
          <w:rFonts w:ascii="Arial" w:cs="Arial" w:eastAsia="Arial" w:hAnsi="Arial"/>
          <w:sz w:val="17"/>
          <w:szCs w:val="17"/>
          <w:u w:val="single" w:color="auto"/>
          <w:color w:val="auto"/>
        </w:rPr>
        <w:t>Section 2(c)(iii)</w:t>
      </w:r>
      <w:r>
        <w:rPr>
          <w:rFonts w:ascii="Arial" w:cs="Arial" w:eastAsia="Arial" w:hAnsi="Arial"/>
          <w:sz w:val="17"/>
          <w:szCs w:val="17"/>
          <w:color w:val="auto"/>
        </w:rPr>
        <w:t>, at the written election of the Holder made in the Holder’s sole discretion, if, on or after the applicable Conversion Date, the Holder purchases (in an open market transaction or otherwise) shares of Common Stock to deliver in satisfaction of a sale by such Holder of Conversion Shares that such Holder anticipated receiving from the Company (such purchased shares, “</w:t>
      </w:r>
      <w:r>
        <w:rPr>
          <w:rFonts w:ascii="Arial" w:cs="Arial" w:eastAsia="Arial" w:hAnsi="Arial"/>
          <w:sz w:val="17"/>
          <w:szCs w:val="17"/>
          <w:b w:val="1"/>
          <w:bCs w:val="1"/>
          <w:i w:val="1"/>
          <w:iCs w:val="1"/>
          <w:color w:val="auto"/>
        </w:rPr>
        <w:t>Buy-In Shares</w:t>
      </w:r>
      <w:r>
        <w:rPr>
          <w:rFonts w:ascii="Arial" w:cs="Arial" w:eastAsia="Arial" w:hAnsi="Arial"/>
          <w:sz w:val="17"/>
          <w:szCs w:val="17"/>
          <w:color w:val="auto"/>
        </w:rPr>
        <w:t>”), the Company shall be obligated to promptly pay to such Holder (in addition to all other available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0" w:name="page131"/>
    <w:bookmarkEnd w:id="13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that the Holder may otherwise have), 107.5% of the amount by which (A) such Holder’s total purchase price (including brokerage commissions, if any) for such Buy-In Shares exceeds (B) the net proceeds received by such Holder from the sale of the number of shares equal to up to the number of Conversion Shares such Holder was entitled to receive but had not received on such Share Delivery Date. If the Company fails to pay the additional damages set forth in this Section 2(c)(v)(A) within five (5) Business Days of the date incurred, then the Holder entitled to such payments shall have the right at any time, so long as the Company continues to fail to make such payments, to require the Company, upon written notice, to immediately issue, in lieu of such cash damages, the number of Shares equal to the quotient of (X) the aggregate amount of the damages payments described herein divided by (Y) the Conversion Price specified by the Holder in the Conversion Notice.</w:t>
      </w:r>
    </w:p>
    <w:p>
      <w:pPr>
        <w:spacing w:after="0" w:line="178" w:lineRule="exact"/>
        <w:rPr>
          <w:sz w:val="20"/>
          <w:szCs w:val="20"/>
          <w:color w:val="auto"/>
        </w:rPr>
      </w:pPr>
    </w:p>
    <w:p>
      <w:pPr>
        <w:ind w:right="20" w:firstLine="2404"/>
        <w:spacing w:after="0" w:line="297" w:lineRule="auto"/>
        <w:tabs>
          <w:tab w:leader="none" w:pos="2681"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t>Void Conversion Notice</w:t>
      </w:r>
      <w:r>
        <w:rPr>
          <w:rFonts w:ascii="Arial" w:cs="Arial" w:eastAsia="Arial" w:hAnsi="Arial"/>
          <w:sz w:val="16"/>
          <w:szCs w:val="16"/>
          <w:color w:val="auto"/>
        </w:rPr>
        <w:t>. If for any reason the Holder has not received all of the Conversion Shares prior to the tenth (10th) Business Day after the Share Delivery Date with respect to a conversion of this Note (a “</w:t>
      </w:r>
      <w:r>
        <w:rPr>
          <w:rFonts w:ascii="Arial" w:cs="Arial" w:eastAsia="Arial" w:hAnsi="Arial"/>
          <w:sz w:val="16"/>
          <w:szCs w:val="16"/>
          <w:b w:val="1"/>
          <w:bCs w:val="1"/>
          <w:color w:val="auto"/>
        </w:rPr>
        <w:t>Conversion Failure</w:t>
      </w:r>
      <w:r>
        <w:rPr>
          <w:rFonts w:ascii="Arial" w:cs="Arial" w:eastAsia="Arial" w:hAnsi="Arial"/>
          <w:sz w:val="16"/>
          <w:szCs w:val="16"/>
          <w:color w:val="auto"/>
        </w:rPr>
        <w:t>”), then the Holder, upon written notice to the Company (a “</w:t>
      </w:r>
      <w:r>
        <w:rPr>
          <w:rFonts w:ascii="Arial" w:cs="Arial" w:eastAsia="Arial" w:hAnsi="Arial"/>
          <w:sz w:val="16"/>
          <w:szCs w:val="16"/>
          <w:b w:val="1"/>
          <w:bCs w:val="1"/>
          <w:color w:val="auto"/>
        </w:rPr>
        <w:t>Void Conversion Notice</w:t>
      </w:r>
      <w:r>
        <w:rPr>
          <w:rFonts w:ascii="Arial" w:cs="Arial" w:eastAsia="Arial" w:hAnsi="Arial"/>
          <w:sz w:val="16"/>
          <w:szCs w:val="16"/>
          <w:color w:val="auto"/>
        </w:rPr>
        <w:t xml:space="preserve">”), may void its Conversion Notice with respect to, and retain or have returned, as the case may be, any portion of this Note that has not been converted pursuant to the Holder’s Conversion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voiding of the Holder’s Conversion Notice shall not affect the Company’s obligations to make any payments that have accrued prior to the date of such notice pursuant to </w:t>
      </w:r>
      <w:r>
        <w:rPr>
          <w:rFonts w:ascii="Arial" w:cs="Arial" w:eastAsia="Arial" w:hAnsi="Arial"/>
          <w:sz w:val="16"/>
          <w:szCs w:val="16"/>
          <w:u w:val="single" w:color="auto"/>
          <w:color w:val="auto"/>
        </w:rPr>
        <w:t>Section 2(c)(v)(A)</w:t>
      </w:r>
      <w:r>
        <w:rPr>
          <w:rFonts w:ascii="Arial" w:cs="Arial" w:eastAsia="Arial" w:hAnsi="Arial"/>
          <w:sz w:val="16"/>
          <w:szCs w:val="16"/>
          <w:color w:val="auto"/>
        </w:rPr>
        <w:t xml:space="preserve"> or otherwise.</w:t>
      </w:r>
    </w:p>
    <w:p>
      <w:pPr>
        <w:spacing w:after="0" w:line="158" w:lineRule="exact"/>
        <w:rPr>
          <w:rFonts w:ascii="Arial" w:cs="Arial" w:eastAsia="Arial" w:hAnsi="Arial"/>
          <w:sz w:val="16"/>
          <w:szCs w:val="16"/>
          <w:color w:val="auto"/>
        </w:rPr>
      </w:pPr>
    </w:p>
    <w:p>
      <w:pPr>
        <w:ind w:right="180" w:firstLine="1948"/>
        <w:spacing w:after="0" w:line="289" w:lineRule="auto"/>
        <w:tabs>
          <w:tab w:leader="none" w:pos="2245"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or repayment of this Note in accordance with the terms hereof, the Holder shall not be required to physically surrender this Note to the Company unless all of the Principal is being converted or repaid. The Holder and the Company shall maintain records showing the Principal converted or repaid and the dates of such conversions or repayments or shall use such other method, reasonably satisfactory to the Holder and the Company, so as not to require physical surrender of this Note upon any such partial conversion or repayment. Notwithstanding the foregoing, if this Note is converted or repaid as aforesaid, the Holder may not transfer this Note unless the Holder first physically surrenders this Note to the Company, whereupon the Company will forthwith issue and deliver upon the order of the Holder a new Note of like tenor, registered as the Holder may request, representing in the aggregate the remaining Principal represented by this Note. The Holder and any assignee, by acceptance of this Note, acknowledge and agree that, by reason of the provisions of this paragraph, following conversion or repayment of any portion of this Note, the Principal of this Note may be less than the principal amount stated on the face hereof.</w:t>
      </w:r>
    </w:p>
    <w:p>
      <w:pPr>
        <w:spacing w:after="0" w:line="166" w:lineRule="exact"/>
        <w:rPr>
          <w:rFonts w:ascii="Arial" w:cs="Arial" w:eastAsia="Arial" w:hAnsi="Arial"/>
          <w:sz w:val="16"/>
          <w:szCs w:val="16"/>
          <w:color w:val="auto"/>
        </w:rPr>
      </w:pPr>
    </w:p>
    <w:p>
      <w:pPr>
        <w:ind w:right="80" w:firstLine="1492"/>
        <w:spacing w:after="0" w:line="259" w:lineRule="auto"/>
        <w:tabs>
          <w:tab w:leader="none" w:pos="173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shall pay any and all taxes (excluding income taxes, franchise taxes or other taxes levied on gross earnings, profits or the like of the Holder) that may be payable with respect to the issuance and delivery of Conversion Shares upon the conversion of this Note, unless the tax is due because the Holder requests any Conversion Shares to be issued in a name other than the Holder’s name, in which case the Holder will pay that tax.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31" w:name="page132"/>
    <w:bookmarkEnd w:id="131"/>
    <w:p>
      <w:pPr>
        <w:ind w:left="1720" w:hanging="248"/>
        <w:spacing w:after="0"/>
        <w:tabs>
          <w:tab w:leader="none" w:pos="17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948"/>
        <w:spacing w:after="0" w:line="257" w:lineRule="auto"/>
        <w:tabs>
          <w:tab w:leader="none" w:pos="213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The Holder understands that this Note and until such time as the Conversion Shares have been registered under the Securities Act as contemplated by the Registration Rights Agreement or otherwise may be sold pursuant to Rule 144 under the Securities Act or an exemption from registration under the Securities Act without any restriction as to the number of securities as of a particular date that can then be immediately sold, the Conversion Shares, as applicable, may bear a restrictive legend in substantially the following form (and a stop-transfer order may be placed against transfer of the certificates for such securities):</w:t>
      </w:r>
    </w:p>
    <w:p>
      <w:pPr>
        <w:spacing w:after="0" w:line="80"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left="-20" w:right="20" w:firstLine="1948"/>
        <w:spacing w:after="0" w:line="285" w:lineRule="auto"/>
        <w:tabs>
          <w:tab w:leader="none" w:pos="218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Removal of Restrictive Legends</w:t>
      </w:r>
      <w:r>
        <w:rPr>
          <w:rFonts w:ascii="Arial" w:cs="Arial" w:eastAsia="Arial" w:hAnsi="Arial"/>
          <w:sz w:val="16"/>
          <w:szCs w:val="16"/>
          <w:color w:val="auto"/>
        </w:rPr>
        <w:t>. The certificates evidencing the Conversion Shares shall not contain any legend restricting the transfer thereof (including the legend set forth above in subsection 2(e)(i)): (A) while a registration statement (including a Registration Statement, as defined in the Registration Rights Agreement) covering the resale of such security by the Holder is effective under the Securities Act, (B) following any sale of such Conversion Shares pursuant to Rule 144, or (C) if such Conversion Shares are eligible for sale under rule 144(b)(1) and the Holder thereof is not, and has not been during the preceding three months, an affiliate (as such term is defined for purposes of Rule 144 under the Securities Act) (the “</w:t>
      </w:r>
      <w:r>
        <w:rPr>
          <w:rFonts w:ascii="Arial" w:cs="Arial" w:eastAsia="Arial" w:hAnsi="Arial"/>
          <w:sz w:val="16"/>
          <w:szCs w:val="16"/>
          <w:b w:val="1"/>
          <w:bCs w:val="1"/>
          <w:color w:val="auto"/>
        </w:rPr>
        <w:t>Unrestricted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Conditions</w:t>
      </w:r>
      <w:r>
        <w:rPr>
          <w:rFonts w:ascii="Arial" w:cs="Arial" w:eastAsia="Arial" w:hAnsi="Arial"/>
          <w:sz w:val="16"/>
          <w:szCs w:val="16"/>
          <w:color w:val="auto"/>
        </w:rPr>
        <w:t>”). The Holder agrees that the removal of the restrictive legend from the Conversion Shares in accordance with the immediately preceding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sentence is predicated upon the Company’s reliance that (i) the Holder will dispose of such shares pursuant to the registration requirements of the Securities Act, including any applicable prospectus delivery requirements, or for its own account in compliance with Rule 144, and that if such securities are sold pursuant to a registration statement, they will be sold in compliance with the plan of distribution set forth therein, and (ii) if, prior to the disposition of any such Conversion Shares, the Company notifies the Holder that the Unrestricted Conditions have no longer been met, the Holder will agree to the placement of said restrictive legend on the certificates for such Conversion Shares until the Unrestricted Conditions have once again been met. Promptly following the Effective Date (as defined below) or such other time as any of the Unrestricted Conditions have been satisfied, the Company shall cause its counsel to issue a legal opinion or other instruction to the Transfer Agent (if required by the Transfer Agent) to effect the issuance of the Conversion Shares without a restrictive legend or, in the case of Conversion Shares that have previously been issued, the removal of the legend thereunder. If the Unrestricted Conditions are met at the time of issuance of the Conversion Shares, then the Conversion Shares shall be issued free of all legends. The Company agrees that following the Effective Date or at such time as the Unrestricted Conditions are met or such legend is otherwise no longer required under this </w:t>
      </w:r>
      <w:r>
        <w:rPr>
          <w:rFonts w:ascii="Arial" w:cs="Arial" w:eastAsia="Arial" w:hAnsi="Arial"/>
          <w:sz w:val="16"/>
          <w:szCs w:val="16"/>
          <w:u w:val="single" w:color="auto"/>
          <w:color w:val="auto"/>
        </w:rPr>
        <w:t>Section 2(e)</w:t>
      </w:r>
      <w:r>
        <w:rPr>
          <w:rFonts w:ascii="Arial" w:cs="Arial" w:eastAsia="Arial" w:hAnsi="Arial"/>
          <w:sz w:val="16"/>
          <w:szCs w:val="16"/>
          <w:color w:val="auto"/>
        </w:rPr>
        <w:t>, it will, no later than four (4) Trading Days following the delivery (the “</w:t>
      </w:r>
      <w:r>
        <w:rPr>
          <w:rFonts w:ascii="Arial" w:cs="Arial" w:eastAsia="Arial" w:hAnsi="Arial"/>
          <w:sz w:val="16"/>
          <w:szCs w:val="16"/>
          <w:b w:val="1"/>
          <w:bCs w:val="1"/>
          <w:color w:val="auto"/>
        </w:rPr>
        <w:t>Unlegended Shares Delivery Deadline</w:t>
      </w:r>
      <w:r>
        <w:rPr>
          <w:rFonts w:ascii="Arial" w:cs="Arial" w:eastAsia="Arial" w:hAnsi="Arial"/>
          <w:sz w:val="16"/>
          <w:szCs w:val="16"/>
          <w:color w:val="auto"/>
        </w:rPr>
        <w:t>”) by the Holder to the Company or the Transfer Agent of any certificate representing Conversion Shares, as applicable, issued with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132" w:name="page133"/>
    <w:bookmarkEnd w:id="132"/>
    <w:p>
      <w:pPr>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legend (such fourth Trading Day, the “</w:t>
      </w:r>
      <w:r>
        <w:rPr>
          <w:rFonts w:ascii="Arial" w:cs="Arial" w:eastAsia="Arial" w:hAnsi="Arial"/>
          <w:sz w:val="17"/>
          <w:szCs w:val="17"/>
          <w:b w:val="1"/>
          <w:bCs w:val="1"/>
          <w:color w:val="auto"/>
        </w:rPr>
        <w:t>Legend Removal Date</w:t>
      </w:r>
      <w:r>
        <w:rPr>
          <w:rFonts w:ascii="Arial" w:cs="Arial" w:eastAsia="Arial" w:hAnsi="Arial"/>
          <w:sz w:val="17"/>
          <w:szCs w:val="17"/>
          <w:color w:val="auto"/>
        </w:rPr>
        <w:t>”), deliver or cause to be delivered to such Holder a certificate (or electronic transfer) representing such shares that is free from all restrictive and other legends. For purposes hereof, “</w:t>
      </w:r>
      <w:r>
        <w:rPr>
          <w:rFonts w:ascii="Arial" w:cs="Arial" w:eastAsia="Arial" w:hAnsi="Arial"/>
          <w:sz w:val="17"/>
          <w:szCs w:val="17"/>
          <w:b w:val="1"/>
          <w:bCs w:val="1"/>
          <w:color w:val="auto"/>
        </w:rPr>
        <w:t>Effective Date</w:t>
      </w:r>
      <w:r>
        <w:rPr>
          <w:rFonts w:ascii="Arial" w:cs="Arial" w:eastAsia="Arial" w:hAnsi="Arial"/>
          <w:sz w:val="17"/>
          <w:szCs w:val="17"/>
          <w:color w:val="auto"/>
        </w:rPr>
        <w:t>” shall mean the date that the Registration Statement that the Company is required to file pursuant to the Registration Rights Agreement has been declared effective by the SEC.</w:t>
      </w:r>
    </w:p>
    <w:p>
      <w:pPr>
        <w:spacing w:after="0" w:line="162" w:lineRule="exact"/>
        <w:rPr>
          <w:sz w:val="20"/>
          <w:szCs w:val="20"/>
          <w:color w:val="auto"/>
        </w:rPr>
      </w:pPr>
    </w:p>
    <w:p>
      <w:pPr>
        <w:ind w:right="160" w:firstLine="1948"/>
        <w:spacing w:after="0" w:line="279" w:lineRule="auto"/>
        <w:tabs>
          <w:tab w:leader="none" w:pos="2255"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Sale of Unlegended Shares</w:t>
      </w:r>
      <w:r>
        <w:rPr>
          <w:rFonts w:ascii="Arial" w:cs="Arial" w:eastAsia="Arial" w:hAnsi="Arial"/>
          <w:sz w:val="17"/>
          <w:szCs w:val="17"/>
          <w:color w:val="auto"/>
        </w:rPr>
        <w:t xml:space="preserve">. Holder agrees that the removal of the restrictive legend from any certificates representing securities as set forth in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above is predicated upon the Company’s reliance that the Holder will sell any Conversion Shares pursuant to either the registration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171" w:lineRule="exact"/>
        <w:rPr>
          <w:rFonts w:ascii="Arial" w:cs="Arial" w:eastAsia="Arial" w:hAnsi="Arial"/>
          <w:sz w:val="17"/>
          <w:szCs w:val="17"/>
          <w:color w:val="auto"/>
        </w:rPr>
      </w:pPr>
    </w:p>
    <w:p>
      <w:pPr>
        <w:ind w:left="1720" w:hanging="228"/>
        <w:spacing w:after="0"/>
        <w:tabs>
          <w:tab w:leader="none" w:pos="1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Limitations on Conversions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48"/>
        <w:spacing w:after="0" w:line="286" w:lineRule="auto"/>
        <w:tabs>
          <w:tab w:leader="none" w:pos="215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herein to the contrary, the Company shall not issue to the Holder, and the Holder may not acquire, a number of Shares upon conversion of this Note or otherwise issue any shares of Common Stock pursuant hereto or the Facility Agreement to the extent that, upon such conversion, the number of Shares then beneficially owned by the Holder and its Affiliates and any other persons or entities whose beneficial ownership of Common Stock would be aggregated with the Holder’s for purposes of Section 13(d) of the Exchange Act (including shares held by any “group” of which the Holder is a member, but excluding shares beneficially owned by virtue of the ownership of securities or rights to acquire securities that have limitations on the right to convert, exercise or purchase similar to the limitation set forth herein) would exceed 9.985% of the total number of shares of Common Stock then issued and outstanding (the “</w:t>
      </w:r>
      <w:r>
        <w:rPr>
          <w:rFonts w:ascii="Arial" w:cs="Arial" w:eastAsia="Arial" w:hAnsi="Arial"/>
          <w:sz w:val="16"/>
          <w:szCs w:val="16"/>
          <w:b w:val="1"/>
          <w:bCs w:val="1"/>
          <w:color w:val="auto"/>
        </w:rPr>
        <w:t>9.985% Cap</w:t>
      </w:r>
      <w:r>
        <w:rPr>
          <w:rFonts w:ascii="Arial" w:cs="Arial" w:eastAsia="Arial" w:hAnsi="Arial"/>
          <w:sz w:val="16"/>
          <w:szCs w:val="16"/>
          <w:color w:val="auto"/>
        </w:rPr>
        <w:t>”), provided, however, that the 9.985% Cap shall only apply to the extent that the Common Stock is deemed to constitute an “equity security” pursuant to Rule 13d-1(i) promulgated under the Exchange Act, and provided, further, that if the Holder and its Affiliates and any other persons or entities whose beneficial ownership of Common Stock would be aggregated with the Holder’s for purposes of Section 13(d) of the Exchange Act beneficially own on the Issuance Date greater than 9.985% of the shares of Common Stock then outstanding, then the 9.985% Cap shall not apply to such Holder unless and until the beneficial ownership of the Holder and its Affiliates and any other persons or entities whose beneficial ownership of Common Stock would be aggregated with the Holder’s for purposes of Section 13(d) of the Exchange Act subsequently decreases to below 9.985%</w:t>
      </w:r>
      <w:r>
        <w:rPr>
          <w:rFonts w:ascii="Arial" w:cs="Arial" w:eastAsia="Arial" w:hAnsi="Arial"/>
          <w:sz w:val="13"/>
          <w:szCs w:val="13"/>
          <w:color w:val="auto"/>
        </w:rPr>
        <w:t>.</w:t>
      </w:r>
      <w:r>
        <w:rPr>
          <w:rFonts w:ascii="Arial" w:cs="Arial" w:eastAsia="Arial" w:hAnsi="Arial"/>
          <w:sz w:val="16"/>
          <w:szCs w:val="16"/>
          <w:color w:val="auto"/>
        </w:rPr>
        <w:t xml:space="preserve"> For purposes hereof, “group” has the meaning set forth in Section 13(d) of the Exchange Act and applicable regulations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percentage held by the Holder shall be determined in a manner consistent with the provisions of Section 13(d) of the Exchange Act. Upon the written request of the Holder, the Company shall, within two (2) Trading Days, confirm orally and in writing to the Holder the number of Shares then outstanding.</w:t>
      </w:r>
    </w:p>
    <w:p>
      <w:pPr>
        <w:spacing w:after="0" w:line="385" w:lineRule="exact"/>
        <w:rPr>
          <w:sz w:val="20"/>
          <w:szCs w:val="20"/>
          <w:color w:val="auto"/>
        </w:rPr>
      </w:pPr>
    </w:p>
    <w:p>
      <w:pPr>
        <w:ind w:right="360" w:firstLine="1948"/>
        <w:spacing w:after="0" w:line="264" w:lineRule="auto"/>
        <w:tabs>
          <w:tab w:leader="none" w:pos="22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Principal Market Regulation</w:t>
      </w:r>
      <w:r>
        <w:rPr>
          <w:rFonts w:ascii="Arial" w:cs="Arial" w:eastAsia="Arial" w:hAnsi="Arial"/>
          <w:sz w:val="18"/>
          <w:szCs w:val="18"/>
          <w:color w:val="auto"/>
        </w:rPr>
        <w:t>. The Company shall not issue any Shares upon conversion of this Note (including pursuant to Section 2(c)(v)(A) hereof) if the issuance of such Shares together with any previous issuances of Shares under the Notes would exceed 57,885,577 (the “</w:t>
      </w:r>
      <w:r>
        <w:rPr>
          <w:rFonts w:ascii="Arial" w:cs="Arial" w:eastAsia="Arial" w:hAnsi="Arial"/>
          <w:sz w:val="18"/>
          <w:szCs w:val="18"/>
          <w:b w:val="1"/>
          <w:bCs w:val="1"/>
          <w:color w:val="auto"/>
        </w:rPr>
        <w:t>Exchange Cap</w:t>
      </w:r>
      <w:r>
        <w:rPr>
          <w:rFonts w:ascii="Arial" w:cs="Arial" w:eastAsia="Arial" w:hAnsi="Arial"/>
          <w:sz w:val="18"/>
          <w:szCs w:val="18"/>
          <w:color w:val="auto"/>
        </w:rPr>
        <w:t>”), except that such limitation shall not apply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33" w:name="page134"/>
    <w:bookmarkEnd w:id="133"/>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that the Company obtains the approval of its stockholders as required by the applicable rules of The Nasdaq Global Market and any other Principal Market for issuances of Shares in excess of such amount.</w:t>
      </w:r>
    </w:p>
    <w:p>
      <w:pPr>
        <w:spacing w:after="0" w:line="170" w:lineRule="exact"/>
        <w:rPr>
          <w:sz w:val="20"/>
          <w:szCs w:val="20"/>
          <w:color w:val="auto"/>
        </w:rPr>
      </w:pPr>
    </w:p>
    <w:p>
      <w:pPr>
        <w:ind w:firstLine="1948"/>
        <w:spacing w:after="0" w:line="284" w:lineRule="auto"/>
        <w:tabs>
          <w:tab w:leader="none" w:pos="2255"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Applicable Limits on Conversion of the Note</w:t>
      </w:r>
      <w:r>
        <w:rPr>
          <w:rFonts w:ascii="Arial" w:cs="Arial" w:eastAsia="Arial" w:hAnsi="Arial"/>
          <w:sz w:val="16"/>
          <w:szCs w:val="16"/>
          <w:color w:val="auto"/>
        </w:rPr>
        <w:t>. Notwithstanding anything to the contrary herein, (A) unless otherwise agreed to by the Company, this Note shall not be convertible, and the Company shall not issue Shares upon conversion of this Note, as a Conversion Price less than $5.00 per Share, [and unless the Tranche 3 Notes have been converted in full]</w:t>
      </w:r>
      <w:r>
        <w:rPr>
          <w:rFonts w:ascii="Arial" w:cs="Arial" w:eastAsia="Arial" w:hAnsi="Arial"/>
          <w:sz w:val="13"/>
          <w:szCs w:val="13"/>
          <w:color w:val="auto"/>
        </w:rPr>
        <w:t>2</w:t>
      </w:r>
      <w:r>
        <w:rPr>
          <w:rFonts w:ascii="Arial" w:cs="Arial" w:eastAsia="Arial" w:hAnsi="Arial"/>
          <w:sz w:val="16"/>
          <w:szCs w:val="16"/>
          <w:color w:val="auto"/>
        </w:rPr>
        <w:t>, (B) this Note shall not be convertible, and the Company shall not issue Shares upon conversion of this Note, if the number of shares that would otherwise be issuable upon such conversion, together with all shares previously issued upon conversion of all Notes or issuable upon conversion of any other Notes converted on the same Conversion Date, exceeds 30 million shares (subject to appropriate adjustment to reflect any Stock Event), and (C) this Note shall not be convertible, and the Company shall not issue Shares upon conversion of this Note, if the number of shares that would otherwise be issuable upon such conversion, together with any shares issuable upon conversion of any other Notes converted on the same Conversion Date, exceeds the then Applicable Limit. For purposes herein, “Applicable Limit” shall initially mean (x) 30 million Shares (subject to appropriate adjustment to reflect any Stock Event) for all conversions of Notes at a “Conversion Price” of $3.33 (subject to appropriate adjustment to reflect any Stock Event) or less, (y) 15 million Shares (subject to appropriate adjustment to reflect any Stock Event) for all conversions of Notes at a “Conversion Price” of $6.67 (subject to appropriate adjustment to reflect any Stock Event) or more, and (z) $100 million of “Conversion Amounts” for all Note conversions at a “Conversion Price” of between $3.33 and $6.67 (subject to appropriate adjustment to reflect any Stock Event); provided, however, that, after each Conversion Date, the Applicable Limit under all three clauses (regardless of which clause such conversion relates to) shall be reduced by an amount equal to the Applicable Limit immediately preceding such conversion multiplied by a fraction, the numerator of which is the number of Shares actually converted on such date (in the case of clauses (x) and (y)) or the applicable “Conversion Amount” for all shares actually converted on such date (in the case of clause (z)) and the denominator of which is the Applicable Limit in respect of the clause under which such conversion falls immediately prior to such conversion. For purposes of illustration: (a) If 15 million shares are converted under any Notes at $3.00 per share, the Applicable Limit shall be reduced by one-half to 15 million, 7.5 million and $50 million, respectively; (b) If an additional $10 million are then converted under any Notes at $5.00 per Share, each Applicable Limit shall then be further reduced by 20% to 12 million, 6 million and $40 million, respectively. As an additional illustration, if 10 million shares are converted under any Notes at $8.00 per share, each Applicable Limit shall be reduced by two-thirds to 10 million, 5 million and $33,333,333, respectively; and (b) if an additional 500,000 shares are then converted under any Notes at $5.00 per share, each Applicable Limit shall be further reduced by 7.5% to $9,250,000, $4,625,000 and $30,833,333, respectively.</w:t>
      </w:r>
    </w:p>
    <w:p>
      <w:pPr>
        <w:spacing w:after="0" w:line="397" w:lineRule="exact"/>
        <w:rPr>
          <w:rFonts w:ascii="Arial" w:cs="Arial" w:eastAsia="Arial" w:hAnsi="Arial"/>
          <w:sz w:val="16"/>
          <w:szCs w:val="16"/>
          <w:color w:val="auto"/>
        </w:rPr>
      </w:pPr>
    </w:p>
    <w:p>
      <w:pPr>
        <w:ind w:right="380" w:firstLine="921"/>
        <w:spacing w:after="0" w:line="308" w:lineRule="auto"/>
        <w:tabs>
          <w:tab w:leader="none" w:pos="109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Registration Failures</w:t>
      </w:r>
      <w:r>
        <w:rPr>
          <w:rFonts w:ascii="Arial" w:cs="Arial" w:eastAsia="Arial" w:hAnsi="Arial"/>
          <w:sz w:val="17"/>
          <w:szCs w:val="17"/>
          <w:color w:val="auto"/>
        </w:rPr>
        <w:t>. Upon any Registration Failure, in addition to all other available remedies that the Holder may pursue hereunder and under the Facility Agreement and the Registration Rights Agreement, the Company shall pay additional damages to the Holder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5"/>
          <w:szCs w:val="15"/>
          <w:color w:val="auto"/>
        </w:rPr>
      </w:pPr>
      <w:r>
        <w:rPr>
          <w:rFonts w:ascii="Arial" w:cs="Arial" w:eastAsia="Arial" w:hAnsi="Arial"/>
          <w:sz w:val="18"/>
          <w:szCs w:val="18"/>
          <w:color w:val="auto"/>
        </w:rPr>
        <w:t>Include bracketed language in the Tranche 1 Notes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4" w:name="page135"/>
    <w:bookmarkEnd w:id="13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30-day period (prorated for any partial period) after the date of such Registration Failure in an amount in cash equal to one percent (1%) of such Holder’s original principal amount of this Note on the date of such Registration Failure. Such payments shall accrue until the earlier of (i) such time as the Registration Failure has been cured and (ii) the date on which all of the Conversion Shares may be disposed of for such Holder’s own account without restriction under Rule 144 (including, without limitation, volume restrictions and without the need for the availability of current public information under Rule 144), assuming that the Holder is not, and has not been during the preceding three months, an affiliate (as such term is defined for purposes of Rule 144 under the Securities Act) of the Company. All such payments that accrue under this Section (4) shall be payable no later than five business days following such date of accrual.</w:t>
      </w:r>
    </w:p>
    <w:p>
      <w:pPr>
        <w:spacing w:after="0" w:line="189" w:lineRule="exact"/>
        <w:rPr>
          <w:sz w:val="20"/>
          <w:szCs w:val="20"/>
          <w:color w:val="auto"/>
        </w:rPr>
      </w:pPr>
    </w:p>
    <w:p>
      <w:pPr>
        <w:ind w:right="100" w:firstLine="921"/>
        <w:spacing w:after="0" w:line="279" w:lineRule="auto"/>
        <w:tabs>
          <w:tab w:leader="none" w:pos="109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Except as required by law, the Holder shall have no voting rights with respect to any of the Conversion Shares until the Conversion Date relating to the conversion of this Note upon which such Conversion Shares are issuable (or in the case of Conversion Shares the issuance of which is subject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dispute that is subject to and being resolved pursuant to, and in compliance with the time periods and other provisions of, the dispute resolution provisions of </w:t>
      </w:r>
      <w:r>
        <w:rPr>
          <w:rFonts w:ascii="Arial" w:cs="Arial" w:eastAsia="Arial" w:hAnsi="Arial"/>
          <w:sz w:val="17"/>
          <w:szCs w:val="17"/>
          <w:u w:val="single" w:color="auto"/>
          <w:color w:val="auto"/>
        </w:rPr>
        <w:t>Section 2(c)(iii)</w:t>
      </w:r>
      <w:r>
        <w:rPr>
          <w:rFonts w:ascii="Arial" w:cs="Arial" w:eastAsia="Arial" w:hAnsi="Arial"/>
          <w:sz w:val="17"/>
          <w:szCs w:val="17"/>
          <w:color w:val="auto"/>
        </w:rPr>
        <w:t xml:space="preserve">, the first Business Day after the resolution of such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dispute).</w:t>
      </w:r>
    </w:p>
    <w:p>
      <w:pPr>
        <w:spacing w:after="0" w:line="171" w:lineRule="exact"/>
        <w:rPr>
          <w:rFonts w:ascii="Arial" w:cs="Arial" w:eastAsia="Arial" w:hAnsi="Arial"/>
          <w:sz w:val="17"/>
          <w:szCs w:val="17"/>
          <w:color w:val="auto"/>
        </w:rPr>
      </w:pPr>
    </w:p>
    <w:p>
      <w:pPr>
        <w:ind w:left="1100" w:hanging="179"/>
        <w:spacing w:after="0"/>
        <w:tabs>
          <w:tab w:leader="none" w:pos="11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Amendment; Waiver</w:t>
      </w:r>
      <w:r>
        <w:rPr>
          <w:rFonts w:ascii="Arial" w:cs="Arial" w:eastAsia="Arial" w:hAnsi="Arial"/>
          <w:sz w:val="16"/>
          <w:szCs w:val="16"/>
          <w:color w:val="auto"/>
        </w:rPr>
        <w:t>. The terms and provisions of this Note shall not be amended or waived except in a writing signed by the Company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Holder.</w:t>
      </w:r>
    </w:p>
    <w:p>
      <w:pPr>
        <w:spacing w:after="0" w:line="210" w:lineRule="exact"/>
        <w:rPr>
          <w:rFonts w:ascii="Arial" w:cs="Arial" w:eastAsia="Arial" w:hAnsi="Arial"/>
          <w:sz w:val="16"/>
          <w:szCs w:val="16"/>
          <w:color w:val="auto"/>
        </w:rPr>
      </w:pPr>
    </w:p>
    <w:p>
      <w:pPr>
        <w:ind w:firstLine="921"/>
        <w:spacing w:after="0" w:line="288" w:lineRule="auto"/>
        <w:tabs>
          <w:tab w:leader="none" w:pos="1093"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the Facility Agreement, at law or in equity (including a decree of specific performance and/or other injunctive relief). No remedy contained herein shall be deemed a waiver of compliance with the provisions giving rise to such remedy, and nothing herein shall limit the Holder’s right to pursue actual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69" w:lineRule="exact"/>
        <w:rPr>
          <w:rFonts w:ascii="Arial" w:cs="Arial" w:eastAsia="Arial" w:hAnsi="Arial"/>
          <w:sz w:val="16"/>
          <w:szCs w:val="16"/>
          <w:color w:val="auto"/>
        </w:rPr>
      </w:pPr>
    </w:p>
    <w:p>
      <w:pPr>
        <w:ind w:right="100" w:firstLine="921"/>
        <w:spacing w:after="0" w:line="264" w:lineRule="auto"/>
        <w:tabs>
          <w:tab w:leader="none" w:pos="109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Specific Shall Not Limit General; Construction</w:t>
      </w:r>
      <w:r>
        <w:rPr>
          <w:rFonts w:ascii="Arial" w:cs="Arial" w:eastAsia="Arial" w:hAnsi="Arial"/>
          <w:sz w:val="18"/>
          <w:szCs w:val="18"/>
          <w:color w:val="auto"/>
        </w:rPr>
        <w:t>. No specific provision contained in this Note shall limit or modify any more general provision contained herein. This Note shall be deemed to be jointly drafted by the Company and all purchasers of Notes pursuant to the Facility Agreement and shall not be construed against any Person as the drafter hereof.</w:t>
      </w:r>
    </w:p>
    <w:p>
      <w:pPr>
        <w:spacing w:after="0" w:line="181" w:lineRule="exact"/>
        <w:rPr>
          <w:rFonts w:ascii="Arial" w:cs="Arial" w:eastAsia="Arial" w:hAnsi="Arial"/>
          <w:sz w:val="18"/>
          <w:szCs w:val="18"/>
          <w:color w:val="auto"/>
        </w:rPr>
      </w:pPr>
    </w:p>
    <w:p>
      <w:pPr>
        <w:ind w:right="80" w:firstLine="921"/>
        <w:spacing w:after="0" w:line="264" w:lineRule="auto"/>
        <w:tabs>
          <w:tab w:leader="none" w:pos="109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5" w:name="page136"/>
    <w:bookmarkEnd w:id="135"/>
    <w:p>
      <w:pPr>
        <w:ind w:left="-20" w:right="200" w:firstLine="921"/>
        <w:spacing w:after="0" w:line="277" w:lineRule="auto"/>
        <w:tabs>
          <w:tab w:leader="none" w:pos="107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Whenever notice is required to be given under this Note, unless otherwise provided herein, such notice shall be given in accordance with Section 6.1 of the Facility Agreement.</w:t>
      </w:r>
    </w:p>
    <w:p>
      <w:pPr>
        <w:spacing w:after="0" w:line="170" w:lineRule="exact"/>
        <w:rPr>
          <w:rFonts w:ascii="Arial" w:cs="Arial" w:eastAsia="Arial" w:hAnsi="Arial"/>
          <w:sz w:val="18"/>
          <w:szCs w:val="18"/>
          <w:color w:val="auto"/>
        </w:rPr>
      </w:pPr>
    </w:p>
    <w:p>
      <w:pPr>
        <w:ind w:left="1180" w:hanging="279"/>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1492"/>
        <w:spacing w:after="0" w:line="259" w:lineRule="auto"/>
        <w:tabs>
          <w:tab w:leader="none" w:pos="1708"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Registration or Exemption Required</w:t>
      </w:r>
      <w:r>
        <w:rPr>
          <w:rFonts w:ascii="Arial" w:cs="Arial" w:eastAsia="Arial" w:hAnsi="Arial"/>
          <w:sz w:val="18"/>
          <w:szCs w:val="18"/>
          <w:color w:val="auto"/>
        </w:rPr>
        <w:t>. This Note has been issued in a transaction exempt from the registration requirements of the Securities Act by virtue of Regulation D. None of the Note or the Conversion Shares may be pledged, transferred, sold, assigned, hypothecated or otherwise disposed of except pursuant to an effective registration statement or an exemption to the registration requirements of the Securities Act and applicable state laws including, without limitation, a so-called “4(1) and a half” transaction.</w:t>
      </w:r>
    </w:p>
    <w:p>
      <w:pPr>
        <w:spacing w:after="0" w:line="186" w:lineRule="exact"/>
        <w:rPr>
          <w:rFonts w:ascii="Arial" w:cs="Arial" w:eastAsia="Arial" w:hAnsi="Arial"/>
          <w:sz w:val="18"/>
          <w:szCs w:val="18"/>
          <w:color w:val="auto"/>
        </w:rPr>
      </w:pPr>
    </w:p>
    <w:p>
      <w:pPr>
        <w:ind w:left="-20" w:firstLine="1492"/>
        <w:spacing w:after="0" w:line="285" w:lineRule="auto"/>
        <w:tabs>
          <w:tab w:leader="none" w:pos="1718"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the Holder may sell, transfer, assign, pledge, hypothecate or otherwise dispose of this Note, in whole or in part; provided that (i) the Holder shall deliver a written notice to Company, substantially in the form of the Assignment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indicating the Person or Persons to whom the Note shall be assigned and the respective principal amount of the Note to be assigned to each assignee, (ii) if such transfer is being effected as a so-called “4(1) and a half” transaction or pursuant to Rule 144A, any such transferee Person shall make the representations and agree to the representations set forth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hereto and shall agree to comply with the provisions of Section 2(c)(iii) hereof, (iii) except in the case of any assignment or transfer pursuant to an effective registration statement covering the disposition of the Note or pursuant to Rule 144, the Holder shall deliver to the Company a legal opinion reasonably acceptable to the Company which, in the case of a so-called “4(1) and a half” transaction shall be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(iv) the transferee shall have complied with Section 2.5(d) of the Facility Agreement, and (v) unless an Event of Default shall have occurred and is continuing, no assignment shall be permitted to any (A) Major Pharmaceutical Company and any (B) entity principally engaged in the business of selling insulin or insulin delivery products (an “</w:t>
      </w:r>
      <w:r>
        <w:rPr>
          <w:rFonts w:ascii="Arial" w:cs="Arial" w:eastAsia="Arial" w:hAnsi="Arial"/>
          <w:sz w:val="16"/>
          <w:szCs w:val="16"/>
          <w:b w:val="1"/>
          <w:bCs w:val="1"/>
          <w:color w:val="auto"/>
        </w:rPr>
        <w:t>Applicable Entity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entities that own, directly or indirectly, equity interests in an Applicable Entity as part of a brokerage, insurance business, pension fund (or other benefit fund), investment banking, investment management, investment advisory, lobbying, or publishing business, or (2) any non-profit research or non-profit enterprise, shall not constitute an Applicable Entity, and (v) the Holder shall comply with all additional assignment provisions set forth in Section 6.5 of the Facility Agreement. The Company shall effect the assignment within three (3) business days (the “</w:t>
      </w:r>
      <w:r>
        <w:rPr>
          <w:rFonts w:ascii="Arial" w:cs="Arial" w:eastAsia="Arial" w:hAnsi="Arial"/>
          <w:sz w:val="16"/>
          <w:szCs w:val="16"/>
          <w:b w:val="1"/>
          <w:bCs w:val="1"/>
          <w:color w:val="auto"/>
        </w:rPr>
        <w:t>Transfer Delivery Period</w:t>
      </w:r>
      <w:r>
        <w:rPr>
          <w:rFonts w:ascii="Arial" w:cs="Arial" w:eastAsia="Arial" w:hAnsi="Arial"/>
          <w:sz w:val="16"/>
          <w:szCs w:val="16"/>
          <w:color w:val="auto"/>
        </w:rPr>
        <w:t xml:space="preserve">”), and shall deliver to the assignee(s) designated by Holder a Note or Notes of like tenor and terms for the appropriate principal amount. This Note and the rights evidenced hereby shall inure to the benefit of and be binding upon the successors and assigns of the Holder. The provisions of this Note are intended to be for the benefit of all Holders from time to time of this Note, and shall be enforceable by any such Holder. For avoidance of doubt, in the event Holder notifies the Company that such sale or transfer is a so called “4(1) and a half” transaction, the parties hereto agree that a legal opinion from outside counsel for the Holder delivered to counsel for the Company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be the only requirement to satisfy an exemption from registration under the Securities Act to effectuate such “4(1) and half” transaction.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136" w:name="page137"/>
    <w:bookmarkEnd w:id="136"/>
    <w:p>
      <w:pPr>
        <w:ind w:left="-20" w:firstLine="921"/>
        <w:spacing w:after="0" w:line="279" w:lineRule="auto"/>
        <w:tabs>
          <w:tab w:leader="none" w:pos="115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Collection, Enforcement and Other Costs</w:t>
      </w:r>
      <w:r>
        <w:rPr>
          <w:rFonts w:ascii="Arial" w:cs="Arial" w:eastAsia="Arial" w:hAnsi="Arial"/>
          <w:sz w:val="17"/>
          <w:szCs w:val="17"/>
          <w:color w:val="auto"/>
        </w:rPr>
        <w:t>. If (a) this Note is placed in the hands of an attorney for collection or enforcement or is collected or enforced through any legal proceeding; or (b) an attorney is retained to represent the Holder in any bankruptcy, reorganization, receivership of the Company or other proceedings affecting Company creditors’ rights and involving a claim under this Note, then the Company shall pay the costs incurred by the Holder for such collection, enforcement or action, including reasonable attorneys’ fees and disbursements.</w:t>
      </w:r>
    </w:p>
    <w:p>
      <w:pPr>
        <w:spacing w:after="0" w:line="171" w:lineRule="exact"/>
        <w:rPr>
          <w:rFonts w:ascii="Arial" w:cs="Arial" w:eastAsia="Arial" w:hAnsi="Arial"/>
          <w:sz w:val="17"/>
          <w:szCs w:val="17"/>
          <w:color w:val="auto"/>
        </w:rPr>
      </w:pPr>
    </w:p>
    <w:p>
      <w:pPr>
        <w:ind w:left="-20" w:right="360" w:firstLine="921"/>
        <w:spacing w:after="0" w:line="264" w:lineRule="auto"/>
        <w:tabs>
          <w:tab w:leader="none" w:pos="116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Interest and other amounts at any time owed under, or on account of, this Note have been paid in full or converted into Shares in accordance with the terms hereof, this Note shall automatically be deemed cancelled, shall be surrendered to the Company for cancellation and shall not be reissued.</w:t>
      </w:r>
    </w:p>
    <w:p>
      <w:pPr>
        <w:spacing w:after="0" w:line="181" w:lineRule="exact"/>
        <w:rPr>
          <w:rFonts w:ascii="Arial" w:cs="Arial" w:eastAsia="Arial" w:hAnsi="Arial"/>
          <w:sz w:val="18"/>
          <w:szCs w:val="18"/>
          <w:color w:val="auto"/>
        </w:rPr>
      </w:pPr>
    </w:p>
    <w:p>
      <w:pPr>
        <w:ind w:left="-20" w:right="560" w:firstLine="921"/>
        <w:spacing w:after="0" w:line="277" w:lineRule="auto"/>
        <w:tabs>
          <w:tab w:leader="none" w:pos="116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Registered Note</w:t>
      </w:r>
      <w:r>
        <w:rPr>
          <w:rFonts w:ascii="Arial" w:cs="Arial" w:eastAsia="Arial" w:hAnsi="Arial"/>
          <w:sz w:val="18"/>
          <w:szCs w:val="18"/>
          <w:color w:val="auto"/>
        </w:rPr>
        <w:t>. This Note may be transferred only upon notation of such transfer on the Register, and no assignment thereof shall be effective until recorded therein.</w:t>
      </w:r>
    </w:p>
    <w:p>
      <w:pPr>
        <w:spacing w:after="0" w:line="170" w:lineRule="exact"/>
        <w:rPr>
          <w:rFonts w:ascii="Arial" w:cs="Arial" w:eastAsia="Arial" w:hAnsi="Arial"/>
          <w:sz w:val="18"/>
          <w:szCs w:val="18"/>
          <w:color w:val="auto"/>
        </w:rPr>
      </w:pPr>
    </w:p>
    <w:p>
      <w:pPr>
        <w:ind w:left="-20" w:right="240" w:firstLine="921"/>
        <w:spacing w:after="0" w:line="308" w:lineRule="auto"/>
        <w:tabs>
          <w:tab w:leader="none" w:pos="116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Waiver of Notice</w:t>
      </w:r>
      <w:r>
        <w:rPr>
          <w:rFonts w:ascii="Arial" w:cs="Arial" w:eastAsia="Arial" w:hAnsi="Arial"/>
          <w:sz w:val="17"/>
          <w:szCs w:val="17"/>
          <w:color w:val="auto"/>
        </w:rPr>
        <w:t>. To the extent permitted by law, the Company hereby waives demand, notice, presentment, protest and all other demands and notices in connection with the delivery, acceptance, performance, default or enforcement of this Note and the Facility Agreement.</w:t>
      </w:r>
    </w:p>
    <w:p>
      <w:pPr>
        <w:spacing w:after="0" w:line="146" w:lineRule="exact"/>
        <w:rPr>
          <w:rFonts w:ascii="Arial" w:cs="Arial" w:eastAsia="Arial" w:hAnsi="Arial"/>
          <w:sz w:val="17"/>
          <w:szCs w:val="17"/>
          <w:color w:val="auto"/>
        </w:rPr>
      </w:pPr>
    </w:p>
    <w:p>
      <w:pPr>
        <w:ind w:left="-20" w:right="100" w:firstLine="921"/>
        <w:spacing w:after="0" w:line="287" w:lineRule="auto"/>
        <w:tabs>
          <w:tab w:leader="none" w:pos="116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Note shall be governed by the laws of the State of New York applicable to contracts made and to be performed in such State. All legal proceedings concerning the interpretation and enforcement of this Note shall be commenced exclusively in the state and federal courts sitting in The City of New York. The Company hereby and each Holder (by its acceptance of this Note) irrevocably submits to the exclusive jurisdiction of such courts for the adjudication of any dispute hereunder or in connection herewith or with any transaction contemplated hereby, and hereby irrevocably waives, and agrees not to assert in any suit, action or other proceeding, any claim that it is not personally subject to the jurisdiction of any such court, that such suit, action or other proceeding is improper or is an inconvenient venue for such proceeding. The Company hereby and each Holder (by its acceptance of this Note) irrevocably waives personal service of process and consents to process being served in any such suit, action or other proceeding by mailing a copy thereof via registered or certified mail or overnight delivery (with evidence of delivery) to such person at the address in effect for notices to it under Section 6.1 of the Facility Agreement and agrees that such service shall constitute good and sufficient service of process and notice thereof. Nothing contained herein shall be deemed to limit in any way any right to serve process in any other manner permitted by law. EACH OF THE COMPANY AND THE HOLDER (BY ACCEPTANCE HEREOF) IRREVOCABLY WAIVES THE RIGHT TO A TRIAL BY JURY IN ANY ACTION OR PROCEEDING BROUGHT TO ENFORCE ANY PROVISION OF THIS NOTE OR ANY OTHER TRANSACTION DOCUMENT.</w:t>
      </w:r>
    </w:p>
    <w:p>
      <w:pPr>
        <w:spacing w:after="0" w:line="168" w:lineRule="exact"/>
        <w:rPr>
          <w:rFonts w:ascii="Arial" w:cs="Arial" w:eastAsia="Arial" w:hAnsi="Arial"/>
          <w:sz w:val="16"/>
          <w:szCs w:val="16"/>
          <w:color w:val="auto"/>
        </w:rPr>
      </w:pPr>
    </w:p>
    <w:p>
      <w:pPr>
        <w:ind w:left="-20" w:firstLine="921"/>
        <w:spacing w:after="0" w:line="277" w:lineRule="auto"/>
        <w:tabs>
          <w:tab w:leader="none" w:pos="116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Interpretative Matters</w:t>
      </w:r>
      <w:r>
        <w:rPr>
          <w:rFonts w:ascii="Arial" w:cs="Arial" w:eastAsia="Arial" w:hAnsi="Arial"/>
          <w:sz w:val="18"/>
          <w:szCs w:val="18"/>
          <w:color w:val="auto"/>
        </w:rPr>
        <w:t>. Unless the context otherwise requires, (a) all references to Sections or Exhibits are to Sections or Exhibits contained in or attached to this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4" w:right="259" w:bottom="1440" w:gutter="0" w:footer="0" w:header="0"/>
        </w:sectPr>
      </w:pPr>
    </w:p>
    <w:bookmarkStart w:id="137" w:name="page138"/>
    <w:bookmarkEnd w:id="13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(b) each accounting term not otherwise defined in this Note has the meaning assigned to it in accordance with GAAP, (c) words in the singular or plural include the singular and plural and pronouns stated in either the masculine, the feminine or neuter gender shall include the masculine, feminine and neuter and</w:t>
      </w:r>
    </w:p>
    <w:p>
      <w:pPr>
        <w:ind w:right="140" w:firstLine="8"/>
        <w:spacing w:after="0" w:line="255"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use of the word “including” in this Note shall be by way of example rather than limitation. If a stock split, stock dividend, stock combination or other similar event occurs during any period over which an average price is being determined, then an appropriate adjustment will be made to such average to reflect such event.</w:t>
      </w:r>
    </w:p>
    <w:p>
      <w:pPr>
        <w:spacing w:after="0" w:line="190" w:lineRule="exact"/>
        <w:rPr>
          <w:rFonts w:ascii="Arial" w:cs="Arial" w:eastAsia="Arial" w:hAnsi="Arial"/>
          <w:sz w:val="18"/>
          <w:szCs w:val="18"/>
          <w:color w:val="auto"/>
        </w:rPr>
      </w:pPr>
    </w:p>
    <w:p>
      <w:pPr>
        <w:ind w:right="60" w:firstLine="921"/>
        <w:spacing w:after="0" w:line="255" w:lineRule="auto"/>
        <w:tabs>
          <w:tab w:leader="none" w:pos="1183"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A facsimile, telecopy, PDF or other reproduction of this Note may be delivered by the Company, and an executed copy of this Note may be delivered by the Company by facsimile, e-mail or other similar electronic transmission device pursuant to which the signature of or on behalf of the Company can be seen, and such execution and delivery shall be considered valid, binding and effective for all purposes. The Company hereby agrees that it shall not raise the execution of facsimile, PDF or other reproduction of this Note, or the fact that any signature was transmitted by facsimile, e-mail or other similar electronic transmission device, as a defense to the Company’s execution of this Note. Notwithstanding the foregoing, the Company shall be required to deliver an originally executed Note to the Holder.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 as of the date first set forth above.</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4841240</wp:posOffset>
            </wp:positionH>
            <wp:positionV relativeFrom="paragraph">
              <wp:posOffset>14605</wp:posOffset>
            </wp:positionV>
            <wp:extent cx="21183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4841240</wp:posOffset>
            </wp:positionH>
            <wp:positionV relativeFrom="paragraph">
              <wp:posOffset>14605</wp:posOffset>
            </wp:positionV>
            <wp:extent cx="21183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4841240</wp:posOffset>
            </wp:positionH>
            <wp:positionV relativeFrom="paragraph">
              <wp:posOffset>14605</wp:posOffset>
            </wp:positionV>
            <wp:extent cx="21183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ectPr>
          <w:pgSz w:w="11900" w:h="16838" w:orient="portrait"/>
          <w:cols w:equalWidth="0" w:num="1">
            <w:col w:w="9759"/>
          </w:cols>
          <w:pgMar w:left="700" w:top="274" w:right="1440"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Reference is made to the Senior Secured Convertible Note (the “</w:t>
      </w:r>
      <w:r>
        <w:rPr>
          <w:rFonts w:ascii="Arial" w:cs="Arial" w:eastAsia="Arial" w:hAnsi="Arial"/>
          <w:sz w:val="18"/>
          <w:szCs w:val="18"/>
          <w:b w:val="1"/>
          <w:bCs w:val="1"/>
          <w:color w:val="auto"/>
        </w:rPr>
        <w:t>Note</w:t>
      </w:r>
      <w:r>
        <w:rPr>
          <w:rFonts w:ascii="Arial" w:cs="Arial" w:eastAsia="Arial" w:hAnsi="Arial"/>
          <w:sz w:val="18"/>
          <w:szCs w:val="18"/>
          <w:color w:val="auto"/>
        </w:rPr>
        <w:t xml:space="preserve">”) of </w:t>
      </w:r>
      <w:r>
        <w:rPr>
          <w:rFonts w:ascii="Arial" w:cs="Arial" w:eastAsia="Arial" w:hAnsi="Arial"/>
          <w:sz w:val="18"/>
          <w:szCs w:val="18"/>
          <w:b w:val="1"/>
          <w:bCs w:val="1"/>
          <w:color w:val="auto"/>
        </w:rPr>
        <w:t>MANNKIND CORPORATION</w:t>
      </w:r>
      <w:r>
        <w:rPr>
          <w:rFonts w:ascii="Arial" w:cs="Arial" w:eastAsia="Arial" w:hAnsi="Arial"/>
          <w:sz w:val="18"/>
          <w:szCs w:val="18"/>
          <w:color w:val="auto"/>
        </w:rPr>
        <w:t>, a Delaware corporation (the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 the original principal amount of $[ ]. In accordance with and pursuant to the Note, the undersigned hereby elects to convert the Conversion Amount (as defined in the Note) of the Note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Company, as of the date specified below.</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-10160</wp:posOffset>
            </wp:positionV>
            <wp:extent cx="571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Conversion Amount to be converted at the Conversion Price (as defined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18694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Principal, applicable thereto,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14605</wp:posOffset>
            </wp:positionV>
            <wp:extent cx="43135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57886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14605</wp:posOffset>
            </wp:positionV>
            <wp:extent cx="4330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2261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14605</wp:posOffset>
            </wp:positionV>
            <wp:extent cx="57283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wp:posOffset>
            </wp:positionV>
            <wp:extent cx="2058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wp:posOffset>
            </wp:positionV>
            <wp:extent cx="20580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wp:posOffset>
            </wp:positionV>
            <wp:extent cx="20580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5298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Participant Number and Name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370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14605</wp:posOffset>
            </wp:positionV>
            <wp:extent cx="42367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Conversion Notice and hereby directs [TRANSFER AGENT] to issue the above indicated number of shares of Common Stock.</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14605</wp:posOffset>
            </wp:positionV>
            <wp:extent cx="21183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14605</wp:posOffset>
            </wp:positionV>
            <wp:extent cx="21183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14605</wp:posOffset>
            </wp:positionV>
            <wp:extent cx="21183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desiring to transfer the Note)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of the attached Senior Secured Convertible Note (the “</w:t>
      </w:r>
      <w:r>
        <w:rPr>
          <w:rFonts w:ascii="Arial" w:cs="Arial" w:eastAsia="Arial" w:hAnsi="Arial"/>
          <w:sz w:val="16"/>
          <w:szCs w:val="16"/>
          <w:b w:val="1"/>
          <w:bCs w:val="1"/>
          <w:color w:val="auto"/>
        </w:rPr>
        <w:t>Note</w:t>
      </w:r>
      <w:r>
        <w:rPr>
          <w:rFonts w:ascii="Arial" w:cs="Arial" w:eastAsia="Arial" w:hAnsi="Arial"/>
          <w:sz w:val="16"/>
          <w:szCs w:val="16"/>
          <w:color w:val="auto"/>
        </w:rPr>
        <w:t>”) hereby sells, assigns and transfers unto the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5"/>
          </w:tcPr>
          <w:p>
            <w:pPr>
              <w:spacing w:after="0"/>
              <w:rPr>
                <w:sz w:val="20"/>
                <w:szCs w:val="20"/>
                <w:color w:val="auto"/>
              </w:rPr>
            </w:pPr>
            <w:r>
              <w:rPr>
                <w:rFonts w:ascii="Arial" w:cs="Arial" w:eastAsia="Arial" w:hAnsi="Arial"/>
                <w:sz w:val="18"/>
                <w:szCs w:val="18"/>
                <w:color w:val="auto"/>
                <w:w w:val="91"/>
              </w:rPr>
              <w:t>person or persons below named the right to receive the principal amount of $</w:t>
            </w:r>
          </w:p>
        </w:tc>
        <w:tc>
          <w:tcPr>
            <w:tcW w:w="340" w:type="dxa"/>
            <w:vAlign w:val="bottom"/>
          </w:tcPr>
          <w:p>
            <w:pPr>
              <w:spacing w:after="0"/>
              <w:rPr>
                <w:sz w:val="17"/>
                <w:szCs w:val="17"/>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w w:val="93"/>
              </w:rPr>
              <w:t>from Mannkind Corporation, a Delaware corporation, evidenced by the</w:t>
            </w: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rPr>
              <w:t>attached Note and does hereby irrevocably constitute and appoint</w:t>
            </w:r>
          </w:p>
        </w:tc>
        <w:tc>
          <w:tcPr>
            <w:tcW w:w="5800" w:type="dxa"/>
            <w:vAlign w:val="bottom"/>
            <w:gridSpan w:val="2"/>
          </w:tcPr>
          <w:p>
            <w:pPr>
              <w:ind w:left="80"/>
              <w:spacing w:after="0"/>
              <w:rPr>
                <w:sz w:val="20"/>
                <w:szCs w:val="20"/>
                <w:color w:val="auto"/>
              </w:rPr>
            </w:pPr>
            <w:r>
              <w:rPr>
                <w:rFonts w:ascii="Arial" w:cs="Arial" w:eastAsia="Arial" w:hAnsi="Arial"/>
                <w:sz w:val="18"/>
                <w:szCs w:val="18"/>
                <w:color w:val="auto"/>
                <w:w w:val="99"/>
              </w:rPr>
              <w:t>attorney to transfer the said Note on the books of the Company, with full</w:t>
            </w: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power of substitution in the premises.</w:t>
            </w: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459"/>
        </w:trPr>
        <w:tc>
          <w:tcPr>
            <w:tcW w:w="5620" w:type="dxa"/>
            <w:vAlign w:val="bottom"/>
            <w:gridSpan w:val="5"/>
          </w:tcPr>
          <w:p>
            <w:pPr>
              <w:spacing w:after="0"/>
              <w:rPr>
                <w:sz w:val="20"/>
                <w:szCs w:val="20"/>
                <w:color w:val="auto"/>
              </w:rPr>
            </w:pPr>
            <w:r>
              <w:rPr>
                <w:rFonts w:ascii="Arial" w:cs="Arial" w:eastAsia="Arial" w:hAnsi="Arial"/>
                <w:sz w:val="18"/>
                <w:szCs w:val="18"/>
                <w:color w:val="auto"/>
              </w:rPr>
              <w:t>Dated:</w:t>
            </w: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5620" w:type="dxa"/>
            <w:vAlign w:val="bottom"/>
            <w:gridSpan w:val="5"/>
          </w:tcPr>
          <w:p>
            <w:pPr>
              <w:spacing w:after="0"/>
              <w:rPr>
                <w:sz w:val="20"/>
                <w:szCs w:val="20"/>
                <w:color w:val="auto"/>
              </w:rPr>
            </w:pPr>
            <w:r>
              <w:rPr>
                <w:rFonts w:ascii="Arial" w:cs="Arial" w:eastAsia="Arial" w:hAnsi="Arial"/>
                <w:sz w:val="18"/>
                <w:szCs w:val="18"/>
                <w:color w:val="auto"/>
              </w:rPr>
              <w:t>Fill in for new registration of Note:</w:t>
            </w: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87"/>
              </w:rPr>
              <w:t>Name</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98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8"/>
                <w:szCs w:val="18"/>
                <w:color w:val="auto"/>
                <w:w w:val="87"/>
              </w:rPr>
              <w:t>Address</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1"/>
        </w:trPr>
        <w:tc>
          <w:tcPr>
            <w:tcW w:w="562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Please print name and address of assignee</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(including zip code number)</w:t>
            </w:r>
          </w:p>
        </w:tc>
        <w:tc>
          <w:tcPr>
            <w:tcW w:w="340" w:type="dxa"/>
            <w:vAlign w:val="bottom"/>
          </w:tcPr>
          <w:p>
            <w:pPr>
              <w:spacing w:after="0"/>
              <w:rPr>
                <w:sz w:val="20"/>
                <w:szCs w:val="20"/>
                <w:color w:val="auto"/>
              </w:rPr>
            </w:pPr>
          </w:p>
        </w:tc>
        <w:tc>
          <w:tcPr>
            <w:tcW w:w="5460" w:type="dxa"/>
            <w:vAlign w:val="bottom"/>
          </w:tcPr>
          <w:p>
            <w:pPr>
              <w:spacing w:after="0"/>
              <w:rPr>
                <w:sz w:val="20"/>
                <w:szCs w:val="20"/>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signature to the foregoing Assignment must correspond to the name as written upon the face of the attached Note in every particular, without alteration or enlargement or any change whatsoever.</w:t>
      </w:r>
    </w:p>
    <w:p>
      <w:pPr>
        <w:sectPr>
          <w:pgSz w:w="11900" w:h="16838" w:orient="portrait"/>
          <w:cols w:equalWidth="0" w:num="1">
            <w:col w:w="11420"/>
          </w:cols>
          <w:pgMar w:left="240" w:top="270"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INVESTOR REPRESENTATION LETTER]</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270"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0" w:space="720"/>
            <w:col w:w="10460"/>
          </w:cols>
          <w:pgMar w:left="240" w:top="27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100" w:firstLine="945"/>
        <w:spacing w:after="0" w:line="258" w:lineRule="auto"/>
        <w:rPr>
          <w:sz w:val="20"/>
          <w:szCs w:val="20"/>
          <w:color w:val="auto"/>
        </w:rPr>
      </w:pPr>
      <w:r>
        <w:rPr>
          <w:rFonts w:ascii="Arial" w:cs="Arial" w:eastAsia="Arial" w:hAnsi="Arial"/>
          <w:sz w:val="18"/>
          <w:szCs w:val="18"/>
          <w:color w:val="auto"/>
        </w:rPr>
        <w:t>(“ ”) has agreed to purchase $ principal amount of Senior Secured Convertible Note (the “Note”) of [ ] (the “Company”) from [ ] (“[ ]”). We understand that the Note is a “restricted security.” We represent and warrant that is a sophisticated institutional</w:t>
      </w:r>
    </w:p>
    <w:p>
      <w:pPr>
        <w:sectPr>
          <w:pgSz w:w="11900" w:h="16838" w:orient="portrait"/>
          <w:cols w:equalWidth="0" w:num="1">
            <w:col w:w="11420"/>
          </w:cols>
          <w:pgMar w:left="240" w:top="270" w:right="239" w:bottom="1440" w:gutter="0" w:footer="0" w:header="0"/>
          <w:type w:val="continuous"/>
        </w:sectPr>
      </w:pP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investor that would qualify as an “Accredited Investor” as defined in Rule 501 of Regulation D under the Securities Act of 1933, as amended (the “Securities Act”).</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represents and warrants as of the date hereof as follows:</w:t>
      </w:r>
    </w:p>
    <w:p>
      <w:pPr>
        <w:spacing w:after="0" w:line="117" w:lineRule="exact"/>
        <w:rPr>
          <w:sz w:val="20"/>
          <w:szCs w:val="20"/>
          <w:color w:val="auto"/>
        </w:rPr>
      </w:pPr>
    </w:p>
    <w:p>
      <w:pPr>
        <w:jc w:val="both"/>
        <w:ind w:left="460" w:firstLine="4"/>
        <w:spacing w:after="0" w:line="288" w:lineRule="auto"/>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That it is acquiring the Note and the shares of common stock, $0.01 par value per share underlying such Note (the “Conversion Shares”) solely for its account for investment and not with a view to or for sale or distribution of said Note or Conversion Shares or any part thereof in violation of applicable securities laws, except pursuant to sales registered or exempted under the Securities Act; provided, however, that by making the representations herein,</w:t>
      </w:r>
    </w:p>
    <w:p>
      <w:pPr>
        <w:ind w:left="460" w:right="240" w:firstLine="585"/>
        <w:spacing w:after="0" w:line="281" w:lineRule="auto"/>
        <w:rPr>
          <w:rFonts w:ascii="Arial" w:cs="Arial" w:eastAsia="Arial" w:hAnsi="Arial"/>
          <w:sz w:val="16"/>
          <w:szCs w:val="16"/>
          <w:color w:val="auto"/>
        </w:rPr>
      </w:pPr>
      <w:r>
        <w:rPr>
          <w:rFonts w:ascii="Arial" w:cs="Arial" w:eastAsia="Arial" w:hAnsi="Arial"/>
          <w:sz w:val="16"/>
          <w:szCs w:val="16"/>
          <w:color w:val="auto"/>
        </w:rPr>
        <w:t>does not agree, or make any representation or warranty, to hold any of the securities for any minimum or other specific term and reserves the right to dispose of the securities at any time in accordance with or pursuant to a registration statement or an exemption under the Securities Act. does not presently have any agreement or understanding, directly or indirectly, with any Person to distribute the Note or the Conversion Shares in</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violation of applicable securities laws. As used in this Agreement, “</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w:t>
      </w:r>
    </w:p>
    <w:p>
      <w:pPr>
        <w:spacing w:after="0" w:line="204"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venture, a corporation, a trust, an unincorporated organization and a government or any department or agency thereof. also represents that the entire legal and beneficial interests of the Note and Conversion Shares is acquiring is being acquired for, and will be held for, its account only;</w:t>
      </w:r>
    </w:p>
    <w:p>
      <w:pPr>
        <w:spacing w:after="0" w:line="73" w:lineRule="exact"/>
        <w:rPr>
          <w:sz w:val="20"/>
          <w:szCs w:val="20"/>
          <w:color w:val="auto"/>
        </w:rPr>
      </w:pPr>
    </w:p>
    <w:p>
      <w:pPr>
        <w:ind w:left="1180" w:hanging="716"/>
        <w:spacing w:after="0"/>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understands that the Notes and the Conversion Shares have not been registered under the Securities Act in reliance on specific exemptions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from the registration requirements of United States federal and state securities laws and in reliance in part upon the truth and accuracy of, and such</w:t>
      </w:r>
    </w:p>
    <w:p>
      <w:pPr>
        <w:spacing w:after="0" w:line="248" w:lineRule="exact"/>
        <w:rPr>
          <w:sz w:val="20"/>
          <w:szCs w:val="20"/>
          <w:color w:val="auto"/>
        </w:rPr>
      </w:pPr>
    </w:p>
    <w:p>
      <w:pPr>
        <w:ind w:left="460" w:right="360" w:firstLine="540"/>
        <w:spacing w:after="0" w:line="277" w:lineRule="auto"/>
        <w:rPr>
          <w:sz w:val="20"/>
          <w:szCs w:val="20"/>
          <w:color w:val="auto"/>
        </w:rPr>
      </w:pPr>
      <w:r>
        <w:rPr>
          <w:rFonts w:ascii="Arial" w:cs="Arial" w:eastAsia="Arial" w:hAnsi="Arial"/>
          <w:sz w:val="18"/>
          <w:szCs w:val="18"/>
          <w:color w:val="auto"/>
        </w:rPr>
        <w:t>’s compliance with, the representations, warranties, agreements, acknowledgments and understandings of set forth herein in order to determine the availability of such exemptions and the eligibility of to acquire the securities.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 That the Note and the Conversion Shares must be held indefinitely unless they are subsequently registered under the Securities Act or an exemption</w:t>
      </w:r>
    </w:p>
    <w:p>
      <w:pPr>
        <w:spacing w:after="0" w:line="46"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from such registration is available. recognizes that the Company has no obligation to register the Note, or to comply with any exemption from such registration;</w:t>
      </w:r>
    </w:p>
    <w:p>
      <w:pPr>
        <w:sectPr>
          <w:pgSz w:w="11900" w:h="16838" w:orient="portrait"/>
          <w:cols w:equalWidth="0" w:num="1">
            <w:col w:w="11420"/>
          </w:cols>
          <w:pgMar w:left="240" w:top="270" w:right="239" w:bottom="1440" w:gutter="0" w:footer="0" w:header="0"/>
          <w:type w:val="continuous"/>
        </w:sectPr>
      </w:pPr>
    </w:p>
    <w:bookmarkStart w:id="143" w:name="page144"/>
    <w:bookmarkEnd w:id="143"/>
    <w:p>
      <w:pPr>
        <w:ind w:left="-4" w:firstLine="4"/>
        <w:spacing w:after="0" w:line="264"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neither the Note nor the Conversion Shares may be sold pursuant to Rule 144 adopted under the Securities Act unless certain conditions are met, including, among other things, the existence of a public market for the shares, the availability of certain current public information about the Company, the resale following the required holding period under Rule 144;</w:t>
      </w:r>
    </w:p>
    <w:p>
      <w:pPr>
        <w:spacing w:after="0" w:line="73" w:lineRule="exact"/>
        <w:rPr>
          <w:rFonts w:ascii="Arial" w:cs="Arial" w:eastAsia="Arial" w:hAnsi="Arial"/>
          <w:sz w:val="18"/>
          <w:szCs w:val="18"/>
          <w:color w:val="auto"/>
        </w:rPr>
      </w:pPr>
    </w:p>
    <w:p>
      <w:pPr>
        <w:ind w:left="176" w:hanging="176"/>
        <w:spacing w:after="0"/>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is an “accredited investor” as defined in Regulation D promulgated under the Securities Act;</w:t>
      </w:r>
    </w:p>
    <w:p>
      <w:pPr>
        <w:sectPr>
          <w:pgSz w:w="11900" w:h="16838" w:orient="portrait"/>
          <w:cols w:equalWidth="0" w:num="1">
            <w:col w:w="10616"/>
          </w:cols>
          <w:pgMar w:left="704" w:top="274" w:right="579"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That it will not make any disposition of all or any part of the Note or Conversion Shares in any event unless and until:</w:t>
      </w:r>
    </w:p>
    <w:p>
      <w:pPr>
        <w:spacing w:after="0" w:line="11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(i) The Company shall have received a letter secured by from the Securities and Exchange Commission stating that no action will be recommended to the Securities and Exchange Commission with respect to the proposed disposition;</w:t>
      </w:r>
    </w:p>
    <w:p>
      <w:pPr>
        <w:spacing w:after="0" w:line="62" w:lineRule="exact"/>
        <w:rPr>
          <w:sz w:val="20"/>
          <w:szCs w:val="20"/>
          <w:color w:val="auto"/>
        </w:rPr>
      </w:pPr>
    </w:p>
    <w:p>
      <w:pPr>
        <w:ind w:left="920" w:right="260" w:firstLine="1"/>
        <w:spacing w:after="0" w:line="277" w:lineRule="auto"/>
        <w:tabs>
          <w:tab w:leader="none" w:pos="11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said registration statement; or</w:t>
      </w:r>
    </w:p>
    <w:p>
      <w:pPr>
        <w:spacing w:after="0" w:line="62" w:lineRule="exact"/>
        <w:rPr>
          <w:rFonts w:ascii="Arial" w:cs="Arial" w:eastAsia="Arial" w:hAnsi="Arial"/>
          <w:sz w:val="18"/>
          <w:szCs w:val="18"/>
          <w:color w:val="auto"/>
        </w:rPr>
      </w:pPr>
    </w:p>
    <w:p>
      <w:pPr>
        <w:ind w:left="920" w:right="420" w:firstLine="1"/>
        <w:spacing w:after="0" w:line="342" w:lineRule="auto"/>
        <w:tabs>
          <w:tab w:leader="none" w:pos="1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shall have notified the Company of the proposed disposition and, in the case of a sale or transfer in a so called “4(1) and a half” transaction, shall have furnished counsel to the Company with an opinion of counsel, reasonably satisfactory to counsel to the Company.</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acknowledge that the Company will place stop orders with respect to the Note and the Conversion Shares, and if a registration statement is not effective, the Conversion Shares shall bear the following restrictive legend:</w:t>
      </w:r>
    </w:p>
    <w:p>
      <w:pPr>
        <w:spacing w:after="0" w:line="62"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At any time and from time to time after the date hereof, shall, without further consideration, execute and deliver to [ ] or the Company such other instruments or documents and shall take such other actions as they may reasonably request to carry out the transactions contemplated hereby.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274" w:right="239" w:bottom="1440" w:gutter="0" w:footer="0" w:header="0"/>
        </w:sectPr>
      </w:pPr>
    </w:p>
    <w:bookmarkStart w:id="145" w:name="page146"/>
    <w:bookmarkEnd w:id="145"/>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OPINION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left="960" w:hanging="95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Mannkind Corporation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 ] (“[ ]”) intends to transfer its Senior Secured Convertible Note in the principal amount of $ (the “Note”) of the Company to (“ ”) without registration under the Securities Act of 1933, as amended (the “Securities Act”). In connection herewith, we have examined such documents and issues of law as we have deemed relevant.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and subject to the foregoing, we are of the opinion that the transfer of the Note by to may be effected without registration under the Securities Act, provided, however, that the Note to be transferred to contain a legend restricting its transferability pursuant to the Securities Act and that transfer of the Note is subject to a stop order.</w:t>
      </w:r>
    </w:p>
    <w:p>
      <w:pPr>
        <w:spacing w:after="0" w:line="181"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The foregoing opinion is furnished only to</w:t>
      </w:r>
      <w:r>
        <w:rPr>
          <w:sz w:val="20"/>
          <w:szCs w:val="20"/>
          <w:color w:val="auto"/>
        </w:rPr>
        <w:tab/>
      </w:r>
      <w:r>
        <w:rPr>
          <w:rFonts w:ascii="Arial" w:cs="Arial" w:eastAsia="Arial" w:hAnsi="Arial"/>
          <w:sz w:val="16"/>
          <w:szCs w:val="16"/>
          <w:color w:val="auto"/>
        </w:rPr>
        <w:t>and may not be used, circulated, quoted or otherwise referred to or relied upon by you for any</w:t>
      </w:r>
    </w:p>
    <w:p>
      <w:pPr>
        <w:spacing w:after="0" w:line="23" w:lineRule="exact"/>
        <w:rPr>
          <w:sz w:val="20"/>
          <w:szCs w:val="20"/>
          <w:color w:val="auto"/>
        </w:rPr>
      </w:pPr>
    </w:p>
    <w:p>
      <w:pPr>
        <w:ind w:right="2200"/>
        <w:spacing w:after="0" w:line="511" w:lineRule="auto"/>
        <w:rPr>
          <w:sz w:val="20"/>
          <w:szCs w:val="20"/>
          <w:color w:val="auto"/>
        </w:rPr>
      </w:pPr>
      <w:r>
        <w:rPr>
          <w:rFonts w:ascii="Arial" w:cs="Arial" w:eastAsia="Arial" w:hAnsi="Arial"/>
          <w:sz w:val="18"/>
          <w:szCs w:val="18"/>
          <w:color w:val="auto"/>
        </w:rPr>
        <w:t>purposes other than the purpose for which furnished or by any other person for any purpose, without our prior written consent. Very truly yours,</w:t>
      </w:r>
    </w:p>
    <w:p>
      <w:pPr>
        <w:sectPr>
          <w:pgSz w:w="11900" w:h="16838" w:orient="portrait"/>
          <w:cols w:equalWidth="0" w:num="1">
            <w:col w:w="11320"/>
          </w:cols>
          <w:pgMar w:left="240" w:top="27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00785" cy="4546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78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Sean M. Clayton</w:t>
      </w:r>
    </w:p>
    <w:p>
      <w:pPr>
        <w:spacing w:after="0" w:line="23" w:lineRule="exact"/>
        <w:rPr>
          <w:sz w:val="20"/>
          <w:szCs w:val="20"/>
          <w:color w:val="auto"/>
        </w:rPr>
      </w:pPr>
    </w:p>
    <w:p>
      <w:pPr>
        <w:ind w:right="9820" w:firstLine="8"/>
        <w:spacing w:after="0" w:line="323" w:lineRule="auto"/>
        <w:tabs>
          <w:tab w:leader="none" w:pos="196" w:val="left"/>
        </w:tabs>
        <w:numPr>
          <w:ilvl w:val="0"/>
          <w:numId w:val="66"/>
        </w:numPr>
        <w:rPr>
          <w:rFonts w:ascii="Arial" w:cs="Arial" w:eastAsia="Arial" w:hAnsi="Arial"/>
          <w:sz w:val="16"/>
          <w:szCs w:val="16"/>
          <w:color w:val="auto"/>
        </w:rPr>
      </w:pPr>
      <w:r>
        <w:rPr>
          <w:rFonts w:ascii="Arial" w:cs="Arial" w:eastAsia="Arial" w:hAnsi="Arial"/>
          <w:sz w:val="16"/>
          <w:szCs w:val="16"/>
          <w:color w:val="auto"/>
        </w:rPr>
        <w:t>+1 858 550 6034 sclayton@cooley.com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 91355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You have requested our opinion, as counsel to MannKind Corporation,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respect to certain matters in connection with the offering by the Company of the lesser of (i) $50,000,000 of shares or (ii) 25,000,000 shares of the Company’s common stock, par value $0.01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pursuant to a Registration Statement on Form S-3 (No. 333-183679)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filed with the Securities and Exchange Commission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i w:val="1"/>
          <w:iCs w:val="1"/>
          <w:color w:val="auto"/>
        </w:rPr>
        <w: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i w:val="1"/>
          <w:iCs w:val="1"/>
          <w:color w:val="auto"/>
        </w:rPr>
        <w:t>”</w:t>
      </w:r>
      <w:r>
        <w:rPr>
          <w:rFonts w:ascii="Arial" w:cs="Arial" w:eastAsia="Arial" w:hAnsi="Arial"/>
          <w:sz w:val="16"/>
          <w:szCs w:val="16"/>
          <w:color w:val="auto"/>
        </w:rPr>
        <w:t>), the prospectus included within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prospectus supplement dated March 3, 2014, filed with the Commission pursuant to Rule 424(b) of the Rules and Regulations of the Act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The Base Prospectus and the Prospectus Supplement are collectively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in accordance with (i) an At-The-Market Issuance Sales Agreement, dated March 3, 2014, between the Company and MLV &amp; Co. LLC (the “</w:t>
      </w:r>
      <w:r>
        <w:rPr>
          <w:rFonts w:ascii="Arial" w:cs="Arial" w:eastAsia="Arial" w:hAnsi="Arial"/>
          <w:sz w:val="16"/>
          <w:szCs w:val="16"/>
          <w:b w:val="1"/>
          <w:bCs w:val="1"/>
          <w:i w:val="1"/>
          <w:iCs w:val="1"/>
          <w:color w:val="auto"/>
        </w:rPr>
        <w:t>MLV Agreement</w:t>
      </w:r>
      <w:r>
        <w:rPr>
          <w:rFonts w:ascii="Arial" w:cs="Arial" w:eastAsia="Arial" w:hAnsi="Arial"/>
          <w:sz w:val="16"/>
          <w:szCs w:val="16"/>
          <w:color w:val="auto"/>
        </w:rPr>
        <w:t>”) and (ii) an At-The-Market Issuance Sales Agreement, dated March 3, 2014, between the Company and Meyers Associates, L.P. (doing business as Brinson Patrick, a division of Meyers Associates, L.P.) (the “</w:t>
      </w:r>
      <w:r>
        <w:rPr>
          <w:rFonts w:ascii="Arial" w:cs="Arial" w:eastAsia="Arial" w:hAnsi="Arial"/>
          <w:sz w:val="16"/>
          <w:szCs w:val="16"/>
          <w:b w:val="1"/>
          <w:bCs w:val="1"/>
          <w:i w:val="1"/>
          <w:iCs w:val="1"/>
          <w:color w:val="auto"/>
        </w:rPr>
        <w:t>Brinson Patrick Agreement</w:t>
      </w:r>
      <w:r>
        <w:rPr>
          <w:rFonts w:ascii="Arial" w:cs="Arial" w:eastAsia="Arial" w:hAnsi="Arial"/>
          <w:sz w:val="16"/>
          <w:szCs w:val="16"/>
          <w:color w:val="auto"/>
        </w:rPr>
        <w:t>”), as described in the Prospectus.</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this opinion, we have examined and relied upon the Registration Statement and the Prospectus, the MLV Agreement, the Brinson Patrick Agreement, the Company’s Amended and Restated Certificate of Incorporation, as amended, its Amended and Restated Bylaws, and the originals or copies certified to our satisfaction of such records, documents, certificates, memoranda and other instruments as in our judgment are necessary or appropriate to enable us to render the opinion expressed below. In rendering this opinion, we have assumed the genuineness and authenticity of all signatures on original documents; the genuineness and authenticity of all documents submitted to us as originals; the conformity to originals of all documents submitted to us as copies; and the accuracy, completeness and authenticity of certificates of public officials.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opinion herein is expressed solely with respect to the federal laws of the United States of America and the General Corporation Law of the State of Delaware. Our opinion is based on these laws as in effect on the date hereof. We express no opinion as to whether the laws of any particular jurisdiction other than those identified above are applicable to the subject matter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4401 EASTGATE MALL, SAN DIEGO, CA 92121 T: (858) 550-6000 F: (858) 550-6420 WWW.COOLEY.COM</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in accordance with the MLV Agreement or the Brinson Patrick Agreement, as applicable, the Registration Statement and the Prospectus, will be validly issued, fully paid and nonassessable.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the Company’s Annual Report on Form 10-K for the year ended December 31, 2013 to be filed with the Commission for incorporation by reference into the Registration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Cooley </w:t>
      </w:r>
      <w:r>
        <w:rPr>
          <w:rFonts w:ascii="Arial" w:cs="Arial" w:eastAsia="Arial" w:hAnsi="Arial"/>
          <w:sz w:val="15"/>
          <w:szCs w:val="15"/>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Sean M.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Sean M. Clayton</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4401 EASTGATE MALL, SAN DIEGO, CA 92121 T: (858) 550-6000 F: (858) 550-6420 WWW.COOLEY.COM</w:t>
      </w:r>
    </w:p>
    <w:p>
      <w:pPr>
        <w:sectPr>
          <w:pgSz w:w="11900" w:h="16838" w:orient="portrait"/>
          <w:cols w:equalWidth="0" w:num="1">
            <w:col w:w="11160"/>
          </w:cols>
          <w:pgMar w:left="240" w:top="274" w:right="4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At-The-Market Issuance Sales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3,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MLV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MannKind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MLV &amp; Co. LLC (“</w:t>
      </w:r>
      <w:r>
        <w:rPr>
          <w:rFonts w:ascii="Arial" w:cs="Arial" w:eastAsia="Arial" w:hAnsi="Arial"/>
          <w:sz w:val="18"/>
          <w:szCs w:val="18"/>
          <w:u w:val="single" w:color="auto"/>
          <w:color w:val="auto"/>
        </w:rPr>
        <w:t>MLV</w:t>
      </w:r>
      <w:r>
        <w:rPr>
          <w:rFonts w:ascii="Arial" w:cs="Arial" w:eastAsia="Arial" w:hAnsi="Arial"/>
          <w:sz w:val="18"/>
          <w:szCs w:val="18"/>
          <w:color w:val="auto"/>
        </w:rPr>
        <w:t>”), as follows:</w:t>
      </w:r>
    </w:p>
    <w:p>
      <w:pPr>
        <w:spacing w:after="0" w:line="170" w:lineRule="exact"/>
        <w:rPr>
          <w:sz w:val="20"/>
          <w:szCs w:val="20"/>
          <w:color w:val="auto"/>
        </w:rPr>
      </w:pPr>
    </w:p>
    <w:p>
      <w:pPr>
        <w:ind w:right="240" w:firstLine="464"/>
        <w:spacing w:after="0" w:line="285" w:lineRule="auto"/>
        <w:tabs>
          <w:tab w:leader="none" w:pos="636"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MLV, shares (the “</w:t>
      </w:r>
      <w:r>
        <w:rPr>
          <w:rFonts w:ascii="Arial" w:cs="Arial" w:eastAsia="Arial" w:hAnsi="Arial"/>
          <w:sz w:val="16"/>
          <w:szCs w:val="16"/>
          <w:u w:val="single" w:color="auto"/>
          <w:color w:val="auto"/>
        </w:rPr>
        <w:t>Placement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up to an aggregate offering price of $50,000,000 less the aggregate offering price of any Common Stock sold pursuant to the Concurrent Facility Agreement (as defined below),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the Company issue or sell through MLV such number of Placement Shares that (a) would cause the Company to not satisfy the eligibility requirements for use of Form S-3 (including Instruction I.B.6. thereof),</w:t>
      </w:r>
    </w:p>
    <w:p>
      <w:pPr>
        <w:spacing w:after="0" w:line="2" w:lineRule="exact"/>
        <w:rPr>
          <w:rFonts w:ascii="Arial" w:cs="Arial" w:eastAsia="Arial" w:hAnsi="Arial"/>
          <w:sz w:val="16"/>
          <w:szCs w:val="16"/>
          <w:color w:val="auto"/>
        </w:rPr>
      </w:pPr>
    </w:p>
    <w:p>
      <w:pPr>
        <w:ind w:right="40" w:firstLine="8"/>
        <w:spacing w:after="0" w:line="269" w:lineRule="auto"/>
        <w:tabs>
          <w:tab w:leader="none" w:pos="2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exceeds the number of shares of Common Stock registered on the effective Registration Statement (as defined below) pursuant to which the offering is being made or (c) exceeds the number of authorized but unissued shares of the Company’s Common Stock (the lesser of (a), (b) and (c), the “</w:t>
      </w:r>
      <w:r>
        <w:rPr>
          <w:rFonts w:ascii="Arial" w:cs="Arial" w:eastAsia="Arial" w:hAnsi="Arial"/>
          <w:sz w:val="17"/>
          <w:szCs w:val="17"/>
          <w:u w:val="single" w:color="auto"/>
          <w:color w:val="auto"/>
        </w:rPr>
        <w:t>Maximum</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MLV shall have no obligation in connection with such compliance. The issuance and sale of Placement Shares through MLV will be effected pursuant to the Registration Statement filed by the Company and declared effective by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although nothing in this Agreement shall be construed as requiring the Company to use the Registration Statement to issue any Placement Shares.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Company has filed, in accordance with the provisions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and regulations thereunder (the “</w:t>
      </w:r>
      <w:r>
        <w:rPr>
          <w:rFonts w:ascii="Arial" w:cs="Arial" w:eastAsia="Arial" w:hAnsi="Arial"/>
          <w:sz w:val="16"/>
          <w:szCs w:val="16"/>
          <w:u w:val="single" w:color="auto"/>
          <w:color w:val="auto"/>
        </w:rPr>
        <w:t>Securities Act Regulations</w:t>
      </w:r>
      <w:r>
        <w:rPr>
          <w:rFonts w:ascii="Arial" w:cs="Arial" w:eastAsia="Arial" w:hAnsi="Arial"/>
          <w:sz w:val="16"/>
          <w:szCs w:val="16"/>
          <w:color w:val="auto"/>
        </w:rPr>
        <w:t>”), with the Commission a registration statement on Form S-3 (File No. 333-183679), including a base prospectus, relating to certain securities, including the Placement Shares to be issued from time to time by the Company, and which incorporates by reference</w:t>
      </w:r>
    </w:p>
    <w:p>
      <w:pPr>
        <w:sectPr>
          <w:pgSz w:w="11900" w:h="16838" w:orient="portrait"/>
          <w:cols w:equalWidth="0" w:num="1">
            <w:col w:w="11420"/>
          </w:cols>
          <w:pgMar w:left="240" w:top="121" w:right="2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that the Company has filed or will file in accordance with the provisions of the Securities Exchange Act of 1934, as amended (the “</w:t>
      </w:r>
      <w:r>
        <w:rPr>
          <w:rFonts w:ascii="Arial" w:cs="Arial" w:eastAsia="Arial" w:hAnsi="Arial"/>
          <w:sz w:val="16"/>
          <w:szCs w:val="16"/>
          <w:u w:val="single" w:color="auto"/>
          <w:color w:val="auto"/>
        </w:rPr>
        <w:t>Exchange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and the rules and regulations thereunder. The Company has prepared a prospectus supplement specifically relating to the Placement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MLV, for use by MLV, copies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prospectus included as part of such registration statement, as supplemented by the Prospectus Supplement, relating to the Placement Shares.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where the context otherwise requires, such registration statement, including all documents filed as part thereof or incorporated by reference therein,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any information contained in a Prospectus (as defined below) subsequently filed with the Commission pursuant to Rule 424(b)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Regulations or deemed to be a part of such registration statement pursuant to Rule 430B of the Securities Act Regulations, is herein called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supplemented by the Prospectus Supplement, in the form in which such prospectus and/or Prospectus Supplement have most recently been filed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with the Commission pursuant to Rule 424(b) under the Securities Act Regulations,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Prospectus or any amendment or supplement thereto shall be deemed to refer to and include the documents incorporated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 therein, and any reference herein to the terms “amend,” “amendment” or “supplement” with respect to the Registration Statement or the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refer to and include the filing after the execution hereof of any document with the Commission deemed to be incorporated by 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 (the “</w:t>
      </w:r>
      <w:r>
        <w:rPr>
          <w:rFonts w:ascii="Arial" w:cs="Arial" w:eastAsia="Arial" w:hAnsi="Arial"/>
          <w:sz w:val="18"/>
          <w:szCs w:val="18"/>
          <w:u w:val="single" w:color="auto"/>
          <w:color w:val="auto"/>
        </w:rPr>
        <w:t>Incorporated Documents</w:t>
      </w:r>
      <w:r>
        <w:rPr>
          <w:rFonts w:ascii="Arial" w:cs="Arial" w:eastAsia="Arial" w:hAnsi="Arial"/>
          <w:sz w:val="18"/>
          <w:szCs w:val="18"/>
          <w:color w:val="auto"/>
        </w:rPr>
        <w: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u w:val="single" w:color="auto"/>
          <w:color w:val="auto"/>
        </w:rPr>
        <w:t>EDGAR</w:t>
      </w:r>
      <w:r>
        <w:rPr>
          <w:rFonts w:ascii="Arial" w:cs="Arial" w:eastAsia="Arial" w:hAnsi="Arial"/>
          <w:sz w:val="18"/>
          <w:szCs w:val="18"/>
          <w:color w:val="auto"/>
        </w:rPr>
        <w:t>”).</w:t>
      </w:r>
    </w:p>
    <w:p>
      <w:pPr>
        <w:spacing w:after="0" w:line="181" w:lineRule="exact"/>
        <w:rPr>
          <w:sz w:val="20"/>
          <w:szCs w:val="20"/>
          <w:color w:val="auto"/>
        </w:rPr>
      </w:pPr>
    </w:p>
    <w:p>
      <w:pPr>
        <w:ind w:right="20" w:firstLine="464"/>
        <w:spacing w:after="0" w:line="286" w:lineRule="auto"/>
        <w:tabs>
          <w:tab w:leader="none" w:pos="63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Placement Shares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MLV by email notice (or other method mutually agreed to in writing by the parties) of the proposed terms of such Placement, which shall include at a minimum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u w:val="single" w:color="auto"/>
          <w:color w:val="auto"/>
        </w:rPr>
        <w:t>Placement Notice</w:t>
      </w:r>
      <w:r>
        <w:rPr>
          <w:rFonts w:ascii="Arial" w:cs="Arial" w:eastAsia="Arial" w:hAnsi="Arial"/>
          <w:sz w:val="16"/>
          <w:szCs w:val="16"/>
          <w:color w:val="auto"/>
        </w:rPr>
        <w:t>”), the form of which is attached hereto as Schedule</w:t>
      </w:r>
    </w:p>
    <w:p>
      <w:pPr>
        <w:spacing w:after="0" w:line="1" w:lineRule="exact"/>
        <w:rPr>
          <w:rFonts w:ascii="Arial" w:cs="Arial" w:eastAsia="Arial" w:hAnsi="Arial"/>
          <w:sz w:val="16"/>
          <w:szCs w:val="16"/>
          <w:color w:val="auto"/>
        </w:rPr>
      </w:pPr>
    </w:p>
    <w:p>
      <w:pPr>
        <w:ind w:firstLine="8"/>
        <w:spacing w:after="0" w:line="252" w:lineRule="auto"/>
        <w:tabs>
          <w:tab w:leader="none" w:pos="1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Placement Notice shall originate from any of the individuals from the Company set forth on Schedule 3 (with a copy to each of the other individuals from the Company listed on such schedule), and shall be addressed to each of the individuals from MLV set forth on Schedule 3, as such Schedule 3 may be amended from time to time. The Placement Notice shall be effective unless and until (i) MLV declines to accept the terms contained therein for any reason, in its sole discretion by email notice to the Company within one Business Day (as defined below) from the time the Placement Notice is received, (ii) the entire amount of the Placement Shares thereunder have been sold, (iii) the Company suspends or terminates the Placement Notice or (iv) this Agreement has been terminated under the provisions of Section 13. The amount of any discount, commission or other compensation to be paid by the Company to MLV in connection with the sale of the Placement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0" w:name="page151"/>
    <w:bookmarkEnd w:id="150"/>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shall be calculated in accordance with the terms set forth in Schedule 2. It is expressly acknowledged and agreed that neither the Company nor MLV will have any obligation whatsoever with respect to a Placement or any Placement Shares unless and until the Company delivers a Placement Notice to MLV and MLV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4" w:lineRule="exact"/>
        <w:rPr>
          <w:sz w:val="20"/>
          <w:szCs w:val="20"/>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MLV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21"/>
        <w:spacing w:after="0" w:line="269" w:lineRule="auto"/>
        <w:tabs>
          <w:tab w:leader="none" w:pos="1158" w:val="left"/>
        </w:tabs>
        <w:numPr>
          <w:ilvl w:val="1"/>
          <w:numId w:val="71"/>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for the period specified in the Placement Notice, MLV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7"/>
          <w:szCs w:val="17"/>
          <w:u w:val="single" w:color="auto"/>
          <w:color w:val="auto"/>
        </w:rPr>
        <w:t>Exchange</w:t>
      </w:r>
      <w:r>
        <w:rPr>
          <w:rFonts w:ascii="Arial" w:cs="Arial" w:eastAsia="Arial" w:hAnsi="Arial"/>
          <w:sz w:val="17"/>
          <w:szCs w:val="17"/>
          <w:color w:val="auto"/>
        </w:rPr>
        <w:t>”), to sell the Placement Shares up to the amount specified, and otherwise in accordance with the terms of such Placement Notice. MLV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MLV pursuant to Section 2 with respect to such sales, and the Net Proceeds (as defined below) payable to the Company, with an itemization of the deductions made by MLV (as set forth in Section 5(b)) from the gross proceeds that it receives from such sales. Subject to the terms of the Placement Notice, MLV shall sell Placement Shares only by methods deemed to be an “at the market” offering as defined in Rule 415 of the Securities Act Regulations, including without limitation sales made directly on the Exchange, on any other existing trading market for the Common Stock or to or through a market maker. Subject to the terms of the Placement Notice and only with the Company’s prior written consent, MLV may also sell Placement Shares by any other method permitted by law, including but not limited to in negotiated transactions.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shares of Common Stock are purchased and sold on the Exchange.</w:t>
      </w:r>
    </w:p>
    <w:p>
      <w:pPr>
        <w:spacing w:after="0" w:line="179" w:lineRule="exact"/>
        <w:rPr>
          <w:rFonts w:ascii="Arial" w:cs="Arial" w:eastAsia="Arial" w:hAnsi="Arial"/>
          <w:sz w:val="17"/>
          <w:szCs w:val="17"/>
          <w:color w:val="auto"/>
        </w:rPr>
      </w:pPr>
    </w:p>
    <w:p>
      <w:pPr>
        <w:ind w:firstLine="921"/>
        <w:spacing w:after="0" w:line="269" w:lineRule="auto"/>
        <w:tabs>
          <w:tab w:leader="none" w:pos="1168" w:val="left"/>
        </w:tabs>
        <w:numPr>
          <w:ilvl w:val="1"/>
          <w:numId w:val="71"/>
        </w:numPr>
        <w:rPr>
          <w:rFonts w:ascii="Arial" w:cs="Arial" w:eastAsia="Arial" w:hAnsi="Arial"/>
          <w:sz w:val="17"/>
          <w:szCs w:val="17"/>
          <w:color w:val="auto"/>
        </w:rPr>
      </w:pPr>
      <w:r>
        <w:rPr>
          <w:rFonts w:ascii="Arial" w:cs="Arial" w:eastAsia="Arial" w:hAnsi="Arial"/>
          <w:sz w:val="17"/>
          <w:szCs w:val="17"/>
          <w:color w:val="auto"/>
        </w:rPr>
        <w:t>During the term of this Agreement, neither MLV nor any of its affiliates or subsidiaries shall engage in (i) any short sale of any security of the Company, (ii) any sale of any security of the Company that MLV does not own or any sale which is consummated by the delivery of a security of the Company borrowed by, or for the account of, MLV or (iii) any market making bidding, stabilization or other trading activity with respect to the Common Stock or related derivative securities if such activity would be prohibited under Regulation M or other anti-manipulation rules under the Securities</w:t>
      </w:r>
    </w:p>
    <w:p>
      <w:pPr>
        <w:spacing w:after="0" w:line="2" w:lineRule="exact"/>
        <w:rPr>
          <w:rFonts w:ascii="Arial" w:cs="Arial" w:eastAsia="Arial" w:hAnsi="Arial"/>
          <w:sz w:val="17"/>
          <w:szCs w:val="17"/>
          <w:color w:val="auto"/>
        </w:rPr>
      </w:pPr>
    </w:p>
    <w:p>
      <w:pPr>
        <w:ind w:right="160"/>
        <w:spacing w:after="0" w:line="261" w:lineRule="auto"/>
        <w:rPr>
          <w:rFonts w:ascii="Arial" w:cs="Arial" w:eastAsia="Arial" w:hAnsi="Arial"/>
          <w:sz w:val="17"/>
          <w:szCs w:val="17"/>
          <w:color w:val="auto"/>
        </w:rPr>
      </w:pPr>
      <w:r>
        <w:rPr>
          <w:rFonts w:ascii="Arial" w:cs="Arial" w:eastAsia="Arial" w:hAnsi="Arial"/>
          <w:sz w:val="18"/>
          <w:szCs w:val="18"/>
          <w:color w:val="auto"/>
        </w:rPr>
        <w:t>Act. Neither MLV nor any of its affiliates or subsidiaries shall engage in any proprietary trading or trading for MLV’s (or its affiliates’ or subsidiaries’) own account.</w:t>
      </w:r>
    </w:p>
    <w:p>
      <w:pPr>
        <w:spacing w:after="0" w:line="183" w:lineRule="exact"/>
        <w:rPr>
          <w:rFonts w:ascii="Arial" w:cs="Arial" w:eastAsia="Arial" w:hAnsi="Arial"/>
          <w:sz w:val="17"/>
          <w:szCs w:val="17"/>
          <w:color w:val="auto"/>
        </w:rPr>
      </w:pPr>
    </w:p>
    <w:p>
      <w:pPr>
        <w:ind w:left="640" w:hanging="176"/>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Suspension of Sales</w:t>
      </w:r>
      <w:r>
        <w:rPr>
          <w:rFonts w:ascii="Arial" w:cs="Arial" w:eastAsia="Arial" w:hAnsi="Arial"/>
          <w:sz w:val="17"/>
          <w:szCs w:val="17"/>
          <w:color w:val="auto"/>
        </w:rPr>
        <w:t>. The Company or MLV may, upon notice to the other party in writing (including by email correspondence to each of the</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1" w:name="page152"/>
    <w:bookmarkEnd w:id="151"/>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such suspension shall not affect or impair any party’s obligations with respect to any Placement Shares sold hereunder prior to the receipt of such notice. Each of the parties agrees that no such notice under this Section 4 shall be effective against any other party unless it is made to one of the individuals named on Schedule 3 hereto, as such Schedule may be amended from time to time.</w:t>
      </w:r>
    </w:p>
    <w:p>
      <w:pPr>
        <w:spacing w:after="0" w:line="181" w:lineRule="exact"/>
        <w:rPr>
          <w:sz w:val="20"/>
          <w:szCs w:val="20"/>
          <w:color w:val="auto"/>
        </w:rPr>
      </w:pPr>
    </w:p>
    <w:p>
      <w:pPr>
        <w:ind w:left="640" w:hanging="176"/>
        <w:spacing w:after="0"/>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Sale and Delivery to MLV; 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21"/>
        <w:spacing w:after="0" w:line="289" w:lineRule="auto"/>
        <w:tabs>
          <w:tab w:leader="none" w:pos="1157" w:val="left"/>
        </w:tabs>
        <w:numPr>
          <w:ilvl w:val="2"/>
          <w:numId w:val="72"/>
        </w:numPr>
        <w:rPr>
          <w:rFonts w:ascii="Arial" w:cs="Arial" w:eastAsia="Arial" w:hAnsi="Arial"/>
          <w:sz w:val="16"/>
          <w:szCs w:val="16"/>
          <w:color w:val="auto"/>
        </w:rPr>
      </w:pPr>
      <w:r>
        <w:rPr>
          <w:rFonts w:ascii="Arial" w:cs="Arial" w:eastAsia="Arial" w:hAnsi="Arial"/>
          <w:sz w:val="16"/>
          <w:szCs w:val="16"/>
          <w:u w:val="single" w:color="auto"/>
          <w:color w:val="auto"/>
        </w:rPr>
        <w:t>Sale of Placement Shares</w:t>
      </w:r>
      <w:r>
        <w:rPr>
          <w:rFonts w:ascii="Arial" w:cs="Arial" w:eastAsia="Arial" w:hAnsi="Arial"/>
          <w:sz w:val="16"/>
          <w:szCs w:val="16"/>
          <w:i w:val="1"/>
          <w:iCs w:val="1"/>
          <w:color w:val="auto"/>
        </w:rPr>
        <w:t>.</w:t>
      </w:r>
      <w:r>
        <w:rPr>
          <w:rFonts w:ascii="Arial" w:cs="Arial" w:eastAsia="Arial" w:hAnsi="Arial"/>
          <w:sz w:val="16"/>
          <w:szCs w:val="16"/>
          <w:color w:val="auto"/>
        </w:rPr>
        <w:t xml:space="preserve"> On the basis of the representations and warranties herein contained and subject to the terms and conditions herein set forth, unless MLV declines to accept the terms of a Placement Notice, and unless the sale of the Placement Shares described therein has been declined, suspended, or otherwise terminated in accordance with the terms of this Agreement, MLV, for the period specified in the Placement Notice, will use its commercially reasonable efforts consistent with its normal trading and sales practices to sell such Placement Shares up to the amount specified in, and otherwise in accordance with, the terms of such Placement Notice. The Company acknowledges and agrees that (i) there can be no assurance that MLV will be successful in selling Placement Shares, (ii) MLV will incur no liability or obligation to the Company or any other person or entity if it does not sell Placement Shares for any reason other than a failure by MLV to use its commercially reasonable efforts consistent with its normal trading and sales practices and applicable law and regulations to sell such Placement Shares as required under this Agreement and (iii) MLV shall be under no obligation to purchase Placement Shares on a principal basis pursuant to this Agreement, except as otherwise agreed by MLV and the Company.</w:t>
      </w:r>
    </w:p>
    <w:p>
      <w:pPr>
        <w:spacing w:after="0" w:line="166" w:lineRule="exact"/>
        <w:rPr>
          <w:rFonts w:ascii="Arial" w:cs="Arial" w:eastAsia="Arial" w:hAnsi="Arial"/>
          <w:sz w:val="16"/>
          <w:szCs w:val="16"/>
          <w:color w:val="auto"/>
        </w:rPr>
      </w:pPr>
    </w:p>
    <w:p>
      <w:pPr>
        <w:ind w:right="40" w:firstLine="921"/>
        <w:spacing w:after="0" w:line="255" w:lineRule="auto"/>
        <w:tabs>
          <w:tab w:leader="none" w:pos="1168"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specified in the applicable Placement Notice, settlement for sales of Placement Shares will occur on the third (3rd) Trading Day (or such earlier day as is industry practice for regular-way trading) following the date on which such sales are made (each, a “</w:t>
      </w:r>
      <w:r>
        <w:rPr>
          <w:rFonts w:ascii="Arial" w:cs="Arial" w:eastAsia="Arial" w:hAnsi="Arial"/>
          <w:sz w:val="18"/>
          <w:szCs w:val="18"/>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u w:val="single" w:color="auto"/>
          <w:color w:val="auto"/>
        </w:rPr>
        <w:t>Net Proceeds</w:t>
      </w:r>
      <w:r>
        <w:rPr>
          <w:rFonts w:ascii="Arial" w:cs="Arial" w:eastAsia="Arial" w:hAnsi="Arial"/>
          <w:sz w:val="18"/>
          <w:szCs w:val="18"/>
          <w:color w:val="auto"/>
        </w:rPr>
        <w:t>”) will be equal to the aggregate sales price received by MLV, after deduction for (i) MLV’s commission, discount or other compensation for such sales payable by the Company pursuant to Section 2 hereof, and (ii) any transaction fees imposed by any governmental or self-regulatory organization in respect of such sales.</w:t>
      </w:r>
    </w:p>
    <w:p>
      <w:pPr>
        <w:spacing w:after="0" w:line="193" w:lineRule="exact"/>
        <w:rPr>
          <w:rFonts w:ascii="Arial" w:cs="Arial" w:eastAsia="Arial" w:hAnsi="Arial"/>
          <w:sz w:val="18"/>
          <w:szCs w:val="18"/>
          <w:color w:val="auto"/>
        </w:rPr>
      </w:pPr>
    </w:p>
    <w:p>
      <w:pPr>
        <w:ind w:firstLine="921"/>
        <w:spacing w:after="0" w:line="284" w:lineRule="auto"/>
        <w:tabs>
          <w:tab w:leader="none" w:pos="1157" w:val="left"/>
        </w:tabs>
        <w:numPr>
          <w:ilvl w:val="2"/>
          <w:numId w:val="72"/>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the Company will, or will cause its transfer agent to, electronically transfer the Placement Shares being sold by crediting MLV’s or its designee’s account (provided MLV shall have given the Company written notice of such designee a reasonable period of time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MLV will deliver the related Net Proceeds in same day funds to an account designated by the Company on, or prior to, the Settlement Date. If the Company, or its transfer agent (if applicable), defaults in its obligation to deliver Placement Shares on a Settlement Date through no fault of MLV, the Company agrees that in addition to and in no way limiting the rights and obligations set forth in Section 11(a) hereto, it will</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hold MLV harmless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2" w:name="page153"/>
    <w:bookmarkEnd w:id="152"/>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any loss, claim, damage, or expense (including reasonable legal fees and expenses), as incurred, arising out of or in connection with such default by the Company or its transfer agent (if applicable) and (ii) pay to MLV (without duplication) any commission, discount, or other compensation to which it would otherwise have been entitled absent such default.</w:t>
      </w:r>
    </w:p>
    <w:p>
      <w:pPr>
        <w:spacing w:after="0" w:line="181" w:lineRule="exact"/>
        <w:rPr>
          <w:sz w:val="20"/>
          <w:szCs w:val="20"/>
          <w:color w:val="auto"/>
        </w:rPr>
      </w:pPr>
    </w:p>
    <w:p>
      <w:pPr>
        <w:ind w:right="60" w:firstLine="921"/>
        <w:spacing w:after="0" w:line="272" w:lineRule="auto"/>
        <w:tabs>
          <w:tab w:leader="none" w:pos="1168"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Limitations on Offering Size</w:t>
      </w:r>
      <w:r>
        <w:rPr>
          <w:rFonts w:ascii="Arial" w:cs="Arial" w:eastAsia="Arial" w:hAnsi="Arial"/>
          <w:sz w:val="17"/>
          <w:szCs w:val="17"/>
          <w:i w:val="1"/>
          <w:iCs w:val="1"/>
          <w:color w:val="auto"/>
        </w:rPr>
        <w:t>.</w:t>
      </w:r>
      <w:r>
        <w:rPr>
          <w:rFonts w:ascii="Arial" w:cs="Arial" w:eastAsia="Arial" w:hAnsi="Arial"/>
          <w:sz w:val="17"/>
          <w:szCs w:val="17"/>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MLV in writing. Under no circumstances shall the Company cause or request the offer or sale of any Placement Shares pursuant to this Agreement at a price lower than any minimum price authorized from time to time by the Company’s board of directors, a duly authorized committee thereof or a duly authorized executive committee, and notified to MLV in writing.</w:t>
      </w:r>
    </w:p>
    <w:p>
      <w:pPr>
        <w:spacing w:after="0" w:line="177" w:lineRule="exact"/>
        <w:rPr>
          <w:rFonts w:ascii="Arial" w:cs="Arial" w:eastAsia="Arial" w:hAnsi="Arial"/>
          <w:sz w:val="17"/>
          <w:szCs w:val="17"/>
          <w:color w:val="auto"/>
        </w:rPr>
      </w:pPr>
    </w:p>
    <w:p>
      <w:pPr>
        <w:ind w:right="60" w:firstLine="464"/>
        <w:spacing w:after="0" w:line="264" w:lineRule="auto"/>
        <w:tabs>
          <w:tab w:leader="none" w:pos="63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disclosed in the Registration Statement or the Prospectus (including Incorporated Documents), the Company represents and warrants to, and agrees with MLV that as of the date of this Agreement and as of each Applicable Time (as defined below), unless such representation, warranty or agreement specifies a different time:</w:t>
      </w:r>
    </w:p>
    <w:p>
      <w:pPr>
        <w:spacing w:after="0" w:line="181" w:lineRule="exact"/>
        <w:rPr>
          <w:rFonts w:ascii="Arial" w:cs="Arial" w:eastAsia="Arial" w:hAnsi="Arial"/>
          <w:sz w:val="18"/>
          <w:szCs w:val="18"/>
          <w:color w:val="auto"/>
        </w:rPr>
      </w:pPr>
    </w:p>
    <w:p>
      <w:pPr>
        <w:ind w:firstLine="921"/>
        <w:spacing w:after="0" w:line="286" w:lineRule="auto"/>
        <w:tabs>
          <w:tab w:leader="none" w:pos="115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assuming no act or omission on the part of MLV that would make such statement untrue,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MLV as an agent in the section entitled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MLV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MLV has consented, such consent not to be unreasonably withheld, conditioned or delayed. The Common Stock is currently quoted on the Exchange under the trading symbol “MNKD”. The Company has not, in the 12 months preceding the date hereof, received notice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53" w:name="page154"/>
    <w:bookmarkEnd w:id="153"/>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Exchange to the effect that the Company is not in compliance with the listing or maintenance requirements and the Company has no reason to believe that it will not in the foreseeable future continue to be in compliance with all such listing and maintenance requirements.</w:t>
      </w:r>
    </w:p>
    <w:p>
      <w:pPr>
        <w:spacing w:after="0" w:line="147" w:lineRule="exact"/>
        <w:rPr>
          <w:sz w:val="20"/>
          <w:szCs w:val="20"/>
          <w:color w:val="auto"/>
        </w:rPr>
      </w:pPr>
    </w:p>
    <w:p>
      <w:pPr>
        <w:ind w:firstLine="921"/>
        <w:spacing w:after="0" w:line="269" w:lineRule="auto"/>
        <w:tabs>
          <w:tab w:leader="none" w:pos="116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MLV specifically for use in the preparation thereof.</w:t>
      </w:r>
    </w:p>
    <w:p>
      <w:pPr>
        <w:spacing w:after="0" w:line="179" w:lineRule="exact"/>
        <w:rPr>
          <w:rFonts w:ascii="Arial" w:cs="Arial" w:eastAsia="Arial" w:hAnsi="Arial"/>
          <w:sz w:val="17"/>
          <w:szCs w:val="17"/>
          <w:color w:val="auto"/>
        </w:rPr>
      </w:pPr>
    </w:p>
    <w:p>
      <w:pPr>
        <w:ind w:firstLine="921"/>
        <w:spacing w:after="0" w:line="302" w:lineRule="auto"/>
        <w:tabs>
          <w:tab w:leader="none" w:pos="115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Conformity with Securities Act and Exchange Act</w:t>
      </w:r>
      <w:r>
        <w:rPr>
          <w:rFonts w:ascii="Arial" w:cs="Arial" w:eastAsia="Arial" w:hAnsi="Arial"/>
          <w:sz w:val="16"/>
          <w:szCs w:val="16"/>
          <w:color w:val="auto"/>
        </w:rPr>
        <w:t>. The Registration Statement, the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54" w:lineRule="exact"/>
        <w:rPr>
          <w:rFonts w:ascii="Arial" w:cs="Arial" w:eastAsia="Arial" w:hAnsi="Arial"/>
          <w:sz w:val="16"/>
          <w:szCs w:val="16"/>
          <w:color w:val="auto"/>
        </w:rPr>
      </w:pPr>
    </w:p>
    <w:p>
      <w:pPr>
        <w:ind w:firstLine="921"/>
        <w:spacing w:after="0" w:line="290" w:lineRule="auto"/>
        <w:tabs>
          <w:tab w:leader="none" w:pos="116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in the case of unaudited statements, to normal year-end audit adjustments) and have been prepared in compliance with the requirements of the Securities Act and Exchange Act, as applicable, and in conformity with GAAP (as defined below) applied on a consistent basis (except for such adjustments to accounting standards and practices as are noted therein and except in the case of unaudited financial statements to the extent they may exclude footnotes or may be condensed or summary statements) during the periods involved; the other financial and statistical data with respect to the Company and the Subsidiaries contained or incorporated by reference in the Registration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54" w:name="page155"/>
    <w:bookmarkEnd w:id="15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(including the exhibits thereto and Incorporated Documents) and the Prospectus which are required to be described in the Registration Statement or the Prospectus (including exhibits thereto and Incorporated Documents); and all disclosures contained or incorporated by reference in the Registration Statement and the Prospectus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79" w:lineRule="exact"/>
        <w:rPr>
          <w:sz w:val="20"/>
          <w:szCs w:val="20"/>
          <w:color w:val="auto"/>
        </w:rPr>
      </w:pPr>
    </w:p>
    <w:p>
      <w:pPr>
        <w:ind w:right="220" w:firstLine="921"/>
        <w:spacing w:after="0" w:line="264" w:lineRule="auto"/>
        <w:tabs>
          <w:tab w:leader="none" w:pos="11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MLV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81" w:lineRule="exact"/>
        <w:rPr>
          <w:rFonts w:ascii="Arial" w:cs="Arial" w:eastAsia="Arial" w:hAnsi="Arial"/>
          <w:sz w:val="18"/>
          <w:szCs w:val="18"/>
          <w:color w:val="auto"/>
        </w:rPr>
      </w:pPr>
    </w:p>
    <w:p>
      <w:pPr>
        <w:ind w:right="20" w:firstLine="921"/>
        <w:spacing w:after="0" w:line="289" w:lineRule="auto"/>
        <w:tabs>
          <w:tab w:leader="none" w:pos="113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and each of its Subsidiaries are, and will be,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(as set forth on the Company’s most recent balance sheet included in the Incorporated Documents) or results of operations of the Company and the Subsidiaries (as defined below)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921"/>
        <w:spacing w:after="0" w:line="257" w:lineRule="auto"/>
        <w:tabs>
          <w:tab w:leader="none" w:pos="11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Schedule 4 hereto sets forth each of the Company’s significant subsidiaries (as such term is defined in Rule 1-02 of Regulation S-X promulgated by the Commission), if any (each such significant subsidiary,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88"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Violation or Default</w:t>
      </w:r>
      <w:r>
        <w:rPr>
          <w:rFonts w:ascii="Arial" w:cs="Arial" w:eastAsia="Arial" w:hAnsi="Arial"/>
          <w:sz w:val="18"/>
          <w:szCs w:val="18"/>
          <w:color w:val="auto"/>
        </w:rPr>
        <w:t>. Neither the Company nor any of its Subsidiaries is (i) in violation of its charter or by-laws or similar organizational documents; (ii) in default,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5" w:name="page156"/>
    <w:bookmarkEnd w:id="15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67" w:lineRule="exact"/>
        <w:rPr>
          <w:sz w:val="20"/>
          <w:szCs w:val="20"/>
          <w:color w:val="auto"/>
        </w:rPr>
      </w:pPr>
    </w:p>
    <w:p>
      <w:pPr>
        <w:ind w:right="100" w:firstLine="921"/>
        <w:spacing w:after="0" w:line="287" w:lineRule="auto"/>
        <w:tabs>
          <w:tab w:leader="none" w:pos="112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Subsequent to December 31, 2013, and other than the Company’s execution of this Agreement and the sale of any Placement Shares hereunder and the Company’s execution of an At-The-Market Issuance Sales Agreement substantially similar to this Agreement with Meyers Associates, L.P. (doing business as Brinson Patrick, a division of Meyers Associates, L.P.) (the “</w:t>
      </w:r>
      <w:r>
        <w:rPr>
          <w:rFonts w:ascii="Arial" w:cs="Arial" w:eastAsia="Arial" w:hAnsi="Arial"/>
          <w:sz w:val="16"/>
          <w:szCs w:val="16"/>
          <w:u w:val="single" w:color="auto"/>
          <w:color w:val="auto"/>
        </w:rPr>
        <w:t>Concurrent Facility Agreement</w:t>
      </w:r>
      <w:r>
        <w:rPr>
          <w:rFonts w:ascii="Arial" w:cs="Arial" w:eastAsia="Arial" w:hAnsi="Arial"/>
          <w:sz w:val="16"/>
          <w:szCs w:val="16"/>
          <w:color w:val="auto"/>
        </w:rPr>
        <w:t>”) and the sale of any shares of the Company’s common stock thereunder, there has not been (i) any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(A) in the ordinary course of business, (B) as otherwise disclosed in the Registration Statement or Prospectus (including any document deemed incorporated by reference therein) or (C) where such matter, item, change or development would not make the statements in the Registration Statement or the Prospectus contain an untrue statement of a material fact or omit to state a material fact required to be stated therein or necessary to make the statements therein not misleading.</w:t>
      </w:r>
    </w:p>
    <w:p>
      <w:pPr>
        <w:spacing w:after="0" w:line="172" w:lineRule="exact"/>
        <w:rPr>
          <w:rFonts w:ascii="Arial" w:cs="Arial" w:eastAsia="Arial" w:hAnsi="Arial"/>
          <w:sz w:val="16"/>
          <w:szCs w:val="16"/>
          <w:color w:val="auto"/>
        </w:rPr>
      </w:pPr>
    </w:p>
    <w:p>
      <w:pPr>
        <w:ind w:firstLine="921"/>
        <w:spacing w:after="0" w:line="270" w:lineRule="auto"/>
        <w:tabs>
          <w:tab w:leader="none" w:pos="1128"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issued and outstanding shares of capital stock of the Company have been validly issued, are fully paid and non-assessable and, other than as disclosed in or contemplated by the Registration Statement or the Prospectus, and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or other equity awards under the Company’s existing stock option plans, or changes in the number of outstanding shares of Common Stock of the Company due to the issuance of shares upon the exercise or conversion of securities exercisable for, or convertible into, shares of Common Stock outstanding on the date hereof or described in the Registration Statement and the Prospectus (including any document deemed incorporated by reference therein) or as a result of the issuance of Placement Shares or shares of the Company’s common stock under the Concurrent Facility Agreement) and such authorized capital stock conforms in all material respects to the description thereof set forth in the Registration Statement and the Prospectus. The description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56" w:name="page157"/>
    <w:bookmarkEnd w:id="156"/>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in the Registration Statement and the Prospectus (including any document deemed incorporated by reference therein) is complete and accurate in all material respects. Other than as set forth or described in the Registration Statement and the Prospectus, as of the dates referred to therein,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71" w:lineRule="exact"/>
        <w:rPr>
          <w:sz w:val="20"/>
          <w:szCs w:val="20"/>
          <w:color w:val="auto"/>
        </w:rPr>
      </w:pPr>
    </w:p>
    <w:p>
      <w:pPr>
        <w:ind w:right="60" w:firstLine="921"/>
        <w:spacing w:after="0" w:line="255"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spacing w:after="0" w:line="193" w:lineRule="exact"/>
        <w:rPr>
          <w:rFonts w:ascii="Arial" w:cs="Arial" w:eastAsia="Arial" w:hAnsi="Arial"/>
          <w:sz w:val="18"/>
          <w:szCs w:val="18"/>
          <w:color w:val="auto"/>
        </w:rPr>
      </w:pPr>
    </w:p>
    <w:p>
      <w:pPr>
        <w:ind w:firstLine="921"/>
        <w:spacing w:after="0" w:line="285" w:lineRule="auto"/>
        <w:tabs>
          <w:tab w:leader="none" w:pos="112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Authorization of Placement Shares</w:t>
      </w:r>
      <w:r>
        <w:rPr>
          <w:rFonts w:ascii="Arial" w:cs="Arial" w:eastAsia="Arial" w:hAnsi="Arial"/>
          <w:sz w:val="16"/>
          <w:szCs w:val="16"/>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MLV or a purchaser), including any statutory or contractual preemptive rights, resale rights, rights of first refusal or other similar rights, and will be registered pursuant to Section 12 of the Exchange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Act. The Placement Shares, when issued, will conform in all material respects to the description thereof set forth in or incorporated into the Prospectus.</w:t>
      </w:r>
    </w:p>
    <w:p>
      <w:pPr>
        <w:spacing w:after="0" w:line="222" w:lineRule="exact"/>
        <w:rPr>
          <w:rFonts w:ascii="Arial" w:cs="Arial" w:eastAsia="Arial" w:hAnsi="Arial"/>
          <w:sz w:val="16"/>
          <w:szCs w:val="16"/>
          <w:color w:val="auto"/>
        </w:rPr>
      </w:pPr>
    </w:p>
    <w:p>
      <w:pPr>
        <w:ind w:right="20" w:firstLine="921"/>
        <w:spacing w:after="0" w:line="297" w:lineRule="auto"/>
        <w:tabs>
          <w:tab w:leader="none" w:pos="121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 Consents Required</w:t>
      </w:r>
      <w:r>
        <w:rPr>
          <w:rFonts w:ascii="Arial" w:cs="Arial" w:eastAsia="Arial" w:hAnsi="Arial"/>
          <w:sz w:val="16"/>
          <w:szCs w:val="16"/>
          <w:color w:val="auto"/>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the registration of the Placement Shares under the Securities Act and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or the Exchange in connection with the sale of the Placement Shares by MLV.</w:t>
      </w:r>
    </w:p>
    <w:p>
      <w:pPr>
        <w:spacing w:after="0" w:line="158" w:lineRule="exact"/>
        <w:rPr>
          <w:rFonts w:ascii="Arial" w:cs="Arial" w:eastAsia="Arial" w:hAnsi="Arial"/>
          <w:sz w:val="16"/>
          <w:szCs w:val="16"/>
          <w:color w:val="auto"/>
        </w:rPr>
      </w:pPr>
    </w:p>
    <w:p>
      <w:pPr>
        <w:ind w:right="20" w:firstLine="921"/>
        <w:spacing w:after="0" w:line="257"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Preferential Rights</w:t>
      </w:r>
      <w:r>
        <w:rPr>
          <w:rFonts w:ascii="Arial" w:cs="Arial" w:eastAsia="Arial" w:hAnsi="Arial"/>
          <w:sz w:val="18"/>
          <w:szCs w:val="18"/>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8"/>
          <w:szCs w:val="18"/>
          <w:u w:val="single" w:color="auto"/>
          <w:color w:val="auto"/>
        </w:rPr>
        <w:t>Person</w:t>
      </w:r>
      <w:r>
        <w:rPr>
          <w:rFonts w:ascii="Arial" w:cs="Arial" w:eastAsia="Arial" w:hAnsi="Arial"/>
          <w:sz w:val="18"/>
          <w:szCs w:val="18"/>
          <w:color w:val="auto"/>
        </w:rPr>
        <w:t>”), has the right, contractual or otherwise, to cause the Company to issue or sell to such Person any shares of Common Stock or shares of any other capital stock or other securities of the Company (other than upon the exercise of options or warrants to purchase Common Stock or upon the exercise of options or stock awards that may be granted from time to time under the Company’s stock option plans), (ii) no Person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7" w:name="page158"/>
    <w:bookmarkEnd w:id="15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any preemptive rights, rights of first refusal, or any other rights (whether pursuant to a “poison pill” provision or otherwise) to purchase any shares of Common Stock or shares of any other capital stock or other securities of the Company from the Company which have not been duly waived with respect to the offering contemplated hereby, (iii) except as may be disclosed to MLV in writing, no Person has the right to act as an underwriter or as a financial advisor to the Company in connection with the offer and sale of the Common Stock, and (iv) 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78" w:lineRule="exact"/>
        <w:rPr>
          <w:sz w:val="20"/>
          <w:szCs w:val="20"/>
          <w:color w:val="auto"/>
        </w:rPr>
      </w:pPr>
    </w:p>
    <w:p>
      <w:pPr>
        <w:ind w:right="40" w:firstLine="921"/>
        <w:spacing w:after="0" w:line="276" w:lineRule="auto"/>
        <w:tabs>
          <w:tab w:leader="none" w:pos="1168"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Independent Public Accountants</w:t>
      </w:r>
      <w:r>
        <w:rPr>
          <w:rFonts w:ascii="Arial" w:cs="Arial" w:eastAsia="Arial" w:hAnsi="Arial"/>
          <w:sz w:val="17"/>
          <w:szCs w:val="17"/>
          <w:color w:val="auto"/>
        </w:rPr>
        <w:t>. Deloitte &amp; Touche LLP, whose report on the consolidated financial statements of the Company is filed with the Commission as part of the Company’s most recent Annual Report on Form 10-K filed with the Commission and incorporated into the Registration Statement, is and, during the periods covered by its reports, was an independent public accounting firm within the meaning of the Securities Act and the Public Company Accounting Oversight Board (United States). To the Company’s knowledge, Deloitte &amp; Touche LLP is not in violation of the auditor independence requirements of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with respect to the Company.</w:t>
      </w:r>
    </w:p>
    <w:p>
      <w:pPr>
        <w:spacing w:after="0" w:line="172" w:lineRule="exact"/>
        <w:rPr>
          <w:rFonts w:ascii="Arial" w:cs="Arial" w:eastAsia="Arial" w:hAnsi="Arial"/>
          <w:sz w:val="17"/>
          <w:szCs w:val="17"/>
          <w:color w:val="auto"/>
        </w:rPr>
      </w:pPr>
    </w:p>
    <w:p>
      <w:pPr>
        <w:ind w:right="100" w:firstLine="921"/>
        <w:spacing w:after="0" w:line="288" w:lineRule="auto"/>
        <w:tabs>
          <w:tab w:leader="none" w:pos="1168"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To the Company’s knowledge,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enforceable in accordance with their respective terms, except to the extent that</w:t>
      </w:r>
    </w:p>
    <w:p>
      <w:pPr>
        <w:ind w:right="140" w:firstLine="8"/>
        <w:spacing w:after="0" w:line="254"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9" w:lineRule="exact"/>
        <w:rPr>
          <w:rFonts w:ascii="Arial" w:cs="Arial" w:eastAsia="Arial" w:hAnsi="Arial"/>
          <w:sz w:val="18"/>
          <w:szCs w:val="18"/>
          <w:color w:val="auto"/>
        </w:rPr>
      </w:pPr>
    </w:p>
    <w:p>
      <w:pPr>
        <w:ind w:firstLine="921"/>
        <w:spacing w:after="0" w:line="290" w:lineRule="auto"/>
        <w:tabs>
          <w:tab w:leader="none" w:pos="1168"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No Litigation</w:t>
      </w:r>
      <w:r>
        <w:rPr>
          <w:rFonts w:ascii="Arial" w:cs="Arial" w:eastAsia="Arial" w:hAnsi="Arial"/>
          <w:sz w:val="16"/>
          <w:szCs w:val="16"/>
          <w:color w:val="auto"/>
        </w:rPr>
        <w:t>. There are no legal, governmental or regulatory actions, suits or proceedings pending, nor, to the Company’s knowledge, any legal, governmental or regulatory investigations, to which the Company or a Subsidiary is a party or to which any property of the Company or any of its Subsidiaries is the subject that, individually or in the aggregate, if determined adversely to the Company or any of its Subsidiaries, would reasonably be expected to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of its Subsidiaries, would reasonably be expected to have a Material Adverse Effect; and (i) there are no current or pending legal, governmental or regulatory actions, suits or proceedings or, to the Company’s knowledge, investigations that are required under the Securities Act to be described in the Prospectus that are not described in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58" w:name="page159"/>
    <w:bookmarkEnd w:id="15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including any Incorporated Document; and (ii) there are no contracts or other documents that are required under the Securities Act to be filed as exhibits to the Registration Statement that are not so filed.</w:t>
      </w:r>
    </w:p>
    <w:p>
      <w:pPr>
        <w:spacing w:after="0" w:line="170" w:lineRule="exact"/>
        <w:rPr>
          <w:sz w:val="20"/>
          <w:szCs w:val="20"/>
          <w:color w:val="auto"/>
        </w:rPr>
      </w:pPr>
    </w:p>
    <w:p>
      <w:pPr>
        <w:ind w:firstLine="921"/>
        <w:spacing w:after="0" w:line="254" w:lineRule="auto"/>
        <w:tabs>
          <w:tab w:leader="none" w:pos="113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Licenses and Permits</w:t>
      </w:r>
      <w:r>
        <w:rPr>
          <w:rFonts w:ascii="Arial" w:cs="Arial" w:eastAsia="Arial" w:hAnsi="Arial"/>
          <w:sz w:val="18"/>
          <w:szCs w:val="18"/>
          <w:color w:val="auto"/>
        </w:rPr>
        <w:t>. The Company and each of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possess, obtain or make the same would not, individually or in the aggregate, reasonably be expected to have a Material Adverse Effect. Neither the Company nor any of its Subsidiaries have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ind w:firstLine="921"/>
        <w:spacing w:after="0" w:line="270" w:lineRule="auto"/>
        <w:tabs>
          <w:tab w:leader="none" w:pos="114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Market Capitalization</w:t>
      </w:r>
      <w:r>
        <w:rPr>
          <w:rFonts w:ascii="Arial" w:cs="Arial" w:eastAsia="Arial" w:hAnsi="Arial"/>
          <w:sz w:val="17"/>
          <w:szCs w:val="17"/>
          <w:color w:val="auto"/>
        </w:rPr>
        <w:t>. As of the close of trading on the Exchange on the Trading Day immediately prior to the date of this Agreement, the aggregate market value of the outstanding voting and non-voting common equity (as defined in Securities Act Rule 405) of the Company held by persons other than affiliates (as defined in Securities Act Rule 405) was $75 million or more (calculated in accordance with Instruction 1.B.1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To enable MLV to rely on Rule 5110(b)(7) (C)(i) of FINRA, the Company represents that, as of the date of this Agreement,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spacing w:after="0" w:line="181" w:lineRule="exact"/>
        <w:rPr>
          <w:rFonts w:ascii="Arial" w:cs="Arial" w:eastAsia="Arial" w:hAnsi="Arial"/>
          <w:sz w:val="17"/>
          <w:szCs w:val="17"/>
          <w:color w:val="auto"/>
        </w:rPr>
      </w:pPr>
    </w:p>
    <w:p>
      <w:pPr>
        <w:ind w:right="20" w:firstLine="921"/>
        <w:spacing w:after="0" w:line="255" w:lineRule="auto"/>
        <w:tabs>
          <w:tab w:leader="none" w:pos="112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93" w:lineRule="exact"/>
        <w:rPr>
          <w:rFonts w:ascii="Arial" w:cs="Arial" w:eastAsia="Arial" w:hAnsi="Arial"/>
          <w:sz w:val="18"/>
          <w:szCs w:val="18"/>
          <w:color w:val="auto"/>
        </w:rPr>
      </w:pPr>
    </w:p>
    <w:p>
      <w:pPr>
        <w:ind w:right="20" w:firstLine="921"/>
        <w:spacing w:after="0" w:line="259"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any of the Subsidiaries,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9" w:name="page160"/>
    <w:bookmarkEnd w:id="159"/>
    <w:p>
      <w:pPr>
        <w:ind w:left="-20" w:right="180" w:firstLine="921"/>
        <w:spacing w:after="0" w:line="264" w:lineRule="auto"/>
        <w:tabs>
          <w:tab w:leader="none" w:pos="114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Broker/Dealer Relationships</w:t>
      </w:r>
      <w:r>
        <w:rPr>
          <w:rFonts w:ascii="Arial" w:cs="Arial" w:eastAsia="Arial" w:hAnsi="Arial"/>
          <w:sz w:val="18"/>
          <w:szCs w:val="18"/>
          <w:color w:val="auto"/>
        </w:rPr>
        <w:t>. Neither the Company nor any of the Subsidiaries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1" w:lineRule="exact"/>
        <w:rPr>
          <w:rFonts w:ascii="Arial" w:cs="Arial" w:eastAsia="Arial" w:hAnsi="Arial"/>
          <w:sz w:val="18"/>
          <w:szCs w:val="18"/>
          <w:color w:val="auto"/>
        </w:rPr>
      </w:pPr>
    </w:p>
    <w:p>
      <w:pPr>
        <w:ind w:left="-20" w:right="20" w:firstLine="921"/>
        <w:spacing w:after="0" w:line="277" w:lineRule="auto"/>
        <w:tabs>
          <w:tab w:leader="none" w:pos="118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MLV or legal counsel for MLV for any legal, tax or accounting advice in connection with the offering and sale of the Placement Shares.</w:t>
      </w:r>
    </w:p>
    <w:p>
      <w:pPr>
        <w:spacing w:after="0" w:line="170" w:lineRule="exact"/>
        <w:rPr>
          <w:rFonts w:ascii="Arial" w:cs="Arial" w:eastAsia="Arial" w:hAnsi="Arial"/>
          <w:sz w:val="18"/>
          <w:szCs w:val="18"/>
          <w:color w:val="auto"/>
        </w:rPr>
      </w:pPr>
    </w:p>
    <w:p>
      <w:pPr>
        <w:ind w:left="-20" w:right="40" w:firstLine="921"/>
        <w:spacing w:after="0" w:line="293" w:lineRule="auto"/>
        <w:tabs>
          <w:tab w:leader="none" w:pos="1148"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or the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have a Material Adverse Effect.</w:t>
      </w:r>
    </w:p>
    <w:p>
      <w:pPr>
        <w:spacing w:after="0" w:line="164" w:lineRule="exact"/>
        <w:rPr>
          <w:rFonts w:ascii="Arial" w:cs="Arial" w:eastAsia="Arial" w:hAnsi="Arial"/>
          <w:sz w:val="16"/>
          <w:szCs w:val="16"/>
          <w:color w:val="auto"/>
        </w:rPr>
      </w:pPr>
    </w:p>
    <w:p>
      <w:pPr>
        <w:ind w:left="-20" w:firstLine="921"/>
        <w:spacing w:after="0" w:line="271"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Title to Real and Personal Property</w:t>
      </w:r>
      <w:r>
        <w:rPr>
          <w:rFonts w:ascii="Arial" w:cs="Arial" w:eastAsia="Arial" w:hAnsi="Arial"/>
          <w:sz w:val="17"/>
          <w:szCs w:val="17"/>
          <w:color w:val="auto"/>
        </w:rPr>
        <w:t>. The Company and its Subsidiaries have good and marketable title in fee simple to all items of real property and good and valid title to all personal property (excluding Intellectual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of such property by the Company and any of its Subsidiaries or (ii) would not reasonably be expected, individually or in the aggregate, to have a Material Adverse Effect. Any real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p>
      <w:pPr>
        <w:spacing w:after="0" w:line="178" w:lineRule="exact"/>
        <w:rPr>
          <w:rFonts w:ascii="Arial" w:cs="Arial" w:eastAsia="Arial" w:hAnsi="Arial"/>
          <w:sz w:val="17"/>
          <w:szCs w:val="17"/>
          <w:color w:val="auto"/>
        </w:rPr>
      </w:pPr>
    </w:p>
    <w:p>
      <w:pPr>
        <w:ind w:left="-20" w:right="100" w:firstLine="921"/>
        <w:spacing w:after="0" w:line="297"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To its knowledge, the Company and its Subsidiaries own or possess adequate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160" w:name="page161"/>
    <w:bookmarkEnd w:id="16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 Material Adverse Effect; except as disclosed in writing to MLV, the Company and any of its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owned material patents, patent applications or proprietary information;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and other than such rights or claims that would not, individually or in the aggregate, reasonably be expected to have a Material Adverse Effect; the Company and its Subsidiaries have not received any written notice of any claim challenging the rights of the Company or a Subsidiary in or to any Intellectual Property owned, licensed or optioned by the Company or such Subsidiary which claim, if the subject of an unfavorable decision, would result in a Material Adverse Effect.</w:t>
      </w:r>
    </w:p>
    <w:p>
      <w:pPr>
        <w:spacing w:after="0" w:line="173" w:lineRule="exact"/>
        <w:rPr>
          <w:sz w:val="20"/>
          <w:szCs w:val="20"/>
          <w:color w:val="auto"/>
        </w:rPr>
      </w:pPr>
    </w:p>
    <w:p>
      <w:pPr>
        <w:ind w:firstLine="921"/>
        <w:spacing w:after="0" w:line="271" w:lineRule="auto"/>
        <w:tabs>
          <w:tab w:leader="none" w:pos="1237"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ind w:right="220" w:firstLine="921"/>
        <w:spacing w:after="0" w:line="288" w:lineRule="auto"/>
        <w:tabs>
          <w:tab w:leader="none" w:pos="1258"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ind w:firstLine="8"/>
        <w:spacing w:after="0" w:line="270" w:lineRule="auto"/>
        <w:tabs>
          <w:tab w:leader="none" w:pos="3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1" w:name="page162"/>
    <w:bookmarkEnd w:id="16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Arial" w:cs="Arial" w:eastAsia="Arial" w:hAnsi="Arial"/>
          <w:sz w:val="18"/>
          <w:szCs w:val="18"/>
          <w:u w:val="single" w:color="auto"/>
          <w:color w:val="auto"/>
        </w:rPr>
        <w:t>Evaluation Date</w:t>
      </w:r>
      <w:r>
        <w:rPr>
          <w:rFonts w:ascii="Arial" w:cs="Arial" w:eastAsia="Arial" w:hAnsi="Arial"/>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adversely affect the Company’s internal controls. To the knowledge of the Company, the Company’s “internal controls over financial reporting” and “disclosure controls and procedures” are effective.</w:t>
      </w:r>
    </w:p>
    <w:p>
      <w:pPr>
        <w:spacing w:after="0" w:line="195" w:lineRule="exact"/>
        <w:rPr>
          <w:sz w:val="20"/>
          <w:szCs w:val="20"/>
          <w:color w:val="auto"/>
        </w:rPr>
      </w:pPr>
    </w:p>
    <w:p>
      <w:pPr>
        <w:ind w:right="20" w:firstLine="921"/>
        <w:spacing w:after="0" w:line="255" w:lineRule="auto"/>
        <w:tabs>
          <w:tab w:leader="none" w:pos="123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There is and has been no failure on the part of the Company or, to the knowledge of the Company, any of the Company’s directors or officers, in their capacities as such, to comply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9" w:lineRule="exact"/>
        <w:rPr>
          <w:rFonts w:ascii="Arial" w:cs="Arial" w:eastAsia="Arial" w:hAnsi="Arial"/>
          <w:sz w:val="18"/>
          <w:szCs w:val="18"/>
          <w:color w:val="auto"/>
        </w:rPr>
      </w:pPr>
    </w:p>
    <w:p>
      <w:pPr>
        <w:jc w:val="both"/>
        <w:ind w:right="200" w:firstLine="921"/>
        <w:spacing w:after="0" w:line="342" w:lineRule="auto"/>
        <w:tabs>
          <w:tab w:leader="none" w:pos="125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Finder’s Fees</w:t>
      </w:r>
      <w:r>
        <w:rPr>
          <w:rFonts w:ascii="Arial" w:cs="Arial" w:eastAsia="Arial" w:hAnsi="Arial"/>
          <w:sz w:val="16"/>
          <w:szCs w:val="16"/>
          <w:color w:val="auto"/>
        </w:rPr>
        <w:t>. Neither the Company nor any of the Subsidiaries has incurred any liability for any finder’s fees, brokerage commissions or similar payments in connection with the transactions herein contemplated, except as may otherwise exist with respect to MLV pursuant to this Agreement.</w:t>
      </w:r>
    </w:p>
    <w:p>
      <w:pPr>
        <w:spacing w:after="0" w:line="123" w:lineRule="exact"/>
        <w:rPr>
          <w:rFonts w:ascii="Arial" w:cs="Arial" w:eastAsia="Arial" w:hAnsi="Arial"/>
          <w:sz w:val="16"/>
          <w:szCs w:val="16"/>
          <w:color w:val="auto"/>
        </w:rPr>
      </w:pPr>
    </w:p>
    <w:p>
      <w:pPr>
        <w:ind w:right="60" w:firstLine="921"/>
        <w:spacing w:after="0" w:line="308" w:lineRule="auto"/>
        <w:tabs>
          <w:tab w:leader="none" w:pos="1237"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Labor Disputes</w:t>
      </w:r>
      <w:r>
        <w:rPr>
          <w:rFonts w:ascii="Arial" w:cs="Arial" w:eastAsia="Arial" w:hAnsi="Arial"/>
          <w:sz w:val="17"/>
          <w:szCs w:val="17"/>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146" w:lineRule="exact"/>
        <w:rPr>
          <w:rFonts w:ascii="Arial" w:cs="Arial" w:eastAsia="Arial" w:hAnsi="Arial"/>
          <w:sz w:val="17"/>
          <w:szCs w:val="17"/>
          <w:color w:val="auto"/>
        </w:rPr>
      </w:pPr>
    </w:p>
    <w:p>
      <w:pPr>
        <w:jc w:val="both"/>
        <w:ind w:right="20" w:firstLine="921"/>
        <w:spacing w:after="0" w:line="264" w:lineRule="auto"/>
        <w:tabs>
          <w:tab w:leader="none" w:pos="119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Act.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320" w:firstLine="921"/>
        <w:spacing w:after="0" w:line="264" w:lineRule="auto"/>
        <w:tabs>
          <w:tab w:leader="none" w:pos="125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62" w:name="page163"/>
    <w:bookmarkEnd w:id="162"/>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are subject, the rules and regulations thereunder and any related or similar rules, regulations or guidelines, issued, administered or enforced by any governmental agency having jurisdiction over the Company or its Subsidiaries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except as would not reasonably be expected to result in a Material Adverse Effect;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8" w:lineRule="exact"/>
        <w:rPr>
          <w:sz w:val="20"/>
          <w:szCs w:val="20"/>
          <w:color w:val="auto"/>
        </w:rPr>
      </w:pPr>
    </w:p>
    <w:p>
      <w:pPr>
        <w:ind w:right="20" w:firstLine="921"/>
        <w:spacing w:after="0" w:line="273" w:lineRule="auto"/>
        <w:tabs>
          <w:tab w:leader="none" w:pos="125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Off-Balance Sheet Arrangements</w:t>
      </w:r>
      <w:r>
        <w:rPr>
          <w:rFonts w:ascii="Arial" w:cs="Arial" w:eastAsia="Arial" w:hAnsi="Arial"/>
          <w:sz w:val="17"/>
          <w:szCs w:val="17"/>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Arial" w:cs="Arial" w:eastAsia="Arial" w:hAnsi="Arial"/>
          <w:sz w:val="17"/>
          <w:szCs w:val="17"/>
          <w:u w:val="single" w:color="auto"/>
          <w:color w:val="auto"/>
        </w:rPr>
        <w:t>Off Balance Sheet Transaction</w:t>
      </w:r>
      <w:r>
        <w:rPr>
          <w:rFonts w:ascii="Arial" w:cs="Arial" w:eastAsia="Arial" w:hAnsi="Arial"/>
          <w:sz w:val="17"/>
          <w:szCs w:val="17"/>
          <w:color w:val="auto"/>
        </w:rPr>
        <w:t>”) that would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in each case that are required to be described in the Prospectus which have not been described as required.</w:t>
      </w:r>
    </w:p>
    <w:p>
      <w:pPr>
        <w:spacing w:after="0" w:line="178" w:lineRule="exact"/>
        <w:rPr>
          <w:rFonts w:ascii="Arial" w:cs="Arial" w:eastAsia="Arial" w:hAnsi="Arial"/>
          <w:sz w:val="17"/>
          <w:szCs w:val="17"/>
          <w:color w:val="auto"/>
        </w:rPr>
      </w:pPr>
    </w:p>
    <w:p>
      <w:pPr>
        <w:ind w:right="60" w:firstLine="921"/>
        <w:spacing w:after="0" w:line="259" w:lineRule="auto"/>
        <w:tabs>
          <w:tab w:leader="none" w:pos="117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anticipates being a party to the Concurrent Facility Agreement simultaneous with this Agreement, but will not have an open sales order in force with more than one agent or underwriter under such agreements at any given time, provided, however, that nothing in this Agreement shall prohibit the Company from entering into the Concurrent Facility Agreement, a committed equity financing facility or similar transaction.</w:t>
      </w:r>
    </w:p>
    <w:p>
      <w:pPr>
        <w:spacing w:after="0" w:line="186" w:lineRule="exact"/>
        <w:rPr>
          <w:rFonts w:ascii="Arial" w:cs="Arial" w:eastAsia="Arial" w:hAnsi="Arial"/>
          <w:sz w:val="18"/>
          <w:szCs w:val="18"/>
          <w:color w:val="auto"/>
        </w:rPr>
      </w:pPr>
    </w:p>
    <w:p>
      <w:pPr>
        <w:ind w:firstLine="921"/>
        <w:spacing w:after="0" w:line="270" w:lineRule="auto"/>
        <w:tabs>
          <w:tab w:leader="none" w:pos="117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To the knowledge of the Company, (i) each material employee benefit plan, within the meaning of Section 3(3)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(ii) no prohibited transaction, within the meaning of Section 406 of ERISA or Section 4975 of the Code, has occurred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have a Material Adverse Effect.</w:t>
      </w:r>
    </w:p>
    <w:p>
      <w:pPr>
        <w:spacing w:after="0" w:line="177" w:lineRule="exact"/>
        <w:rPr>
          <w:rFonts w:ascii="Arial" w:cs="Arial" w:eastAsia="Arial" w:hAnsi="Arial"/>
          <w:sz w:val="17"/>
          <w:szCs w:val="17"/>
          <w:color w:val="auto"/>
        </w:rPr>
      </w:pPr>
    </w:p>
    <w:p>
      <w:pPr>
        <w:ind w:right="180" w:firstLine="921"/>
        <w:spacing w:after="0" w:line="308" w:lineRule="auto"/>
        <w:tabs>
          <w:tab w:leader="none" w:pos="125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Forward Looking Statements</w:t>
      </w:r>
      <w:r>
        <w:rPr>
          <w:rFonts w:ascii="Arial" w:cs="Arial" w:eastAsia="Arial" w:hAnsi="Arial"/>
          <w:sz w:val="17"/>
          <w:szCs w:val="17"/>
          <w:color w:val="auto"/>
        </w:rPr>
        <w:t>. No forward-looking statement (within the meaning of Section 27A of the Securities Act and Section 21E of the Exchange Act) (a “</w:t>
      </w:r>
      <w:r>
        <w:rPr>
          <w:rFonts w:ascii="Arial" w:cs="Arial" w:eastAsia="Arial" w:hAnsi="Arial"/>
          <w:sz w:val="17"/>
          <w:szCs w:val="17"/>
          <w:u w:val="single" w:color="auto"/>
          <w:color w:val="auto"/>
        </w:rPr>
        <w:t>Forward Looking Statement</w:t>
      </w:r>
      <w:r>
        <w:rPr>
          <w:rFonts w:ascii="Arial" w:cs="Arial" w:eastAsia="Arial" w:hAnsi="Arial"/>
          <w:sz w:val="17"/>
          <w:szCs w:val="17"/>
          <w:color w:val="auto"/>
        </w:rPr>
        <w:t>”) contained in the Registration Statement and the Prospectus has been made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63" w:name="page164"/>
    <w:bookmarkEnd w:id="16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reaffirmed without a reasonable basis or has been disclosed other than in good faith. The Forward Looking Statements incorporated by reference in the Registration Statement and the Prospectus from the Company’s Annual Report on Form 10-K for the fiscal year most recently ended (i) except for any Forward Looking Statement included in any financial statements and notes thereto,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spacing w:after="0" w:line="178" w:lineRule="exact"/>
        <w:rPr>
          <w:sz w:val="20"/>
          <w:szCs w:val="20"/>
          <w:color w:val="auto"/>
        </w:rPr>
      </w:pPr>
    </w:p>
    <w:p>
      <w:pPr>
        <w:jc w:val="both"/>
        <w:ind w:right="80" w:firstLine="921"/>
        <w:spacing w:after="0" w:line="264" w:lineRule="auto"/>
        <w:tabs>
          <w:tab w:leader="none" w:pos="117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1" w:lineRule="exact"/>
        <w:rPr>
          <w:rFonts w:ascii="Arial" w:cs="Arial" w:eastAsia="Arial" w:hAnsi="Arial"/>
          <w:sz w:val="18"/>
          <w:szCs w:val="18"/>
          <w:color w:val="auto"/>
        </w:rPr>
      </w:pPr>
    </w:p>
    <w:p>
      <w:pPr>
        <w:ind w:right="300" w:firstLine="921"/>
        <w:spacing w:after="0" w:line="264" w:lineRule="auto"/>
        <w:tabs>
          <w:tab w:leader="none" w:pos="135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carry, or are covered by, insurance in such amounts and covering such risks as the Company and each of its Subsidiaries reasonably believe are adequate for the use of their properties and as is customary for companies of similar size engaged in similar businesses in similar industries.</w:t>
      </w:r>
    </w:p>
    <w:p>
      <w:pPr>
        <w:spacing w:after="0" w:line="181" w:lineRule="exact"/>
        <w:rPr>
          <w:rFonts w:ascii="Arial" w:cs="Arial" w:eastAsia="Arial" w:hAnsi="Arial"/>
          <w:sz w:val="18"/>
          <w:szCs w:val="18"/>
          <w:color w:val="auto"/>
        </w:rPr>
      </w:pPr>
    </w:p>
    <w:p>
      <w:pPr>
        <w:ind w:firstLine="921"/>
        <w:spacing w:after="0" w:line="268" w:lineRule="auto"/>
        <w:tabs>
          <w:tab w:leader="none" w:pos="125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Improper Practices</w:t>
      </w:r>
      <w:r>
        <w:rPr>
          <w:rFonts w:ascii="Arial" w:cs="Arial" w:eastAsia="Arial" w:hAnsi="Arial"/>
          <w:sz w:val="17"/>
          <w:szCs w:val="17"/>
          <w:color w:val="auto"/>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4" w:name="page165"/>
    <w:bookmarkEnd w:id="164"/>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81" w:lineRule="exact"/>
        <w:rPr>
          <w:sz w:val="20"/>
          <w:szCs w:val="20"/>
          <w:color w:val="auto"/>
        </w:rPr>
      </w:pPr>
    </w:p>
    <w:p>
      <w:pPr>
        <w:ind w:right="140" w:firstLine="921"/>
        <w:spacing w:after="0" w:line="277" w:lineRule="auto"/>
        <w:tabs>
          <w:tab w:leader="none" w:pos="1258"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Status Under the Securities Act</w:t>
      </w:r>
      <w:r>
        <w:rPr>
          <w:rFonts w:ascii="Arial" w:cs="Arial" w:eastAsia="Arial" w:hAnsi="Arial"/>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70" w:lineRule="exact"/>
        <w:rPr>
          <w:rFonts w:ascii="Arial" w:cs="Arial" w:eastAsia="Arial" w:hAnsi="Arial"/>
          <w:sz w:val="18"/>
          <w:szCs w:val="18"/>
          <w:color w:val="auto"/>
        </w:rPr>
      </w:pPr>
    </w:p>
    <w:p>
      <w:pPr>
        <w:ind w:right="140" w:firstLine="921"/>
        <w:spacing w:after="0" w:line="276" w:lineRule="auto"/>
        <w:tabs>
          <w:tab w:leader="none" w:pos="1258"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 in an Issuer Free Writing Prospectus</w:t>
      </w:r>
      <w:r>
        <w:rPr>
          <w:rFonts w:ascii="Arial" w:cs="Arial" w:eastAsia="Arial" w:hAnsi="Arial"/>
          <w:sz w:val="17"/>
          <w:szCs w:val="17"/>
          <w:color w:val="auto"/>
        </w:rPr>
        <w:t>. Each Issuer Free Writing Prospectus, as of its issue date and as of each Applicable Time (as defined in Section 24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MLV specifically for use therein.</w:t>
      </w:r>
    </w:p>
    <w:p>
      <w:pPr>
        <w:spacing w:after="0" w:line="172" w:lineRule="exact"/>
        <w:rPr>
          <w:rFonts w:ascii="Arial" w:cs="Arial" w:eastAsia="Arial" w:hAnsi="Arial"/>
          <w:sz w:val="17"/>
          <w:szCs w:val="17"/>
          <w:color w:val="auto"/>
        </w:rPr>
      </w:pPr>
    </w:p>
    <w:p>
      <w:pPr>
        <w:ind w:right="20" w:firstLine="921"/>
        <w:spacing w:after="0" w:line="285" w:lineRule="auto"/>
        <w:tabs>
          <w:tab w:leader="none" w:pos="1258"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of this Agreement by the Company, nor the issuance, offering or sale of the Placement Shares, nor the consummation by the Company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such conflicts, breaches or defaults as may have been waived and (ii) such conflicts, breaches, defaults, liens, charges or encumbrances that would not</w:t>
      </w:r>
    </w:p>
    <w:p>
      <w:pPr>
        <w:spacing w:after="0" w:line="3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reasonably be expected to have a Material Adverse Effect; nor will such action result (x) in any violation of the provisions of the certificate of incorporation or bylaws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spacing w:after="0" w:line="189" w:lineRule="exact"/>
        <w:rPr>
          <w:rFonts w:ascii="Arial" w:cs="Arial" w:eastAsia="Arial" w:hAnsi="Arial"/>
          <w:sz w:val="16"/>
          <w:szCs w:val="16"/>
          <w:color w:val="auto"/>
        </w:rPr>
      </w:pPr>
    </w:p>
    <w:p>
      <w:pPr>
        <w:ind w:right="80" w:firstLine="921"/>
        <w:spacing w:after="0" w:line="255" w:lineRule="auto"/>
        <w:tabs>
          <w:tab w:leader="none" w:pos="1198"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Clinical Studies</w:t>
      </w:r>
      <w:r>
        <w:rPr>
          <w:rFonts w:ascii="Arial" w:cs="Arial" w:eastAsia="Arial" w:hAnsi="Arial"/>
          <w:sz w:val="18"/>
          <w:szCs w:val="18"/>
          <w:color w:val="auto"/>
        </w:rPr>
        <w:t>. The clinical, pre-clinical and other studies and tests conducted by or, to the knowledge of the Company, on behalf of the Company were, and, if still pending, are being, conducted in accordance in all material respects with all applicable statutes, laws, rules and regulations (including, without limitation, those administered by the United States Food and Drug Administration (the “</w:t>
      </w:r>
      <w:r>
        <w:rPr>
          <w:rFonts w:ascii="Arial" w:cs="Arial" w:eastAsia="Arial" w:hAnsi="Arial"/>
          <w:sz w:val="18"/>
          <w:szCs w:val="18"/>
          <w:u w:val="single" w:color="auto"/>
          <w:color w:val="auto"/>
        </w:rPr>
        <w:t>FDA</w:t>
      </w:r>
      <w:r>
        <w:rPr>
          <w:rFonts w:ascii="Arial" w:cs="Arial" w:eastAsia="Arial" w:hAnsi="Arial"/>
          <w:sz w:val="18"/>
          <w:szCs w:val="18"/>
          <w:color w:val="auto"/>
        </w:rPr>
        <w:t>”) or by any foreign, federal, state or local governmental or regulatory authority performing functions similar to those performed by the FDA), except where the failure do so would not have a Material Adverse Effect. The Company has not received any written notices or other written correspondence from the FDA or any other foreign, federal, state or local governmental or regulatory authority performing functions similar to those performed by the FDA requiring the Company to terminate or suspend any ongoing clinical or pre-clinical studies or tests.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65" w:name="page166"/>
    <w:bookmarkEnd w:id="165"/>
    <w:p>
      <w:pPr>
        <w:ind w:left="-120" w:right="40" w:firstLine="921"/>
        <w:spacing w:after="0" w:line="279" w:lineRule="auto"/>
        <w:tabs>
          <w:tab w:leader="none" w:pos="1098"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Program</w:t>
      </w:r>
      <w:r>
        <w:rPr>
          <w:rFonts w:ascii="Arial" w:cs="Arial" w:eastAsia="Arial" w:hAnsi="Arial"/>
          <w:sz w:val="17"/>
          <w:szCs w:val="17"/>
          <w:color w:val="auto"/>
        </w:rPr>
        <w: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and any other foreign, federal, state or local governmental or regulatory authority performing functions similar to those performed by the FDA); except where such noncompliance would not reasonably be expected to have a Material Adverse Effect.</w:t>
      </w:r>
    </w:p>
    <w:p>
      <w:pPr>
        <w:spacing w:after="0" w:line="171" w:lineRule="exact"/>
        <w:rPr>
          <w:rFonts w:ascii="Arial" w:cs="Arial" w:eastAsia="Arial" w:hAnsi="Arial"/>
          <w:sz w:val="17"/>
          <w:szCs w:val="17"/>
          <w:color w:val="auto"/>
        </w:rPr>
      </w:pPr>
    </w:p>
    <w:p>
      <w:pPr>
        <w:ind w:left="-120" w:firstLine="921"/>
        <w:spacing w:after="0" w:line="264" w:lineRule="auto"/>
        <w:tabs>
          <w:tab w:leader="none" w:pos="1058"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(i) Neither the Company nor any of its Subsidiaries (collectively, the “</w:t>
      </w:r>
      <w:r>
        <w:rPr>
          <w:rFonts w:ascii="Arial" w:cs="Arial" w:eastAsia="Arial" w:hAnsi="Arial"/>
          <w:sz w:val="18"/>
          <w:szCs w:val="18"/>
          <w:u w:val="single" w:color="auto"/>
          <w:color w:val="auto"/>
        </w:rPr>
        <w:t>Entity</w:t>
      </w:r>
      <w:r>
        <w:rPr>
          <w:rFonts w:ascii="Arial" w:cs="Arial" w:eastAsia="Arial" w:hAnsi="Arial"/>
          <w:sz w:val="18"/>
          <w:szCs w:val="18"/>
          <w:color w:val="auto"/>
        </w:rPr>
        <w:t>”) or, to the Company’s knowledge, any director, officer, employee, agent, affiliate or representative of the Entity, is a government, individual, or entity (in this paragraph (tt), “</w:t>
      </w:r>
      <w:r>
        <w:rPr>
          <w:rFonts w:ascii="Arial" w:cs="Arial" w:eastAsia="Arial" w:hAnsi="Arial"/>
          <w:sz w:val="18"/>
          <w:szCs w:val="18"/>
          <w:u w:val="single" w:color="auto"/>
          <w:color w:val="auto"/>
        </w:rPr>
        <w:t>Person</w:t>
      </w:r>
      <w:r>
        <w:rPr>
          <w:rFonts w:ascii="Arial" w:cs="Arial" w:eastAsia="Arial" w:hAnsi="Arial"/>
          <w:sz w:val="18"/>
          <w:szCs w:val="18"/>
          <w:color w:val="auto"/>
        </w:rPr>
        <w:t>”) that is, or is owned or controlled by a Person that is:</w:t>
      </w:r>
    </w:p>
    <w:p>
      <w:pPr>
        <w:spacing w:after="0" w:line="7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 the subject of any sanctions administered or enforced by the U.S. Department of Treasury’s Office of Foreign Assets Control</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w:t>
      </w:r>
      <w:r>
        <w:rPr>
          <w:rFonts w:ascii="Arial" w:cs="Arial" w:eastAsia="Arial" w:hAnsi="Arial"/>
          <w:sz w:val="17"/>
          <w:szCs w:val="17"/>
          <w:u w:val="single" w:color="auto"/>
          <w:color w:val="auto"/>
        </w:rPr>
        <w:t>EU</w:t>
      </w:r>
      <w:r>
        <w:rPr>
          <w:rFonts w:ascii="Arial" w:cs="Arial" w:eastAsia="Arial" w:hAnsi="Arial"/>
          <w:sz w:val="17"/>
          <w:szCs w:val="17"/>
          <w:color w:val="auto"/>
        </w:rPr>
        <w:t>”),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w:t>
      </w:r>
    </w:p>
    <w:p>
      <w:pPr>
        <w:spacing w:after="0" w:line="103" w:lineRule="exact"/>
        <w:rPr>
          <w:sz w:val="20"/>
          <w:szCs w:val="20"/>
          <w:color w:val="auto"/>
        </w:rPr>
      </w:pPr>
    </w:p>
    <w:p>
      <w:pPr>
        <w:ind w:left="800" w:right="60" w:firstLine="421"/>
        <w:spacing w:after="0" w:line="277" w:lineRule="auto"/>
        <w:tabs>
          <w:tab w:leader="none" w:pos="1505" w:val="left"/>
        </w:tabs>
        <w:numPr>
          <w:ilvl w:val="2"/>
          <w:numId w:val="92"/>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62" w:lineRule="exact"/>
        <w:rPr>
          <w:rFonts w:ascii="Arial" w:cs="Arial" w:eastAsia="Arial" w:hAnsi="Arial"/>
          <w:sz w:val="18"/>
          <w:szCs w:val="18"/>
          <w:color w:val="auto"/>
        </w:rPr>
      </w:pPr>
    </w:p>
    <w:p>
      <w:pPr>
        <w:ind w:left="340" w:right="240" w:firstLine="443"/>
        <w:spacing w:after="0" w:line="277" w:lineRule="auto"/>
        <w:tabs>
          <w:tab w:leader="none" w:pos="10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represents and covenants that the Entity will not, directly or indirectly, knowingly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800" w:right="220" w:firstLine="421"/>
        <w:spacing w:after="0" w:line="277" w:lineRule="auto"/>
        <w:tabs>
          <w:tab w:leader="none" w:pos="1515" w:val="left"/>
        </w:tabs>
        <w:numPr>
          <w:ilvl w:val="2"/>
          <w:numId w:val="9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800" w:right="460" w:firstLine="421"/>
        <w:spacing w:after="0" w:line="277" w:lineRule="auto"/>
        <w:tabs>
          <w:tab w:leader="none" w:pos="1505" w:val="left"/>
        </w:tabs>
        <w:numPr>
          <w:ilvl w:val="2"/>
          <w:numId w:val="93"/>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340" w:right="260" w:firstLine="443"/>
        <w:spacing w:after="0" w:line="264" w:lineRule="auto"/>
        <w:tabs>
          <w:tab w:leader="none" w:pos="10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represents and covenants that, except as detailed in the Prospectus, for the past five years, the Entity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ind w:left="-120" w:right="40" w:firstLine="921"/>
        <w:spacing w:after="0" w:line="264" w:lineRule="auto"/>
        <w:tabs>
          <w:tab w:leader="none" w:pos="1138"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Stock Transfer Taxes</w:t>
      </w:r>
      <w:r>
        <w:rPr>
          <w:rFonts w:ascii="Arial" w:cs="Arial" w:eastAsia="Arial" w:hAnsi="Arial"/>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60" w:top="274" w:right="339" w:bottom="1440" w:gutter="0" w:footer="0" w:header="0"/>
        </w:sectPr>
      </w:pPr>
    </w:p>
    <w:bookmarkStart w:id="166" w:name="page167"/>
    <w:bookmarkEnd w:id="166"/>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signed by an officer of the Company and delivered to MLV or to counsel for MLV pursuant to or in connection with this Agreement shall be deemed to be a representation and warranty by the Company, as applicable, to MLV as to the matters set forth therein.</w:t>
      </w:r>
    </w:p>
    <w:p>
      <w:pPr>
        <w:spacing w:after="0" w:line="170" w:lineRule="exact"/>
        <w:rPr>
          <w:sz w:val="20"/>
          <w:szCs w:val="20"/>
          <w:color w:val="auto"/>
        </w:rPr>
      </w:pPr>
    </w:p>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MLV that:</w:t>
      </w:r>
    </w:p>
    <w:p>
      <w:pPr>
        <w:spacing w:after="0" w:line="225" w:lineRule="exact"/>
        <w:rPr>
          <w:rFonts w:ascii="Arial" w:cs="Arial" w:eastAsia="Arial" w:hAnsi="Arial"/>
          <w:sz w:val="18"/>
          <w:szCs w:val="18"/>
          <w:color w:val="auto"/>
        </w:rPr>
      </w:pPr>
    </w:p>
    <w:p>
      <w:pPr>
        <w:ind w:firstLine="921"/>
        <w:spacing w:after="0" w:line="285" w:lineRule="auto"/>
        <w:tabs>
          <w:tab w:leader="none" w:pos="1158" w:val="left"/>
        </w:tabs>
        <w:numPr>
          <w:ilvl w:val="1"/>
          <w:numId w:val="94"/>
        </w:numPr>
        <w:rPr>
          <w:rFonts w:ascii="Arial" w:cs="Arial" w:eastAsia="Arial" w:hAnsi="Arial"/>
          <w:sz w:val="16"/>
          <w:szCs w:val="16"/>
          <w:color w:val="auto"/>
        </w:rPr>
      </w:pPr>
      <w:r>
        <w:rPr>
          <w:rFonts w:ascii="Arial" w:cs="Arial" w:eastAsia="Arial" w:hAnsi="Arial"/>
          <w:sz w:val="16"/>
          <w:szCs w:val="16"/>
          <w:color w:val="auto"/>
        </w:rPr>
        <w:t>Registration Statement Amendments. After the date of this Agreement and during any period in which a Prospectus relating to any Placement Shares is required to be delivered by MLV under the Securities Act (including in circumstances where such requirement may be satisfied pursuant to Rule 172 under the Securities Act) (the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(i) the Company will notify MLV promptly of the time when any subsequent amendment to the Registration Statement, other than documents incorporated by reference, has been filed with the Commission and/or has become effective or any subsequent supplement to the Prospectus (other than documents incorporated by reference therein) has been filed and of any request by the Commission for any amendment or supplement to the Registration Statement or Prospectus or for additional information, (ii) the Company will not file any amendment or supplement to the Registration Statement or Prospectus (except for documents incorporated by reference therein) unless a copy thereof has been submitted to MLV at least two Business Days before the filing and MLV has not reasonably and in good faith objected thereto within two Business Days of receiving such copy (provided, however, that (A) the failure of MLV to make such objection shall not relieve the Company of any obligation or liability hereunder, or affect MLV’s right to rely on the representations and warranties made by the Company in this Agreement, (B) the Company has no obligation to provide MLV any advance copy of such filing or to provide MLV an opportunity to object to such filing if such filing does not name MLV or does not relate to the transactions contemplated by this Agreement, and (C) the only remedy MLV shall have with respect to the failure by the Company to provide MLV with such copy or the filing of such amendment or supplement despite MLV’s objection shall be to cease making sales under this Agreement) and the Company will furnish to MLV at the time of filing thereof a copy of any document that upon filing is deemed to be incorporated by reference into the Registration Statement or Prospectus, except for those documents available via EDGAR; and (iii)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388" w:lineRule="exact"/>
        <w:rPr>
          <w:rFonts w:ascii="Arial" w:cs="Arial" w:eastAsia="Arial" w:hAnsi="Arial"/>
          <w:sz w:val="16"/>
          <w:szCs w:val="16"/>
          <w:color w:val="auto"/>
        </w:rPr>
      </w:pPr>
    </w:p>
    <w:p>
      <w:pPr>
        <w:ind w:right="140" w:firstLine="921"/>
        <w:spacing w:after="0" w:line="312" w:lineRule="auto"/>
        <w:tabs>
          <w:tab w:leader="none" w:pos="1168"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Notice of Commission Stop Orders</w:t>
      </w:r>
      <w:r>
        <w:rPr>
          <w:rFonts w:ascii="Arial" w:cs="Arial" w:eastAsia="Arial" w:hAnsi="Arial"/>
          <w:sz w:val="16"/>
          <w:szCs w:val="16"/>
          <w:color w:val="auto"/>
        </w:rPr>
        <w:t>. The Company will advise MLV,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67" w:name="page168"/>
    <w:bookmarkEnd w:id="167"/>
    <w:p>
      <w:pPr>
        <w:ind w:right="2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promptly use its commercially reasonable efforts to prevent the issuance of any stop order or to obtain its withdrawal if such a stop order should be issued. The Company will advise MLV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54" w:lineRule="exact"/>
        <w:rPr>
          <w:sz w:val="20"/>
          <w:szCs w:val="20"/>
          <w:color w:val="auto"/>
        </w:rPr>
      </w:pPr>
    </w:p>
    <w:p>
      <w:pPr>
        <w:ind w:firstLine="921"/>
        <w:spacing w:after="0" w:line="287" w:lineRule="auto"/>
        <w:tabs>
          <w:tab w:leader="none" w:pos="115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During the Prospectus Delivery Period, the Company will use commercially reasonable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MLV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MLV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judgment of the Company, it is in the best interests of the Company to do so.</w:t>
      </w:r>
    </w:p>
    <w:p>
      <w:pPr>
        <w:spacing w:after="0" w:line="168" w:lineRule="exact"/>
        <w:rPr>
          <w:rFonts w:ascii="Arial" w:cs="Arial" w:eastAsia="Arial" w:hAnsi="Arial"/>
          <w:sz w:val="16"/>
          <w:szCs w:val="16"/>
          <w:color w:val="auto"/>
        </w:rPr>
      </w:pPr>
    </w:p>
    <w:p>
      <w:pPr>
        <w:ind w:right="80" w:firstLine="921"/>
        <w:spacing w:after="0" w:line="257"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the Prospectus Delivery Period, the Company will use its commercially reasonable efforts to cause the Placement Shares to be listed on the Exchange and to qualify the Placement Shares for sale under the securities laws of such jurisdictions as MLV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spacing w:after="0" w:line="188" w:lineRule="exact"/>
        <w:rPr>
          <w:rFonts w:ascii="Arial" w:cs="Arial" w:eastAsia="Arial" w:hAnsi="Arial"/>
          <w:sz w:val="18"/>
          <w:szCs w:val="18"/>
          <w:color w:val="auto"/>
        </w:rPr>
      </w:pPr>
    </w:p>
    <w:p>
      <w:pPr>
        <w:ind w:right="20" w:firstLine="921"/>
        <w:spacing w:after="0" w:line="272" w:lineRule="auto"/>
        <w:tabs>
          <w:tab w:leader="none" w:pos="1157"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Delivery of Registration Statement and Prospectus</w:t>
      </w:r>
      <w:r>
        <w:rPr>
          <w:rFonts w:ascii="Arial" w:cs="Arial" w:eastAsia="Arial" w:hAnsi="Arial"/>
          <w:sz w:val="17"/>
          <w:szCs w:val="17"/>
          <w:color w:val="auto"/>
        </w:rPr>
        <w:t>. The Company will furnish to MLV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MLV may from time to time reasonably request and, at MLV’s request, will also furnish copies of the Prospectus to each exchange or market on which sales of the Placement Shares may be made; provided, however, that the Company shall not be required to furnish any document (other than the Prospectus) to MLV to the extent such document is available on EDGAR.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68" w:name="page169"/>
    <w:bookmarkEnd w:id="168"/>
    <w:p>
      <w:pPr>
        <w:ind w:right="160" w:firstLine="921"/>
        <w:spacing w:after="0" w:line="291" w:lineRule="auto"/>
        <w:tabs>
          <w:tab w:leader="none" w:pos="1138"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Statement</w:t>
      </w:r>
      <w:r>
        <w:rPr>
          <w:rFonts w:ascii="Arial" w:cs="Arial" w:eastAsia="Arial" w:hAnsi="Arial"/>
          <w:sz w:val="16"/>
          <w:szCs w:val="16"/>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w:t>
      </w:r>
    </w:p>
    <w:p>
      <w:pPr>
        <w:spacing w:after="0"/>
        <w:rPr>
          <w:rFonts w:ascii="Arial" w:cs="Arial" w:eastAsia="Arial" w:hAnsi="Arial"/>
          <w:sz w:val="16"/>
          <w:szCs w:val="16"/>
          <w:color w:val="auto"/>
        </w:rPr>
      </w:pPr>
      <w:r>
        <w:rPr>
          <w:rFonts w:ascii="Arial" w:cs="Arial" w:eastAsia="Arial" w:hAnsi="Arial"/>
          <w:sz w:val="18"/>
          <w:szCs w:val="18"/>
          <w:color w:val="auto"/>
        </w:rPr>
        <w:t>Section 11(a) and Rule 158 of the Securities Act.</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w:t>
      </w:r>
      <w:r>
        <w:rPr>
          <w:rFonts w:ascii="Arial" w:cs="Arial" w:eastAsia="Arial" w:hAnsi="Arial"/>
          <w:sz w:val="17"/>
          <w:szCs w:val="17"/>
          <w:u w:val="single" w:color="auto"/>
          <w:color w:val="auto"/>
        </w:rPr>
        <w:t>Use of Proceeds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921"/>
        <w:spacing w:after="0" w:line="283" w:lineRule="auto"/>
        <w:tabs>
          <w:tab w:leader="none" w:pos="1168"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Without the prior written consent of MLV,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second (2nd) Trading Day immediately prior to the date on which any Placement Notice is delivered to MLV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at any time during which a Placement Notice is pending and for two (2) Trading Days after the last sale of Placement Shares under such Placement Notice, will not directly or indirectly in any other “at the market” or continuous equity transaction offer to sell, sell, contract to sell, grant any option to sell or otherwise dispose of any shares of Common Stock (other than the Placement Shares offered pursuant to this Agreement) or securities convertible into or exchangeable for Common Stock, warrants or any rights to purchase or acquire, Common Stock prior to the termination of this Agreement with respect to Placement Shares sold pursuant to such Placement Notice; provided, however, that such restrictions will not be required in connection with the Company’s issuance or sale of</w:t>
      </w:r>
    </w:p>
    <w:p>
      <w:pPr>
        <w:spacing w:after="0" w:line="4" w:lineRule="exact"/>
        <w:rPr>
          <w:rFonts w:ascii="Arial" w:cs="Arial" w:eastAsia="Arial" w:hAnsi="Arial"/>
          <w:sz w:val="16"/>
          <w:szCs w:val="16"/>
          <w:color w:val="auto"/>
        </w:rPr>
      </w:pPr>
    </w:p>
    <w:p>
      <w:pPr>
        <w:ind w:right="40" w:firstLine="8"/>
        <w:spacing w:after="0" w:line="269" w:lineRule="auto"/>
        <w:tabs>
          <w:tab w:leader="none" w:pos="215"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Common Stock, options to purchase Common Stock or stock awards or Common Stock issuable upon the exercise of options or vesting of stock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MLV and (iii) Common Stock, or securities convertible into or exercisable for Common Stock, offered and sold in a privately negotiated transaction to vendors, customers, investors, strategic partners or potential strategic partners and conducted in a manner so as not to be integrated with the offering of Common Stock hereby.</w:t>
      </w:r>
    </w:p>
    <w:p>
      <w:pPr>
        <w:spacing w:after="0" w:line="180" w:lineRule="exact"/>
        <w:rPr>
          <w:rFonts w:ascii="Arial" w:cs="Arial" w:eastAsia="Arial" w:hAnsi="Arial"/>
          <w:sz w:val="17"/>
          <w:szCs w:val="17"/>
          <w:color w:val="auto"/>
        </w:rPr>
      </w:pPr>
    </w:p>
    <w:p>
      <w:pPr>
        <w:ind w:right="20" w:firstLine="921"/>
        <w:spacing w:after="0" w:line="264" w:lineRule="auto"/>
        <w:tabs>
          <w:tab w:leader="none" w:pos="1128"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MLV promptly after it shall have received notice or obtained knowledge thereof, of any information or fact that would alter or affect in any material respect any opinion, certificate, letter or other document required to be provided to MLV pursuant to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69" w:name="page170"/>
    <w:bookmarkEnd w:id="169"/>
    <w:p>
      <w:pPr>
        <w:ind w:right="40" w:firstLine="921"/>
        <w:spacing w:after="0" w:line="259" w:lineRule="auto"/>
        <w:tabs>
          <w:tab w:leader="none" w:pos="112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Diligence Cooperation</w:t>
      </w:r>
      <w:r>
        <w:rPr>
          <w:rFonts w:ascii="Arial" w:cs="Arial" w:eastAsia="Arial" w:hAnsi="Arial"/>
          <w:sz w:val="18"/>
          <w:szCs w:val="18"/>
          <w:color w:val="auto"/>
        </w:rPr>
        <w:t>. The Company will cooperate with any reasonable due diligence review conducted by MLV or its representatives in connection with the transactions contemplated hereby, including, without limitation, providing information and making available documents and senior corporate officers, during regular business hours and at the Company’s principal offices or such other location mutually agreeable by the parties, as MLV may reasonably request.</w:t>
      </w:r>
    </w:p>
    <w:p>
      <w:pPr>
        <w:spacing w:after="0" w:line="186" w:lineRule="exact"/>
        <w:rPr>
          <w:rFonts w:ascii="Arial" w:cs="Arial" w:eastAsia="Arial" w:hAnsi="Arial"/>
          <w:sz w:val="18"/>
          <w:szCs w:val="18"/>
          <w:color w:val="auto"/>
        </w:rPr>
      </w:pPr>
    </w:p>
    <w:p>
      <w:pPr>
        <w:ind w:right="100" w:firstLine="921"/>
        <w:spacing w:after="0" w:line="255" w:lineRule="auto"/>
        <w:tabs>
          <w:tab w:leader="none" w:pos="116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The Company agrees that on such dates as the Securities Act shall require, the Company will (i) file a prospectus supplement with the Commission under the applicable paragraph of Rule 424(b) under the Securities Act (the date of each and every such filing under Rule 424(b), a “</w:t>
      </w:r>
      <w:r>
        <w:rPr>
          <w:rFonts w:ascii="Arial" w:cs="Arial" w:eastAsia="Arial" w:hAnsi="Arial"/>
          <w:sz w:val="18"/>
          <w:szCs w:val="18"/>
          <w:u w:val="single" w:color="auto"/>
          <w:color w:val="auto"/>
        </w:rPr>
        <w:t>Filing Date</w:t>
      </w:r>
      <w:r>
        <w:rPr>
          <w:rFonts w:ascii="Arial" w:cs="Arial" w:eastAsia="Arial" w:hAnsi="Arial"/>
          <w:sz w:val="18"/>
          <w:szCs w:val="18"/>
          <w:color w:val="auto"/>
        </w:rPr>
        <w:t>”), which prospectus supplement will set forth, within the relevant period, the amount of Placement Shares sold through MLV, the Net Proceeds to the Company and the compensation payable by the Company to MLV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93" w:lineRule="exact"/>
        <w:rPr>
          <w:rFonts w:ascii="Arial" w:cs="Arial" w:eastAsia="Arial" w:hAnsi="Arial"/>
          <w:sz w:val="18"/>
          <w:szCs w:val="18"/>
          <w:color w:val="auto"/>
        </w:rPr>
      </w:pPr>
    </w:p>
    <w:p>
      <w:pPr>
        <w:ind w:left="1140" w:hanging="219"/>
        <w:spacing w:after="0"/>
        <w:tabs>
          <w:tab w:leader="none" w:pos="11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Representation Dates; Certificate. On the date of this Agreement and each time during the term of this Agreement the Company:</w:t>
      </w:r>
    </w:p>
    <w:p>
      <w:pPr>
        <w:spacing w:after="0" w:line="117" w:lineRule="exact"/>
        <w:rPr>
          <w:rFonts w:ascii="Arial" w:cs="Arial" w:eastAsia="Arial" w:hAnsi="Arial"/>
          <w:sz w:val="18"/>
          <w:szCs w:val="18"/>
          <w:color w:val="auto"/>
        </w:rPr>
      </w:pPr>
    </w:p>
    <w:p>
      <w:pPr>
        <w:ind w:left="460" w:right="220" w:firstLine="443"/>
        <w:spacing w:after="0" w:line="259" w:lineRule="auto"/>
        <w:tabs>
          <w:tab w:leader="none" w:pos="11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78" w:lineRule="exact"/>
        <w:rPr>
          <w:rFonts w:ascii="Arial" w:cs="Arial" w:eastAsia="Arial" w:hAnsi="Arial"/>
          <w:sz w:val="18"/>
          <w:szCs w:val="18"/>
          <w:color w:val="auto"/>
        </w:rPr>
      </w:pPr>
    </w:p>
    <w:p>
      <w:pPr>
        <w:ind w:left="460" w:right="540" w:firstLine="443"/>
        <w:spacing w:after="0" w:line="277" w:lineRule="auto"/>
        <w:tabs>
          <w:tab w:leader="none" w:pos="11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restated financial statements or a material amendment to the previously filed Form 10-K);</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audited financial information (other than information “furnished” pursuant to Items</w:t>
      </w:r>
    </w:p>
    <w:p>
      <w:pPr>
        <w:spacing w:after="0" w:line="46"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2.02 or 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date of filing of one or more of the documents referred to in clauses (i) through (iv)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shall furnish MLV (but in the case of clause (iv) above only if MLV reasonably determines that the information contained in such Form 8-K is material) with a certificate, in the form attached hereto as Exhibit 7(l). The requirement to provide a certificate under this Section 7(l)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70" w:name="page171"/>
    <w:bookmarkEnd w:id="170"/>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automatically waived for any Representation Date occurring at a time at which no Placement Notice is pending, which waiver shall continue until the date the Company delivers a Placement Notice hereunder (which for such calendar quarter shall be considered a Representation Date); provided, however,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MLV with a certificate under this Section 7(l), then before the Company delivers the Placement Notice or MLV sells any Placement Shares, the Company shall provide MLV with a certificate, in the form attached hereto as Exhibit 7(l), dated the date of the Placement Notice.</w:t>
      </w:r>
    </w:p>
    <w:p>
      <w:pPr>
        <w:spacing w:after="0" w:line="165" w:lineRule="exact"/>
        <w:rPr>
          <w:sz w:val="20"/>
          <w:szCs w:val="20"/>
          <w:color w:val="auto"/>
        </w:rPr>
      </w:pPr>
    </w:p>
    <w:p>
      <w:pPr>
        <w:ind w:firstLine="921"/>
        <w:spacing w:after="0" w:line="268" w:lineRule="auto"/>
        <w:tabs>
          <w:tab w:leader="none" w:pos="1218"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Legal Opinion</w:t>
      </w:r>
      <w:r>
        <w:rPr>
          <w:rFonts w:ascii="Arial" w:cs="Arial" w:eastAsia="Arial" w:hAnsi="Arial"/>
          <w:sz w:val="17"/>
          <w:szCs w:val="17"/>
          <w:color w:val="auto"/>
        </w:rPr>
        <w:t>. On or prior to the date of the first Placement Notice given hereunder, the Company shall cause to be furnished to MLV a written opinion and letter of Cooley LLP, or such other counsel reasonably satisfactory to MLV (“</w:t>
      </w:r>
      <w:r>
        <w:rPr>
          <w:rFonts w:ascii="Arial" w:cs="Arial" w:eastAsia="Arial" w:hAnsi="Arial"/>
          <w:sz w:val="17"/>
          <w:szCs w:val="17"/>
          <w:u w:val="single" w:color="auto"/>
          <w:color w:val="auto"/>
        </w:rPr>
        <w:t>Company Counsel</w:t>
      </w:r>
      <w:r>
        <w:rPr>
          <w:rFonts w:ascii="Arial" w:cs="Arial" w:eastAsia="Arial" w:hAnsi="Arial"/>
          <w:sz w:val="17"/>
          <w:szCs w:val="17"/>
          <w:color w:val="auto"/>
        </w:rPr>
        <w:t>”), covering opinions and statements substantially in the forms attached hereto as Exhibits 7(m)(1) and 7(m)(2). Thereafter within five (5) Trading Days of each Representation Date with respect to which the Company is obligated to deliver a certificate in the form attached hereto as Exhibit 7(l) for which no waiver is applicable, the Company shall cause to be furnished to MLV a letter of Company Counsel covering statements substantially in the form attached hereto as Exhibits 7(m)(2), modified, as necessary, to relate to the Registration Statement and the Prospectus as then amended or supplemented; provided, however, the Company shall be required to furnish to MLV no more than one letter hereunder per calendar quarter and the Company shall not be required to furnish such letter if the Company does not intend to deliver a Placement Notice in such calendar quarter until such time as the Company delivers its next Placement Notice; provided, further, that in lieu of such letters for subsequent periodic filings under the Exchange Act, counsel may furnish MLV with a letter (a “</w:t>
      </w:r>
      <w:r>
        <w:rPr>
          <w:rFonts w:ascii="Arial" w:cs="Arial" w:eastAsia="Arial" w:hAnsi="Arial"/>
          <w:sz w:val="17"/>
          <w:szCs w:val="17"/>
          <w:u w:val="single" w:color="auto"/>
          <w:color w:val="auto"/>
        </w:rPr>
        <w:t>Reliance Letter</w:t>
      </w:r>
      <w:r>
        <w:rPr>
          <w:rFonts w:ascii="Arial" w:cs="Arial" w:eastAsia="Arial" w:hAnsi="Arial"/>
          <w:sz w:val="17"/>
          <w:szCs w:val="17"/>
          <w:color w:val="auto"/>
        </w:rPr>
        <w:t>”) to the effect that MLV may rely on a prior letter delivered under this Section 7(m) to the same extent as if it were dated the date of such letter (except that statements in such prior letter shall be deemed to relate to the Registration Statement and the Prospectus as amended or supplemented as of the date of the Reliance Letter). Notwithstanding anything to the contrary set forth herein, each obligation of the Company to cause to be furnished to MLV a letter of Company Counsel substantially in the form attached hereto as Exhibit 7(m)(2) shall be conditioned upon the concurrent delivery to MLV of a letter of LeClairRyan, or other counsel to MLV reasonably acceptable to MLV (“</w:t>
      </w:r>
      <w:r>
        <w:rPr>
          <w:rFonts w:ascii="Arial" w:cs="Arial" w:eastAsia="Arial" w:hAnsi="Arial"/>
          <w:sz w:val="17"/>
          <w:szCs w:val="17"/>
          <w:u w:val="single" w:color="auto"/>
          <w:color w:val="auto"/>
        </w:rPr>
        <w:t>MLV Counsel</w:t>
      </w:r>
      <w:r>
        <w:rPr>
          <w:rFonts w:ascii="Arial" w:cs="Arial" w:eastAsia="Arial" w:hAnsi="Arial"/>
          <w:sz w:val="17"/>
          <w:szCs w:val="17"/>
          <w:color w:val="auto"/>
        </w:rPr>
        <w:t>”), covering statements substantially similar to those covered by such letter of Company Counsel.</w:t>
      </w:r>
    </w:p>
    <w:p>
      <w:pPr>
        <w:spacing w:after="0" w:line="183" w:lineRule="exact"/>
        <w:rPr>
          <w:rFonts w:ascii="Arial" w:cs="Arial" w:eastAsia="Arial" w:hAnsi="Arial"/>
          <w:sz w:val="17"/>
          <w:szCs w:val="17"/>
          <w:color w:val="auto"/>
        </w:rPr>
      </w:pPr>
    </w:p>
    <w:p>
      <w:pPr>
        <w:ind w:right="40" w:firstLine="921"/>
        <w:spacing w:after="0" w:line="255" w:lineRule="auto"/>
        <w:tabs>
          <w:tab w:leader="none" w:pos="1168"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On or prior to the date the first Placement Notice is given hereunder and thereafter within five (5) Trading Days after each Representation Date referred to in Section 7(l)(ii), the Company shall cause its independent accountants to furnish MLV letters (the “</w:t>
      </w:r>
      <w:r>
        <w:rPr>
          <w:rFonts w:ascii="Arial" w:cs="Arial" w:eastAsia="Arial" w:hAnsi="Arial"/>
          <w:sz w:val="18"/>
          <w:szCs w:val="18"/>
          <w:u w:val="single" w:color="auto"/>
          <w:color w:val="auto"/>
        </w:rPr>
        <w:t>Comfort Letters</w:t>
      </w:r>
      <w:r>
        <w:rPr>
          <w:rFonts w:ascii="Arial" w:cs="Arial" w:eastAsia="Arial" w:hAnsi="Arial"/>
          <w:sz w:val="18"/>
          <w:szCs w:val="18"/>
          <w:color w:val="auto"/>
        </w:rPr>
        <w:t>”), dated the date the Comfort Letter is delivered, which shall meet the requirements set forth in this Section 7(n); provided, that if requested by MLV, the Company shall cause a Comfort Letter to be furnished to MLV prior to the tenth (10th) Trading Day after the date of occurrence of any material transaction or event (including the restatement of the Company’s financial statements) requiring the filing of a current report on Form 8-K containing material financial information and the date the first Placement Notice is given hereunder following such a material transaction or event, whichever is later. The Comfort Letter from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71" w:name="page172"/>
    <w:bookmarkEnd w:id="17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independent accountants shall be in a form and substance reasonably satisfactory to MLV, (i) confirming that they are an independent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8"/>
          <w:szCs w:val="18"/>
          <w:u w:val="single" w:color="auto"/>
          <w:color w:val="auto"/>
        </w:rPr>
        <w:t>Initial Comfort Letter</w:t>
      </w:r>
      <w:r>
        <w:rPr>
          <w:rFonts w:ascii="Arial" w:cs="Arial" w:eastAsia="Arial" w:hAnsi="Arial"/>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3" w:lineRule="exact"/>
        <w:rPr>
          <w:sz w:val="20"/>
          <w:szCs w:val="20"/>
          <w:color w:val="auto"/>
        </w:rPr>
      </w:pPr>
    </w:p>
    <w:p>
      <w:pPr>
        <w:jc w:val="both"/>
        <w:ind w:right="20" w:firstLine="921"/>
        <w:spacing w:after="0" w:line="259" w:lineRule="auto"/>
        <w:tabs>
          <w:tab w:leader="none" w:pos="1168"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MLV.</w:t>
      </w:r>
    </w:p>
    <w:p>
      <w:pPr>
        <w:spacing w:after="0" w:line="186" w:lineRule="exact"/>
        <w:rPr>
          <w:rFonts w:ascii="Arial" w:cs="Arial" w:eastAsia="Arial" w:hAnsi="Arial"/>
          <w:sz w:val="18"/>
          <w:szCs w:val="18"/>
          <w:color w:val="auto"/>
        </w:rPr>
      </w:pPr>
    </w:p>
    <w:p>
      <w:pPr>
        <w:ind w:right="240" w:firstLine="921"/>
        <w:spacing w:after="0" w:line="264" w:lineRule="auto"/>
        <w:tabs>
          <w:tab w:leader="none" w:pos="1168"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1" w:lineRule="exact"/>
        <w:rPr>
          <w:rFonts w:ascii="Arial" w:cs="Arial" w:eastAsia="Arial" w:hAnsi="Arial"/>
          <w:sz w:val="18"/>
          <w:szCs w:val="18"/>
          <w:color w:val="auto"/>
        </w:rPr>
      </w:pPr>
    </w:p>
    <w:p>
      <w:pPr>
        <w:ind w:right="40" w:firstLine="921"/>
        <w:spacing w:after="0" w:line="288" w:lineRule="auto"/>
        <w:tabs>
          <w:tab w:leader="none" w:pos="1168"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w:t>
      </w: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right="20" w:firstLine="8"/>
        <w:spacing w:after="0" w:line="267" w:lineRule="auto"/>
        <w:tabs>
          <w:tab w:leader="none" w:pos="26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72" w:name="page173"/>
    <w:bookmarkEnd w:id="172"/>
    <w:p>
      <w:pPr>
        <w:ind w:left="-40" w:right="60" w:firstLine="464"/>
        <w:spacing w:after="0" w:line="293" w:lineRule="auto"/>
        <w:tabs>
          <w:tab w:leader="none" w:pos="59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Covenants of MLV</w:t>
      </w:r>
      <w:r>
        <w:rPr>
          <w:rFonts w:ascii="Arial" w:cs="Arial" w:eastAsia="Arial" w:hAnsi="Arial"/>
          <w:sz w:val="16"/>
          <w:szCs w:val="16"/>
          <w:color w:val="auto"/>
        </w:rPr>
        <w:t>. MLV represents and warrants that it is duly registered as a broker-dealer under FINRA, the Exchange Act and the applicable statutes and regulations of each state in which the Placement Shares will be offered and sold, except such states in which MLV is exempt from registration or such registration is not otherwise required. MLV shall continue, for the term of this Agreement, to be duly registered as a broker-dealer under FINRA, the Exchange Act and the applicable statutes and regulations of each state in which the Placement Shares will be offered and sold, except such states in which MLV is exempt from registration or such registration is not otherwise required, during the term of this Agreement. MLV will comply with all applicable laws and regulations (including, without limitation, Regulation M) in connection with performing its obligations under this Agreement.</w:t>
      </w:r>
    </w:p>
    <w:p>
      <w:pPr>
        <w:spacing w:after="0" w:line="164" w:lineRule="exact"/>
        <w:rPr>
          <w:rFonts w:ascii="Arial" w:cs="Arial" w:eastAsia="Arial" w:hAnsi="Arial"/>
          <w:sz w:val="16"/>
          <w:szCs w:val="16"/>
          <w:color w:val="auto"/>
        </w:rPr>
      </w:pPr>
    </w:p>
    <w:p>
      <w:pPr>
        <w:ind w:left="600" w:hanging="176"/>
        <w:spacing w:after="0"/>
        <w:tabs>
          <w:tab w:leader="none" w:pos="6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21"/>
        <w:spacing w:after="0" w:line="270" w:lineRule="auto"/>
        <w:tabs>
          <w:tab w:leader="none" w:pos="111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Issuer Free Writing Prospectus, in such number as MLV shall reasonably deem necessary, (ii) the printing and delivery to MLV of this Agreement and such other documents as may be required in connection with the offering, purchase, sale, issuance or delivery of the Placement Shares, (iii) the preparation, issuance and delivery of the certificates, if any, for the Placement Shares to MLV, including any stock or other transfer taxes and any capital duties, stamp duties or other duties or taxes payable upon the sale, issuance or delivery of the Placement Shares to MLV, (iv) the fees and disbursements of the counsel, accountants and other advisors to the Company, (v) the reasonable fees and disbursements of counsel to MLV, up to a maximum amount of $25,000,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77" w:lineRule="exact"/>
        <w:rPr>
          <w:rFonts w:ascii="Arial" w:cs="Arial" w:eastAsia="Arial" w:hAnsi="Arial"/>
          <w:sz w:val="17"/>
          <w:szCs w:val="17"/>
          <w:color w:val="auto"/>
        </w:rPr>
      </w:pPr>
    </w:p>
    <w:p>
      <w:pPr>
        <w:jc w:val="both"/>
        <w:ind w:left="-40" w:right="400" w:firstLine="921"/>
        <w:spacing w:after="0" w:line="286" w:lineRule="auto"/>
        <w:tabs>
          <w:tab w:leader="none" w:pos="112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this Agreement is terminated by MLV in accordance with the provisions of Section 13(a) hereof as a result of a material breach by the Company of its obligations hereunder, the Company shall reimburse MLV for all of its reasonable out-of-pocket expenses, including reasonable fees and disbursements of counsel for MLV (less any amounts paid under clause (a)(v) above) up to a maximum of $25,000.</w:t>
      </w:r>
    </w:p>
    <w:p>
      <w:pPr>
        <w:spacing w:after="0" w:line="165" w:lineRule="exact"/>
        <w:rPr>
          <w:rFonts w:ascii="Arial" w:cs="Arial" w:eastAsia="Arial" w:hAnsi="Arial"/>
          <w:sz w:val="17"/>
          <w:szCs w:val="17"/>
          <w:color w:val="auto"/>
        </w:rPr>
      </w:pPr>
    </w:p>
    <w:p>
      <w:pPr>
        <w:ind w:left="-40" w:right="60" w:firstLine="464"/>
        <w:spacing w:after="0" w:line="259" w:lineRule="auto"/>
        <w:tabs>
          <w:tab w:leader="none" w:pos="68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Conditions to MLV’s Obligations</w:t>
      </w:r>
      <w:r>
        <w:rPr>
          <w:rFonts w:ascii="Arial" w:cs="Arial" w:eastAsia="Arial" w:hAnsi="Arial"/>
          <w:sz w:val="18"/>
          <w:szCs w:val="18"/>
          <w:color w:val="auto"/>
        </w:rPr>
        <w:t>. The obligations of MLV hereunder with respect to a Placement will be subject to the continuing accuracy and completeness of the representations and warranties made by the Company herein, to the due performance by the Company of its obligations hereunder, to the completion by MLV of a due diligence review satisfactory to it in its reasonable judgment, and to the continuing satisfaction (or waiver by MLV in its sole discretion) of the following additional conditions:</w:t>
      </w:r>
    </w:p>
    <w:p>
      <w:pPr>
        <w:spacing w:after="0" w:line="186" w:lineRule="exact"/>
        <w:rPr>
          <w:rFonts w:ascii="Arial" w:cs="Arial" w:eastAsia="Arial" w:hAnsi="Arial"/>
          <w:sz w:val="18"/>
          <w:szCs w:val="18"/>
          <w:color w:val="auto"/>
        </w:rPr>
      </w:pPr>
    </w:p>
    <w:p>
      <w:pPr>
        <w:ind w:left="-40" w:right="120" w:firstLine="921"/>
        <w:spacing w:after="0" w:line="277" w:lineRule="auto"/>
        <w:tabs>
          <w:tab w:leader="none" w:pos="1117"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sale of all Placement Shares contemplated to be issued by any Placement Notice.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80" w:top="274" w:right="259" w:bottom="1440" w:gutter="0" w:footer="0" w:header="0"/>
        </w:sectPr>
      </w:pPr>
    </w:p>
    <w:bookmarkStart w:id="173" w:name="page174"/>
    <w:bookmarkEnd w:id="173"/>
    <w:p>
      <w:pPr>
        <w:ind w:left="-8" w:right="40" w:firstLine="921"/>
        <w:spacing w:after="0" w:line="284" w:lineRule="auto"/>
        <w:tabs>
          <w:tab w:leader="none" w:pos="116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w:t>
      </w:r>
    </w:p>
    <w:p>
      <w:pPr>
        <w:spacing w:after="0" w:line="4" w:lineRule="exact"/>
        <w:rPr>
          <w:rFonts w:ascii="Arial" w:cs="Arial" w:eastAsia="Arial" w:hAnsi="Arial"/>
          <w:sz w:val="16"/>
          <w:szCs w:val="16"/>
          <w:color w:val="auto"/>
        </w:rPr>
      </w:pPr>
    </w:p>
    <w:p>
      <w:pPr>
        <w:ind w:left="-8" w:firstLine="8"/>
        <w:spacing w:after="0" w:line="270" w:lineRule="auto"/>
        <w:tabs>
          <w:tab w:leader="none" w:pos="29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left="-8" w:right="300" w:firstLine="921"/>
        <w:spacing w:after="0" w:line="286" w:lineRule="auto"/>
        <w:tabs>
          <w:tab w:leader="none" w:pos="1149"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No Misstatement or Material Omission</w:t>
      </w:r>
      <w:r>
        <w:rPr>
          <w:rFonts w:ascii="Arial" w:cs="Arial" w:eastAsia="Arial" w:hAnsi="Arial"/>
          <w:sz w:val="17"/>
          <w:szCs w:val="17"/>
          <w:color w:val="auto"/>
        </w:rPr>
        <w:t>. MLV shall not have advised the Company that the Registration Statement or Prospectus, or any amendment or supplement thereto, contains an untrue statement of fact that in MLV’s reasonable opinion is material, or omits to state a fact that in MLV’s opinion is material and is required to be stated therein or is necessary to make the statements therein not misleading.</w:t>
      </w:r>
    </w:p>
    <w:p>
      <w:pPr>
        <w:spacing w:after="0" w:line="165" w:lineRule="exact"/>
        <w:rPr>
          <w:rFonts w:ascii="Arial" w:cs="Arial" w:eastAsia="Arial" w:hAnsi="Arial"/>
          <w:sz w:val="17"/>
          <w:szCs w:val="17"/>
          <w:color w:val="auto"/>
        </w:rPr>
      </w:pPr>
    </w:p>
    <w:p>
      <w:pPr>
        <w:ind w:left="-8" w:firstLine="921"/>
        <w:spacing w:after="0" w:line="286" w:lineRule="auto"/>
        <w:tabs>
          <w:tab w:leader="none" w:pos="1160"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in the business or affairs of the Company that could reasonably be expected to cause a Material Adverse Effect.</w:t>
      </w:r>
    </w:p>
    <w:p>
      <w:pPr>
        <w:spacing w:after="0" w:line="165" w:lineRule="exact"/>
        <w:rPr>
          <w:rFonts w:ascii="Arial" w:cs="Arial" w:eastAsia="Arial" w:hAnsi="Arial"/>
          <w:sz w:val="17"/>
          <w:szCs w:val="17"/>
          <w:color w:val="auto"/>
        </w:rPr>
      </w:pPr>
    </w:p>
    <w:p>
      <w:pPr>
        <w:ind w:left="-8" w:right="20" w:firstLine="921"/>
        <w:spacing w:after="0" w:line="277" w:lineRule="auto"/>
        <w:tabs>
          <w:tab w:leader="none" w:pos="1149"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MLV shall have received the opinions of Company Counsel and MLV Counsel required to be delivered pursuant Section 7(m) on or before the date on which such delivery of such opinions are required pursuant to Section 7(m).</w:t>
      </w:r>
    </w:p>
    <w:p>
      <w:pPr>
        <w:spacing w:after="0" w:line="170" w:lineRule="exact"/>
        <w:rPr>
          <w:rFonts w:ascii="Arial" w:cs="Arial" w:eastAsia="Arial" w:hAnsi="Arial"/>
          <w:sz w:val="18"/>
          <w:szCs w:val="18"/>
          <w:color w:val="auto"/>
        </w:rPr>
      </w:pPr>
    </w:p>
    <w:p>
      <w:pPr>
        <w:ind w:left="-8" w:right="280" w:firstLine="921"/>
        <w:spacing w:after="0" w:line="277" w:lineRule="auto"/>
        <w:tabs>
          <w:tab w:leader="none" w:pos="113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MLV shall have received the Comfort Letter required to be delivered pursuant Section 7(n) on or before the date on which such delivery of such letter is required pursuant to Section 7(n).</w:t>
      </w:r>
    </w:p>
    <w:p>
      <w:pPr>
        <w:spacing w:after="0" w:line="170" w:lineRule="exact"/>
        <w:rPr>
          <w:rFonts w:ascii="Arial" w:cs="Arial" w:eastAsia="Arial" w:hAnsi="Arial"/>
          <w:sz w:val="18"/>
          <w:szCs w:val="18"/>
          <w:color w:val="auto"/>
        </w:rPr>
      </w:pPr>
    </w:p>
    <w:p>
      <w:pPr>
        <w:ind w:left="-8" w:right="160" w:firstLine="921"/>
        <w:spacing w:after="0" w:line="277" w:lineRule="auto"/>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MLV shall have received the certificate required to be delivered pursuant to Section 7(l) on or before the date on which delivery of such certificate is required pursuant to Section 7(l).</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274" w:right="259" w:bottom="1440" w:gutter="0" w:footer="0" w:header="0"/>
        </w:sectPr>
      </w:pPr>
    </w:p>
    <w:bookmarkStart w:id="174" w:name="page175"/>
    <w:bookmarkEnd w:id="174"/>
    <w:p>
      <w:pPr>
        <w:ind w:right="240" w:firstLine="921"/>
        <w:spacing w:after="0" w:line="277" w:lineRule="auto"/>
        <w:tabs>
          <w:tab w:leader="none" w:pos="116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70" w:lineRule="exact"/>
        <w:rPr>
          <w:rFonts w:ascii="Arial" w:cs="Arial" w:eastAsia="Arial" w:hAnsi="Arial"/>
          <w:sz w:val="18"/>
          <w:szCs w:val="18"/>
          <w:color w:val="auto"/>
        </w:rPr>
      </w:pPr>
    </w:p>
    <w:p>
      <w:pPr>
        <w:ind w:right="140" w:firstLine="921"/>
        <w:spacing w:after="0" w:line="257" w:lineRule="auto"/>
        <w:tabs>
          <w:tab w:leader="none" w:pos="112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7(l), the Company shall have furnished to MLV such appropriate further information, certificates and documents as MLV may have reasonably requested in writing prior to such date and which are usually and customarily furnished by an issuer of securities in connection with the underwritten public offering thereof. All such opinions, certificates, letters and other documents will be in compliance with the provisions hereof. The Company will furnish MLV with such conformed copies of such opinions, certificates, letters and other documents as MLV shall reasonably request.</w:t>
      </w:r>
    </w:p>
    <w:p>
      <w:pPr>
        <w:spacing w:after="0" w:line="188" w:lineRule="exact"/>
        <w:rPr>
          <w:rFonts w:ascii="Arial" w:cs="Arial" w:eastAsia="Arial" w:hAnsi="Arial"/>
          <w:sz w:val="18"/>
          <w:szCs w:val="18"/>
          <w:color w:val="auto"/>
        </w:rPr>
      </w:pPr>
    </w:p>
    <w:p>
      <w:pPr>
        <w:ind w:right="320" w:firstLine="921"/>
        <w:spacing w:after="0" w:line="308" w:lineRule="auto"/>
        <w:tabs>
          <w:tab w:leader="none" w:pos="1128"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firstLine="921"/>
        <w:spacing w:after="0" w:line="342" w:lineRule="auto"/>
        <w:tabs>
          <w:tab w:leader="none" w:pos="1168"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 Termination Event</w:t>
      </w:r>
      <w:r>
        <w:rPr>
          <w:rFonts w:ascii="Arial" w:cs="Arial" w:eastAsia="Arial" w:hAnsi="Arial"/>
          <w:sz w:val="18"/>
          <w:szCs w:val="18"/>
          <w:color w:val="auto"/>
        </w:rPr>
        <w:t>. There shall not have occurred any event that would permit MLV to terminate this Agreement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13(a).</w:t>
      </w:r>
    </w:p>
    <w:p>
      <w:pPr>
        <w:spacing w:after="0" w:line="211" w:lineRule="exact"/>
        <w:rPr>
          <w:sz w:val="20"/>
          <w:szCs w:val="20"/>
          <w:color w:val="auto"/>
        </w:rPr>
      </w:pPr>
    </w:p>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40" w:firstLine="921"/>
        <w:spacing w:after="0" w:line="342" w:lineRule="auto"/>
        <w:tabs>
          <w:tab w:leader="none" w:pos="1157" w:val="left"/>
        </w:tabs>
        <w:numPr>
          <w:ilvl w:val="2"/>
          <w:numId w:val="107"/>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MLV, its partners, members, directors, officers, employees and agents and each person, if any, who controls MLV within the meaning of Section 15 of the Securities Act or Section 20 of the Exchange Act as follows:</w:t>
      </w:r>
    </w:p>
    <w:p>
      <w:pPr>
        <w:spacing w:after="0" w:line="15" w:lineRule="exact"/>
        <w:rPr>
          <w:rFonts w:ascii="Arial" w:cs="Arial" w:eastAsia="Arial" w:hAnsi="Arial"/>
          <w:sz w:val="16"/>
          <w:szCs w:val="16"/>
          <w:color w:val="auto"/>
        </w:rPr>
      </w:pPr>
    </w:p>
    <w:p>
      <w:pPr>
        <w:ind w:left="460" w:right="80" w:firstLine="443"/>
        <w:spacing w:after="0" w:line="273" w:lineRule="auto"/>
        <w:tabs>
          <w:tab w:leader="none" w:pos="1113"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75" w:name="page176"/>
    <w:bookmarkEnd w:id="175"/>
    <w:p>
      <w:pPr>
        <w:ind w:left="440" w:right="60" w:firstLine="443"/>
        <w:spacing w:after="0" w:line="288" w:lineRule="auto"/>
        <w:tabs>
          <w:tab w:leader="none" w:pos="1143"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ind w:left="440" w:right="400"/>
        <w:spacing w:after="0" w:line="261" w:lineRule="auto"/>
        <w:rPr>
          <w:rFonts w:ascii="Arial" w:cs="Arial" w:eastAsia="Arial" w:hAnsi="Arial"/>
          <w:sz w:val="16"/>
          <w:szCs w:val="16"/>
          <w:color w:val="auto"/>
        </w:rPr>
      </w:pPr>
      <w:r>
        <w:rPr>
          <w:rFonts w:ascii="Arial" w:cs="Arial" w:eastAsia="Arial" w:hAnsi="Arial"/>
          <w:sz w:val="18"/>
          <w:szCs w:val="18"/>
          <w:color w:val="auto"/>
        </w:rPr>
        <w:t>Section 11(d) below) any such settlement is effected with the written consent of the Company, which consent shall not unreasonably be delayed or withheld; and</w:t>
      </w:r>
    </w:p>
    <w:p>
      <w:pPr>
        <w:spacing w:after="0" w:line="75" w:lineRule="exact"/>
        <w:rPr>
          <w:rFonts w:ascii="Arial" w:cs="Arial" w:eastAsia="Arial" w:hAnsi="Arial"/>
          <w:sz w:val="16"/>
          <w:szCs w:val="16"/>
          <w:color w:val="auto"/>
        </w:rPr>
      </w:pPr>
    </w:p>
    <w:p>
      <w:pPr>
        <w:ind w:left="440" w:right="60" w:firstLine="443"/>
        <w:spacing w:after="0" w:line="291" w:lineRule="auto"/>
        <w:tabs>
          <w:tab w:leader="none" w:pos="119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MLV expressly for use in the Registration Statement (or any amendment thereto) or in any related Issuer Free Writing Prospectus or the Prospectus (or any amendment or supplement thereto).</w:t>
      </w:r>
    </w:p>
    <w:p>
      <w:pPr>
        <w:spacing w:after="0" w:line="167" w:lineRule="exact"/>
        <w:rPr>
          <w:rFonts w:ascii="Arial" w:cs="Arial" w:eastAsia="Arial" w:hAnsi="Arial"/>
          <w:sz w:val="16"/>
          <w:szCs w:val="16"/>
          <w:color w:val="auto"/>
        </w:rPr>
      </w:pPr>
    </w:p>
    <w:p>
      <w:pPr>
        <w:ind w:left="-20" w:right="20" w:firstLine="921"/>
        <w:spacing w:after="0" w:line="293" w:lineRule="auto"/>
        <w:tabs>
          <w:tab w:leader="none" w:pos="1148"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MLV Indemnification</w:t>
      </w:r>
      <w:r>
        <w:rPr>
          <w:rFonts w:ascii="Arial" w:cs="Arial" w:eastAsia="Arial" w:hAnsi="Arial"/>
          <w:sz w:val="16"/>
          <w:szCs w:val="16"/>
          <w:color w:val="auto"/>
        </w:rPr>
        <w:t>. MLV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with respect to untrue statements or omissions, or alleged untrue statements or omissions, made in the Registration Statement (or any amendments thereto) or any Issuer Free Writing Prospectus or the Prospectus (or any amendment or supplement thereto) in reliance upon and in conformity with information furnished to the Company in writing by MLV expressly for use therein.</w:t>
      </w:r>
    </w:p>
    <w:p>
      <w:pPr>
        <w:spacing w:after="0" w:line="164" w:lineRule="exact"/>
        <w:rPr>
          <w:rFonts w:ascii="Arial" w:cs="Arial" w:eastAsia="Arial" w:hAnsi="Arial"/>
          <w:sz w:val="16"/>
          <w:szCs w:val="16"/>
          <w:color w:val="auto"/>
        </w:rPr>
      </w:pPr>
    </w:p>
    <w:p>
      <w:pPr>
        <w:ind w:left="-20" w:firstLine="921"/>
        <w:spacing w:after="0" w:line="254" w:lineRule="auto"/>
        <w:tabs>
          <w:tab w:leader="none" w:pos="113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11 and (ii) any liability that it may have to any indemnified party under the foregoing provision of this Section 11 unless, and only to the extent that, such omission results in the forfeiture or material impairment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274" w:right="259" w:bottom="1440" w:gutter="0" w:footer="0" w:header="0"/>
        </w:sectPr>
      </w:pPr>
    </w:p>
    <w:bookmarkStart w:id="176" w:name="page177"/>
    <w:bookmarkEnd w:id="17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384" w:lineRule="exact"/>
        <w:rPr>
          <w:sz w:val="20"/>
          <w:szCs w:val="20"/>
          <w:color w:val="auto"/>
        </w:rPr>
      </w:pPr>
    </w:p>
    <w:p>
      <w:pPr>
        <w:ind w:right="100" w:firstLine="921"/>
        <w:spacing w:after="0" w:line="272" w:lineRule="auto"/>
        <w:tabs>
          <w:tab w:leader="none" w:pos="1168"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In order to provide for just and equitable contribution in circumstances in which the indemnification provided for in the foregoing paragraphs of this Section 11 is applicable in accordance with its terms but for any reason is held to be unavailable from the Company or MLV, the Company and MLV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MLV, such as persons who control the Company within the meaning of the Securities Act, officers of the Company who signed the Registration Statement and directors of the Company, who also may be liable for contribution) to which the Company and MLV may be subject in such proportion as shall be appropriate to reflect the relative benefits received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77" w:name="page178"/>
    <w:bookmarkEnd w:id="177"/>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on the one hand and MLV on the other hand. The relative benefits received by the Company on the one hand and MLV on the other hand shall be deemed to be in the same proportion as the total net proceeds from the sale of the Placement Shares (before deducting expenses) received by the Company bear to the total compensation received by MLV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MLV,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MLV, the intent of the parties and their relative knowledge, access to information and opportunity to correct or prevent such statement or omission. The Company and MLV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shall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MLV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MLV,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with respect to any action or claim settled without its written consent if such consent is required pursuant to Section 11(c) hereof.</w:t>
      </w:r>
    </w:p>
    <w:p>
      <w:pPr>
        <w:spacing w:after="0" w:line="175" w:lineRule="exact"/>
        <w:rPr>
          <w:sz w:val="20"/>
          <w:szCs w:val="20"/>
          <w:color w:val="auto"/>
        </w:rPr>
      </w:pPr>
    </w:p>
    <w:p>
      <w:pPr>
        <w:ind w:firstLine="464"/>
        <w:spacing w:after="0" w:line="264" w:lineRule="auto"/>
        <w:tabs>
          <w:tab w:leader="none" w:pos="72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The indemnity and contribution agreements contained in Section 11 of this Agreement and all representations and warranties of the Company and MLV herein or in certificates delivered pursuant hereto shall survive, as of their respective dates, regardless of (i) any investigation made by or on behalf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78" w:name="page179"/>
    <w:bookmarkEnd w:id="178"/>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MLV, any controlling persons, or the Company (or any of their respective officers, directors or controlling persons), (ii) delivery and acceptance of the Placement Shares and payment therefor or (iii) any termination of this Agreement.</w:t>
      </w:r>
    </w:p>
    <w:p>
      <w:pPr>
        <w:spacing w:after="0" w:line="170" w:lineRule="exact"/>
        <w:rPr>
          <w:sz w:val="20"/>
          <w:szCs w:val="20"/>
          <w:color w:val="auto"/>
        </w:rPr>
      </w:pPr>
    </w:p>
    <w:p>
      <w:pPr>
        <w:ind w:left="740" w:hanging="276"/>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68" w:lineRule="auto"/>
        <w:tabs>
          <w:tab w:leader="none" w:pos="115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MLV may terminate this Agreement, by notice to the Company, as hereinafter specified at any time (1) if there has been, since the time of execution of this Agreement or since the date as of which information is given in the Prospectus, any Material Adverse Effect, or any development that has occurred that is reasonably likely to have a Material Adverse Effect has occurred or in the sole judgment of MLV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sole judgment of MLV,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for at least ten (10) Trading Days,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9 (Payment of Expenses), Section 11 (Indemnification and Contribution), Section 12 (Representations and Agreements to Survive Delivery), Section 18 (Governing Law and Time; Waiver of Jury Trial) and Section 19 (Consent to Jurisdiction) hereof shall remain in full force and effect notwithstanding such termination. If MLV elects to terminate this Agreement as provided in this Section 13(a), MLV shall provide the required notice as specified in Section 14 (Notices).</w:t>
      </w:r>
    </w:p>
    <w:p>
      <w:pPr>
        <w:spacing w:after="0" w:line="180" w:lineRule="exact"/>
        <w:rPr>
          <w:rFonts w:ascii="Arial" w:cs="Arial" w:eastAsia="Arial" w:hAnsi="Arial"/>
          <w:sz w:val="17"/>
          <w:szCs w:val="17"/>
          <w:color w:val="auto"/>
        </w:rPr>
      </w:pPr>
    </w:p>
    <w:p>
      <w:pPr>
        <w:ind w:right="100" w:firstLine="921"/>
        <w:spacing w:after="0" w:line="312" w:lineRule="auto"/>
        <w:tabs>
          <w:tab w:leader="none" w:pos="116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46" w:lineRule="exact"/>
        <w:rPr>
          <w:rFonts w:ascii="Arial" w:cs="Arial" w:eastAsia="Arial" w:hAnsi="Arial"/>
          <w:sz w:val="16"/>
          <w:szCs w:val="16"/>
          <w:color w:val="auto"/>
        </w:rPr>
      </w:pPr>
    </w:p>
    <w:p>
      <w:pPr>
        <w:ind w:right="80" w:firstLine="921"/>
        <w:spacing w:after="0" w:line="286" w:lineRule="auto"/>
        <w:tabs>
          <w:tab w:leader="none" w:pos="115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MLV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65" w:lineRule="exact"/>
        <w:rPr>
          <w:rFonts w:ascii="Arial" w:cs="Arial" w:eastAsia="Arial" w:hAnsi="Arial"/>
          <w:sz w:val="17"/>
          <w:szCs w:val="17"/>
          <w:color w:val="auto"/>
        </w:rPr>
      </w:pPr>
    </w:p>
    <w:p>
      <w:pPr>
        <w:ind w:right="60" w:firstLine="921"/>
        <w:spacing w:after="0" w:line="277" w:lineRule="auto"/>
        <w:tabs>
          <w:tab w:leader="none" w:pos="116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13, this Agreement shall automatically terminate upon the earlier to occur of (i) the third (3 rd ) year anniversary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79" w:name="page180"/>
    <w:bookmarkEnd w:id="179"/>
    <w:p>
      <w:pPr>
        <w:jc w:val="both"/>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hereof and (ii) the issuance and sale of all of the Placement Shares through MLV on the terms and subject to the conditions set forth herein except that the provisions of Section 9, Section 11, Section 11, Section 12, Section 18 and Section 19 hereof shall remain in full force and effect notwithstanding such termination.</w:t>
      </w:r>
    </w:p>
    <w:p>
      <w:pPr>
        <w:spacing w:after="0" w:line="181" w:lineRule="exact"/>
        <w:rPr>
          <w:sz w:val="20"/>
          <w:szCs w:val="20"/>
          <w:color w:val="auto"/>
        </w:rPr>
      </w:pPr>
    </w:p>
    <w:p>
      <w:pPr>
        <w:jc w:val="both"/>
        <w:ind w:firstLine="921"/>
        <w:spacing w:after="0" w:line="302" w:lineRule="auto"/>
        <w:tabs>
          <w:tab w:leader="none" w:pos="115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This Agreement shall remain in full force and effect unless terminated pursuant to Sections 13(a), (b), (c), or (d) above or otherwise by mutual agreement of the parties; provided, however, that any such termination by mutual agreement shall in all cases be deemed to provide that Section 9, Section 11, Section 12, Section 18 and Section 19 shall remain in full force and effect. Upon termination of this Agreement, the Company shall not have any liability to MLV for any discount, commission or other compensation with respect to any Placement Shares not otherwise sold by MLV under this Agreement.</w:t>
      </w:r>
    </w:p>
    <w:p>
      <w:pPr>
        <w:spacing w:after="0" w:line="154" w:lineRule="exact"/>
        <w:rPr>
          <w:rFonts w:ascii="Arial" w:cs="Arial" w:eastAsia="Arial" w:hAnsi="Arial"/>
          <w:sz w:val="16"/>
          <w:szCs w:val="16"/>
          <w:color w:val="auto"/>
        </w:rPr>
      </w:pPr>
    </w:p>
    <w:p>
      <w:pPr>
        <w:jc w:val="both"/>
        <w:ind w:right="100" w:firstLine="921"/>
        <w:spacing w:after="0" w:line="259" w:lineRule="auto"/>
        <w:tabs>
          <w:tab w:leader="none" w:pos="113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however, that such termination shall not be effective until the close of business on the date of receipt of such notice by MLV or the Company, as the case may be. If such termination shall occur prior to the Settlement Date for any sale of Placement Shares, such Placement Shares shall settle in accordance with the provisions of this Agreement.</w:t>
      </w:r>
    </w:p>
    <w:p>
      <w:pPr>
        <w:spacing w:after="0" w:line="187" w:lineRule="exact"/>
        <w:rPr>
          <w:sz w:val="20"/>
          <w:szCs w:val="20"/>
          <w:color w:val="auto"/>
        </w:rPr>
      </w:pPr>
    </w:p>
    <w:p>
      <w:pPr>
        <w:ind w:right="680" w:firstLine="464"/>
        <w:spacing w:after="0" w:line="277" w:lineRule="auto"/>
        <w:tabs>
          <w:tab w:leader="none" w:pos="72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and if sent to MLV, shall be delivered to:</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MLV &amp; Co. LLC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1251 Avenue of the Americas, 41st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Telephone: (212) 542-5870</w:t>
      </w:r>
    </w:p>
    <w:p>
      <w:pPr>
        <w:spacing w:after="0" w:line="9"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(212) 317-1515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LeClairRyan, A Professional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1037 Raymond Boulevard, 16th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James T. Seery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(973) 491-3315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(973) 491-3415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Valencia, CA 91355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(661) 775-5350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(661) 775-2086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L. Kay Chandler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Sean M. Clayton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(858) 550-6000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(858) 550-6420</w:t>
      </w:r>
    </w:p>
    <w:p>
      <w:pPr>
        <w:spacing w:after="0" w:line="2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w:t>
      </w:r>
    </w:p>
    <w:p>
      <w:pPr>
        <w:jc w:val="both"/>
        <w:ind w:right="100" w:firstLine="8"/>
        <w:spacing w:after="0" w:line="255" w:lineRule="auto"/>
        <w:tabs>
          <w:tab w:leader="none" w:pos="2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the Exchange and commercial banks in the City of New York are open for business.</w:t>
      </w:r>
    </w:p>
    <w:p>
      <w:pPr>
        <w:spacing w:after="0" w:line="19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u w:val="single" w:color="auto"/>
          <w:color w:val="auto"/>
        </w:rPr>
        <w:t>Electronic Notice</w:t>
      </w:r>
      <w:r>
        <w:rPr>
          <w:rFonts w:ascii="Arial" w:cs="Arial" w:eastAsia="Arial" w:hAnsi="Arial"/>
          <w:sz w:val="18"/>
          <w:szCs w:val="18"/>
          <w:color w:val="auto"/>
        </w:rPr>
        <w:t>”) shall be deemed written notice for purposes of this Section 14 if sent to the electronic mail address specified by the receiving party under separate cover. Electronic Notice shall be deemed received at the time the party sending Electronic Notice receives confirmation of receipt by the receiving party. Any party receiving Electronic Notice may request and shall be entitled to receive the notice on paper, in a nonelectronic form (“</w:t>
      </w:r>
      <w:r>
        <w:rPr>
          <w:rFonts w:ascii="Arial" w:cs="Arial" w:eastAsia="Arial" w:hAnsi="Arial"/>
          <w:sz w:val="18"/>
          <w:szCs w:val="18"/>
          <w:u w:val="single" w:color="auto"/>
          <w:color w:val="auto"/>
        </w:rPr>
        <w:t>Nonelectronic Notice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88" w:lineRule="exact"/>
        <w:rPr>
          <w:sz w:val="20"/>
          <w:szCs w:val="20"/>
          <w:color w:val="auto"/>
        </w:rPr>
      </w:pPr>
    </w:p>
    <w:p>
      <w:pPr>
        <w:ind w:firstLine="464"/>
        <w:spacing w:after="0" w:line="255" w:lineRule="auto"/>
        <w:tabs>
          <w:tab w:leader="none" w:pos="72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Company and MLV and their respective successors and the affiliates, controlling persons, officers and directors referred to in Section 11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93" w:lineRule="exact"/>
        <w:rPr>
          <w:rFonts w:ascii="Arial" w:cs="Arial" w:eastAsia="Arial" w:hAnsi="Arial"/>
          <w:sz w:val="18"/>
          <w:szCs w:val="18"/>
          <w:color w:val="auto"/>
        </w:rPr>
      </w:pPr>
    </w:p>
    <w:p>
      <w:pPr>
        <w:ind w:right="120" w:firstLine="464"/>
        <w:spacing w:after="0" w:line="342" w:lineRule="auto"/>
        <w:tabs>
          <w:tab w:leader="none" w:pos="726"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Adjustments for Stock Splits</w:t>
      </w:r>
      <w:r>
        <w:rPr>
          <w:rFonts w:ascii="Arial" w:cs="Arial" w:eastAsia="Arial" w:hAnsi="Arial"/>
          <w:sz w:val="16"/>
          <w:szCs w:val="16"/>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81" w:name="page182"/>
    <w:bookmarkEnd w:id="181"/>
    <w:p>
      <w:pPr>
        <w:ind w:left="-120" w:right="40" w:firstLine="464"/>
        <w:spacing w:after="0" w:line="253" w:lineRule="auto"/>
        <w:tabs>
          <w:tab w:leader="none" w:pos="60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Amendment; Severability</w:t>
      </w:r>
      <w:r>
        <w:rPr>
          <w:rFonts w:ascii="Arial" w:cs="Arial" w:eastAsia="Arial" w:hAnsi="Arial"/>
          <w:sz w:val="18"/>
          <w:szCs w:val="18"/>
          <w:color w:val="auto"/>
        </w:rPr>
        <w:t>. This Agreement (including all schedules and exhibits attached hereto and Placement Notices issued pursuant hereto) constitutes the entire agreement of the parties with respect to the subject matter hereof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MLV.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93" w:lineRule="exact"/>
        <w:rPr>
          <w:rFonts w:ascii="Arial" w:cs="Arial" w:eastAsia="Arial" w:hAnsi="Arial"/>
          <w:sz w:val="18"/>
          <w:szCs w:val="18"/>
          <w:color w:val="auto"/>
        </w:rPr>
      </w:pPr>
    </w:p>
    <w:p>
      <w:pPr>
        <w:ind w:left="-120" w:right="80" w:firstLine="464"/>
        <w:spacing w:after="0" w:line="258" w:lineRule="auto"/>
        <w:tabs>
          <w:tab w:leader="none" w:pos="606"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b w:val="1"/>
          <w:bCs w:val="1"/>
          <w:color w:val="auto"/>
        </w:rPr>
      </w:pPr>
    </w:p>
    <w:p>
      <w:pPr>
        <w:ind w:left="-120" w:firstLine="464"/>
        <w:spacing w:after="0" w:line="253" w:lineRule="auto"/>
        <w:tabs>
          <w:tab w:leader="none" w:pos="606"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60" w:top="274" w:right="359" w:bottom="1440" w:gutter="0" w:footer="0" w:header="0"/>
        </w:sectPr>
      </w:pPr>
    </w:p>
    <w:bookmarkStart w:id="182" w:name="page183"/>
    <w:bookmarkEnd w:id="182"/>
    <w:p>
      <w:pPr>
        <w:ind w:right="640" w:firstLine="464"/>
        <w:spacing w:after="0" w:line="308" w:lineRule="auto"/>
        <w:tabs>
          <w:tab w:leader="none" w:pos="726"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Information</w:t>
      </w:r>
      <w:r>
        <w:rPr>
          <w:rFonts w:ascii="Arial" w:cs="Arial" w:eastAsia="Arial" w:hAnsi="Arial"/>
          <w:sz w:val="17"/>
          <w:szCs w:val="17"/>
          <w:color w:val="auto"/>
        </w:rPr>
        <w:t>. MLV may not use any information gained in connection with this Agreement and the transactions contemplated by this Agreement, including due diligence, to advise any party with respect to transactions not expressly approved by the Company.</w:t>
      </w:r>
    </w:p>
    <w:p>
      <w:pPr>
        <w:spacing w:after="0" w:line="146" w:lineRule="exact"/>
        <w:rPr>
          <w:rFonts w:ascii="Arial" w:cs="Arial" w:eastAsia="Arial" w:hAnsi="Arial"/>
          <w:sz w:val="17"/>
          <w:szCs w:val="17"/>
          <w:color w:val="auto"/>
        </w:rPr>
      </w:pPr>
    </w:p>
    <w:p>
      <w:pPr>
        <w:ind w:right="220" w:firstLine="464"/>
        <w:spacing w:after="0" w:line="342" w:lineRule="auto"/>
        <w:tabs>
          <w:tab w:leader="none" w:pos="72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123" w:lineRule="exact"/>
        <w:rPr>
          <w:rFonts w:ascii="Arial" w:cs="Arial" w:eastAsia="Arial" w:hAnsi="Arial"/>
          <w:sz w:val="16"/>
          <w:szCs w:val="16"/>
          <w:color w:val="auto"/>
        </w:rPr>
      </w:pPr>
    </w:p>
    <w:p>
      <w:pPr>
        <w:ind w:left="740" w:hanging="276"/>
        <w:spacing w:after="0"/>
        <w:tabs>
          <w:tab w:leader="none" w:pos="7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Exhibit headings herein are for convenience only and shall not affect the construction hereof.</w:t>
      </w:r>
    </w:p>
    <w:p>
      <w:pPr>
        <w:spacing w:after="0" w:line="225" w:lineRule="exact"/>
        <w:rPr>
          <w:rFonts w:ascii="Arial" w:cs="Arial" w:eastAsia="Arial" w:hAnsi="Arial"/>
          <w:sz w:val="18"/>
          <w:szCs w:val="18"/>
          <w:color w:val="auto"/>
        </w:rPr>
      </w:pPr>
    </w:p>
    <w:p>
      <w:pPr>
        <w:ind w:right="40" w:firstLine="464"/>
        <w:spacing w:after="0" w:line="289" w:lineRule="auto"/>
        <w:tabs>
          <w:tab w:leader="none" w:pos="72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MLV (such consent not to be unreasonably withheld, conditioned or delayed), and MLV represents, warrants and agrees that, unless it obtains the prior consent of the Company (such consent not to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MLV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23 hereto are Permitted Free Writing Prospectuses.</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rFonts w:ascii="Arial" w:cs="Arial" w:eastAsia="Arial" w:hAnsi="Arial"/>
          <w:sz w:val="18"/>
          <w:szCs w:val="18"/>
          <w:color w:val="auto"/>
        </w:rPr>
      </w:pPr>
    </w:p>
    <w:p>
      <w:pPr>
        <w:ind w:right="120" w:firstLine="921"/>
        <w:spacing w:after="0" w:line="255" w:lineRule="auto"/>
        <w:tabs>
          <w:tab w:leader="none" w:pos="11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MLV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MLV, on the other hand, has been or will be created in respect of any of the transactions contemplated by this Agreement, irrespective of whether or not MLV has advised or is advising the Company on other matters, and MLV has no obligation to the Company with respect to the transactions contemplated by this Agreement except the obligations expressly set forth in this Agreement;</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it is capable of evaluating and understanding, and understands and accepts, the terms, risks and conditions of the transactions contemplated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right="120" w:firstLine="921"/>
        <w:spacing w:after="0" w:line="277" w:lineRule="auto"/>
        <w:tabs>
          <w:tab w:leader="none" w:pos="11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MLV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83" w:name="page184"/>
    <w:bookmarkEnd w:id="183"/>
    <w:p>
      <w:pPr>
        <w:ind w:firstLine="921"/>
        <w:spacing w:after="0" w:line="264" w:lineRule="auto"/>
        <w:tabs>
          <w:tab w:leader="none" w:pos="1168" w:val="left"/>
        </w:tabs>
        <w:numPr>
          <w:ilvl w:val="1"/>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aware that MLV and its affiliates are engaged in a broad range of transactions which may involve interests that differ from those of the Company and MLV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right="20" w:firstLine="921"/>
        <w:spacing w:after="0" w:line="276" w:lineRule="auto"/>
        <w:tabs>
          <w:tab w:leader="none" w:pos="115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it waives, to the fullest extent permitted by law, any claims it may have against MLV for breach of fiduciary duty or alleged breach of fiduciary duty in connection with the sale of Placement Shares under this Agreement and agrees that MLV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MLV’s obligations under this Agreement and to keep information provided by the Company to MLV and MLV’s counsel confidential to the extent not otherwise publicly-available.</w:t>
      </w:r>
    </w:p>
    <w:p>
      <w:pPr>
        <w:spacing w:after="0" w:line="172" w:lineRule="exact"/>
        <w:rPr>
          <w:rFonts w:ascii="Arial" w:cs="Arial" w:eastAsia="Arial" w:hAnsi="Arial"/>
          <w:sz w:val="17"/>
          <w:szCs w:val="17"/>
          <w:color w:val="auto"/>
        </w:rPr>
      </w:pPr>
    </w:p>
    <w:p>
      <w:pPr>
        <w:ind w:left="740" w:hanging="276"/>
        <w:spacing w:after="0"/>
        <w:tabs>
          <w:tab w:leader="none" w:pos="7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(i) each Representation Date and (ii) the time of each sale of any Placement Shares pursuant to this Agreement.</w:t>
      </w:r>
    </w:p>
    <w:p>
      <w:pPr>
        <w:spacing w:after="0" w:line="23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 Regulations.</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MLV outside of the United States.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184" w:name="page185"/>
    <w:bookmarkEnd w:id="18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MLV, please so indicate in the space provided below for that purpose, whereupon this letter shall constitute a binding agreement between the Company and MLV.</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Matthew J. Pfeffer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MLV &amp; CO.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Patrice McNicoll</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At-The-Market Issuance Sales Agreement]</w:t>
      </w:r>
    </w:p>
    <w:p>
      <w:pPr>
        <w:sectPr>
          <w:pgSz w:w="11900" w:h="16838" w:orient="portrait"/>
          <w:cols w:equalWidth="0" w:num="1">
            <w:col w:w="11340"/>
          </w:cols>
          <w:pgMar w:left="240" w:top="274" w:right="319" w:bottom="1440" w:gutter="0" w:footer="0" w:header="0"/>
        </w:sectPr>
      </w:pPr>
    </w:p>
    <w:bookmarkStart w:id="185" w:name="page186"/>
    <w:bookmarkEnd w:id="185"/>
    <w:tbl>
      <w:tblPr>
        <w:tblLayout w:type="fixed"/>
        <w:tblInd w:w="4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SCHEDULE 1</w:t>
            </w:r>
          </w:p>
        </w:tc>
      </w:tr>
      <w:tr>
        <w:trPr>
          <w:trHeight w:val="351"/>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26"/>
        </w:trPr>
        <w:tc>
          <w:tcPr>
            <w:tcW w:w="780" w:type="dxa"/>
            <w:vAlign w:val="bottom"/>
          </w:tcPr>
          <w:p>
            <w:pPr>
              <w:spacing w:after="0"/>
              <w:rPr>
                <w:sz w:val="24"/>
                <w:szCs w:val="24"/>
                <w:color w:val="auto"/>
              </w:rPr>
            </w:pPr>
          </w:p>
        </w:tc>
        <w:tc>
          <w:tcPr>
            <w:tcW w:w="5880" w:type="dxa"/>
            <w:vAlign w:val="bottom"/>
            <w:gridSpan w:val="3"/>
          </w:tcPr>
          <w:p>
            <w:pPr>
              <w:jc w:val="center"/>
              <w:ind w:left="2990"/>
              <w:spacing w:after="0"/>
              <w:rPr>
                <w:sz w:val="20"/>
                <w:szCs w:val="20"/>
                <w:color w:val="auto"/>
              </w:rPr>
            </w:pPr>
            <w:r>
              <w:rPr>
                <w:rFonts w:ascii="Arial" w:cs="Arial" w:eastAsia="Arial" w:hAnsi="Arial"/>
                <w:sz w:val="18"/>
                <w:szCs w:val="18"/>
                <w:b w:val="1"/>
                <w:bCs w:val="1"/>
                <w:color w:val="auto"/>
              </w:rPr>
              <w:t>FORM OF PLACEMENT NOTICE</w:t>
            </w:r>
          </w:p>
        </w:tc>
      </w:tr>
      <w:tr>
        <w:trPr>
          <w:trHeight w:val="365"/>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80"/>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MannKind Corporation</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MLV &amp; Co. LLC</w:t>
            </w:r>
          </w:p>
        </w:tc>
      </w:tr>
      <w:tr>
        <w:trPr>
          <w:trHeight w:val="324"/>
        </w:trPr>
        <w:tc>
          <w:tcPr>
            <w:tcW w:w="780" w:type="dxa"/>
            <w:vAlign w:val="bottom"/>
          </w:tcPr>
          <w:p>
            <w:pPr>
              <w:spacing w:after="0"/>
              <w:rPr>
                <w:sz w:val="24"/>
                <w:szCs w:val="24"/>
                <w:color w:val="auto"/>
              </w:rPr>
            </w:pP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Attention: Patrice McNicoll</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Subject:</w:t>
            </w:r>
          </w:p>
        </w:tc>
        <w:tc>
          <w:tcPr>
            <w:tcW w:w="5880" w:type="dxa"/>
            <w:vAlign w:val="bottom"/>
            <w:gridSpan w:val="3"/>
          </w:tcPr>
          <w:p>
            <w:pPr>
              <w:ind w:left="180"/>
              <w:spacing w:after="0"/>
              <w:rPr>
                <w:sz w:val="20"/>
                <w:szCs w:val="20"/>
                <w:color w:val="auto"/>
              </w:rPr>
            </w:pPr>
            <w:r>
              <w:rPr>
                <w:rFonts w:ascii="Arial" w:cs="Arial" w:eastAsia="Arial" w:hAnsi="Arial"/>
                <w:sz w:val="18"/>
                <w:szCs w:val="18"/>
                <w:color w:val="auto"/>
              </w:rPr>
              <w:t>At-The-Market Issuance—Placement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At-The-Market Issuance Sales Agreement between MannKind Corporation, 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gridSpan w:val="6"/>
          </w:tcPr>
          <w:p>
            <w:pPr>
              <w:spacing w:after="0"/>
              <w:rPr>
                <w:sz w:val="20"/>
                <w:szCs w:val="20"/>
                <w:color w:val="auto"/>
              </w:rPr>
            </w:pPr>
            <w:r>
              <w:rPr>
                <w:rFonts w:ascii="Arial" w:cs="Arial" w:eastAsia="Arial" w:hAnsi="Arial"/>
                <w:sz w:val="18"/>
                <w:szCs w:val="18"/>
                <w:color w:val="auto"/>
                <w:w w:val="95"/>
              </w:rPr>
              <w:t>Delaware corporation (the “Company”), and MLV &amp; Co. LLC (“MLV”), dated March 3, 2014, the Company hereby requests that MLV sell up to</w:t>
            </w:r>
          </w:p>
        </w:tc>
        <w:tc>
          <w:tcPr>
            <w:tcW w:w="640" w:type="dxa"/>
            <w:vAlign w:val="bottom"/>
          </w:tcPr>
          <w:p>
            <w:pPr>
              <w:ind w:left="220"/>
              <w:spacing w:after="0"/>
              <w:rPr>
                <w:sz w:val="20"/>
                <w:szCs w:val="20"/>
                <w:color w:val="auto"/>
              </w:rPr>
            </w:pPr>
            <w:r>
              <w:rPr>
                <w:rFonts w:ascii="Arial" w:cs="Arial" w:eastAsia="Arial" w:hAnsi="Arial"/>
                <w:sz w:val="18"/>
                <w:szCs w:val="18"/>
                <w:color w:val="auto"/>
                <w:w w:val="88"/>
              </w:rPr>
              <w:t>of the</w:t>
            </w:r>
          </w:p>
        </w:tc>
      </w:tr>
      <w:tr>
        <w:trPr>
          <w:trHeight w:val="20"/>
        </w:trPr>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r>
      <w:tr>
        <w:trPr>
          <w:trHeight w:val="222"/>
        </w:trPr>
        <w:tc>
          <w:tcPr>
            <w:tcW w:w="6480" w:type="dxa"/>
            <w:vAlign w:val="bottom"/>
            <w:gridSpan w:val="5"/>
          </w:tcPr>
          <w:p>
            <w:pPr>
              <w:spacing w:after="0"/>
              <w:rPr>
                <w:sz w:val="20"/>
                <w:szCs w:val="20"/>
                <w:color w:val="auto"/>
              </w:rPr>
            </w:pPr>
            <w:r>
              <w:rPr>
                <w:rFonts w:ascii="Arial" w:cs="Arial" w:eastAsia="Arial" w:hAnsi="Arial"/>
                <w:sz w:val="18"/>
                <w:szCs w:val="18"/>
                <w:color w:val="auto"/>
                <w:w w:val="93"/>
              </w:rPr>
              <w:t>Company’s Common Stock, par value $0.01 per share, at a minimum market price of $</w:t>
            </w: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w w:val="94"/>
              </w:rPr>
              <w:t>per share, during the time period beginning [month, day, time]</w:t>
            </w:r>
          </w:p>
        </w:tc>
      </w:tr>
      <w:tr>
        <w:trPr>
          <w:trHeight w:val="230"/>
        </w:trPr>
        <w:tc>
          <w:tcPr>
            <w:tcW w:w="10700" w:type="dxa"/>
            <w:vAlign w:val="bottom"/>
            <w:gridSpan w:val="6"/>
          </w:tcPr>
          <w:p>
            <w:pPr>
              <w:spacing w:after="0"/>
              <w:rPr>
                <w:sz w:val="20"/>
                <w:szCs w:val="20"/>
                <w:color w:val="auto"/>
              </w:rPr>
            </w:pPr>
            <w:r>
              <w:rPr>
                <w:rFonts w:ascii="Arial" w:cs="Arial" w:eastAsia="Arial" w:hAnsi="Arial"/>
                <w:sz w:val="18"/>
                <w:szCs w:val="18"/>
                <w:color w:val="auto"/>
              </w:rPr>
              <w:t>and ending [month, day, time]. [The Company may include such other sales parameters as it deems appropriate.]</w:t>
            </w:r>
          </w:p>
        </w:tc>
        <w:tc>
          <w:tcPr>
            <w:tcW w:w="640" w:type="dxa"/>
            <w:vAlign w:val="bottom"/>
          </w:tcPr>
          <w:p>
            <w:pPr>
              <w:spacing w:after="0"/>
              <w:rPr>
                <w:sz w:val="20"/>
                <w:szCs w:val="20"/>
                <w:color w:val="auto"/>
              </w:rPr>
            </w:pPr>
          </w:p>
        </w:tc>
      </w:tr>
    </w:tbl>
    <w:p>
      <w:pPr>
        <w:sectPr>
          <w:pgSz w:w="11900" w:h="16838" w:orient="portrait"/>
          <w:cols w:equalWidth="0" w:num="1">
            <w:col w:w="11340"/>
          </w:cols>
          <w:pgMar w:left="240" w:top="270" w:right="319" w:bottom="1440" w:gutter="0" w:footer="0" w:header="0"/>
        </w:sectPr>
      </w:pPr>
    </w:p>
    <w:bookmarkStart w:id="186" w:name="page187"/>
    <w:bookmarkEnd w:id="18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shall pay to MLV in cash, upon each sale of Placement Shares pursuant to this Agreement, an amount up to 3.0% of the gross proceeds from each sale of Placement Shares.</w:t>
      </w:r>
    </w:p>
    <w:p>
      <w:pPr>
        <w:sectPr>
          <w:pgSz w:w="11900" w:h="16838" w:orient="portrait"/>
          <w:cols w:equalWidth="0" w:num="1">
            <w:col w:w="11260"/>
          </w:cols>
          <w:pgMar w:left="240" w:top="270" w:right="399" w:bottom="1440" w:gutter="0" w:footer="0" w:header="0"/>
        </w:sectPr>
      </w:pPr>
    </w:p>
    <w:bookmarkStart w:id="187" w:name="page188"/>
    <w:bookmarkEnd w:id="187"/>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ectPr>
          <w:pgSz w:w="11900" w:h="16838" w:orient="portrait"/>
          <w:cols w:equalWidth="0" w:num="1">
            <w:col w:w="10219"/>
          </w:cols>
          <w:pgMar w:left="240" w:top="270" w:right="1440"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Matthew Pfeffer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David Thomson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Hakan Edstrom</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mpfeffer@mannkindcorp.com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dthomson@mannkindcorp.com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hedstrom@mannkindcorp.com</w:t>
      </w:r>
    </w:p>
    <w:p>
      <w:pPr>
        <w:spacing w:after="0" w:line="125" w:lineRule="exact"/>
        <w:rPr>
          <w:sz w:val="20"/>
          <w:szCs w:val="20"/>
          <w:color w:val="auto"/>
        </w:rPr>
      </w:pPr>
    </w:p>
    <w:p>
      <w:pPr>
        <w:sectPr>
          <w:pgSz w:w="11900" w:h="16838" w:orient="portrait"/>
          <w:cols w:equalWidth="0" w:num="2">
            <w:col w:w="1800" w:space="720"/>
            <w:col w:w="7699"/>
          </w:cols>
          <w:pgMar w:left="2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MLV</w:t>
      </w:r>
    </w:p>
    <w:p>
      <w:pPr>
        <w:sectPr>
          <w:pgSz w:w="11900" w:h="16838" w:orient="portrait"/>
          <w:cols w:equalWidth="0" w:num="1">
            <w:col w:w="10219"/>
          </w:cols>
          <w:pgMar w:left="240" w:top="270" w:right="1440" w:bottom="1440" w:gutter="0" w:footer="0" w:header="0"/>
          <w:type w:val="continuous"/>
        </w:sectPr>
      </w:pPr>
    </w:p>
    <w:p>
      <w:pPr>
        <w:spacing w:after="0" w:line="117"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Randy Billhardt Dean Colucci Ryan Loforte Patrice McNicoll Miranda Toledano</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rbillhardt@mlvco.com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dcolucci@mlvco.com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rloforte@mlvco.com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pmcnicoll@mlvco.com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mtoledano@mlvco.com</w:t>
      </w:r>
    </w:p>
    <w:p>
      <w:pPr>
        <w:spacing w:after="0" w:line="125" w:lineRule="exact"/>
        <w:rPr>
          <w:sz w:val="20"/>
          <w:szCs w:val="20"/>
          <w:color w:val="auto"/>
        </w:rPr>
      </w:pPr>
    </w:p>
    <w:p>
      <w:pPr>
        <w:sectPr>
          <w:pgSz w:w="11900" w:h="16838" w:orient="portrait"/>
          <w:cols w:equalWidth="0" w:num="2">
            <w:col w:w="1800" w:space="720"/>
            <w:col w:w="769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 mlvatmdesk@mlvco.com</w:t>
      </w:r>
    </w:p>
    <w:p>
      <w:pPr>
        <w:sectPr>
          <w:pgSz w:w="11900" w:h="16838" w:orient="portrait"/>
          <w:cols w:equalWidth="0" w:num="1">
            <w:col w:w="10219"/>
          </w:cols>
          <w:pgMar w:left="240" w:top="270" w:right="1440" w:bottom="1440" w:gutter="0" w:footer="0" w:header="0"/>
          <w:type w:val="continuous"/>
        </w:sectPr>
      </w:pPr>
    </w:p>
    <w:bookmarkStart w:id="188" w:name="page189"/>
    <w:bookmarkEnd w:id="188"/>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240665</wp:posOffset>
            </wp:positionV>
            <wp:extent cx="15176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256540</wp:posOffset>
            </wp:positionV>
            <wp:extent cx="15176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0" w:right="1440"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Representation Date Certificate</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Officers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is executed and delivered in connection with Section 7(l) of the At-The-Market Issuance Sales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March 3, 2014, and entered into between MannKind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MLV &amp; Co. LLC. All capitalized terms used but not defined herein shall have the meanings given to such terms in the Agreement.</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undersigned, a duly appointed and authorized officer of the Company, having made reasonable inquiries to establish the accuracy of the statements below and having been authorized by the Company to execute this certificate on behalf of the Company, hereby certifies, on behalf of the Company and not in the undersigned’s individual capacity, as follows:</w:t>
      </w:r>
    </w:p>
    <w:p>
      <w:pPr>
        <w:spacing w:after="0" w:line="181" w:lineRule="exact"/>
        <w:rPr>
          <w:sz w:val="20"/>
          <w:szCs w:val="20"/>
          <w:color w:val="auto"/>
        </w:rPr>
      </w:pPr>
    </w:p>
    <w:p>
      <w:pPr>
        <w:ind w:firstLine="464"/>
        <w:spacing w:after="0" w:line="297" w:lineRule="auto"/>
        <w:tabs>
          <w:tab w:leader="none" w:pos="63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contains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(i) and (ii) to be true.</w:t>
      </w:r>
    </w:p>
    <w:p>
      <w:pPr>
        <w:spacing w:after="0" w:line="158" w:lineRule="exact"/>
        <w:rPr>
          <w:rFonts w:ascii="Arial" w:cs="Arial" w:eastAsia="Arial" w:hAnsi="Arial"/>
          <w:sz w:val="16"/>
          <w:szCs w:val="16"/>
          <w:color w:val="auto"/>
        </w:rPr>
      </w:pPr>
    </w:p>
    <w:p>
      <w:pPr>
        <w:ind w:right="80" w:firstLine="464"/>
        <w:spacing w:after="0" w:line="342" w:lineRule="auto"/>
        <w:tabs>
          <w:tab w:leader="none" w:pos="63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Company contained in the Agreement was true and correct in all material respects, when originally made, and, except for those representations and warranties that speak solely as of a specific date, is true and correct as of the date of this Certificate.</w:t>
      </w:r>
    </w:p>
    <w:p>
      <w:pPr>
        <w:spacing w:after="0" w:line="123" w:lineRule="exact"/>
        <w:rPr>
          <w:rFonts w:ascii="Arial" w:cs="Arial" w:eastAsia="Arial" w:hAnsi="Arial"/>
          <w:sz w:val="16"/>
          <w:szCs w:val="16"/>
          <w:color w:val="auto"/>
        </w:rPr>
      </w:pPr>
    </w:p>
    <w:p>
      <w:pPr>
        <w:ind w:right="40" w:firstLine="464"/>
        <w:spacing w:after="0" w:line="257" w:lineRule="auto"/>
        <w:tabs>
          <w:tab w:leader="none" w:pos="6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waived by MLV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88" w:lineRule="exact"/>
        <w:rPr>
          <w:rFonts w:ascii="Arial" w:cs="Arial" w:eastAsia="Arial" w:hAnsi="Arial"/>
          <w:sz w:val="18"/>
          <w:szCs w:val="18"/>
          <w:color w:val="auto"/>
        </w:rPr>
      </w:pPr>
    </w:p>
    <w:p>
      <w:pPr>
        <w:ind w:right="200" w:firstLine="464"/>
        <w:spacing w:after="0" w:line="264" w:lineRule="auto"/>
        <w:tabs>
          <w:tab w:leader="none" w:pos="6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of any part thereof has been issued, and, to the Company’s knowledge, no proceedings for that purpose have been instituted or are pending or threatened by any securities or other governmental authority (including, without limitation, the Commission).</w:t>
      </w:r>
    </w:p>
    <w:p>
      <w:pPr>
        <w:spacing w:after="0" w:line="181"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ectPr>
          <w:pgSz w:w="11900" w:h="16838" w:orient="portrait"/>
          <w:cols w:equalWidth="0" w:num="1">
            <w:col w:w="11420"/>
          </w:cols>
          <w:pgMar w:left="240" w:top="270" w:right="23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executed this Officer’s Certificate on behalf of the Company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7(m)(1)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Opinion</w:t>
      </w:r>
    </w:p>
    <w:p>
      <w:pPr>
        <w:sectPr>
          <w:pgSz w:w="11900" w:h="16838" w:orient="portrait"/>
          <w:cols w:equalWidth="0" w:num="1">
            <w:col w:w="9019"/>
          </w:cols>
          <w:pgMar w:left="1440" w:top="270"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7(m)(2)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Letter</w:t>
      </w:r>
    </w:p>
    <w:p>
      <w:pPr>
        <w:sectPr>
          <w:pgSz w:w="11900" w:h="16838" w:orient="portrait"/>
          <w:cols w:equalWidth="0" w:num="1">
            <w:col w:w="9019"/>
          </w:cols>
          <w:pgMar w:left="1440" w:top="270" w:right="1440" w:bottom="1440" w:gutter="0" w:footer="0" w:header="0"/>
        </w:sectPr>
      </w:pPr>
    </w:p>
    <w:bookmarkStart w:id="193" w:name="page194"/>
    <w:bookmarkEnd w:id="193"/>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23</w:t>
      </w:r>
    </w:p>
    <w:p>
      <w:pPr>
        <w:spacing w:after="0" w:line="225"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Permitted 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0"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At-The-Market Issuance Sales Agreement</w:t>
      </w: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3, 2014</w:t>
      </w:r>
    </w:p>
    <w:p>
      <w:pPr>
        <w:spacing w:after="0" w:line="248" w:lineRule="exact"/>
        <w:rPr>
          <w:sz w:val="20"/>
          <w:szCs w:val="20"/>
          <w:color w:val="auto"/>
        </w:rPr>
      </w:pPr>
    </w:p>
    <w:p>
      <w:pPr>
        <w:jc w:val="center"/>
        <w:ind w:right="7700"/>
        <w:spacing w:after="0"/>
        <w:rPr>
          <w:sz w:val="20"/>
          <w:szCs w:val="20"/>
          <w:color w:val="auto"/>
        </w:rPr>
      </w:pPr>
      <w:r>
        <w:rPr>
          <w:rFonts w:ascii="Arial" w:cs="Arial" w:eastAsia="Arial" w:hAnsi="Arial"/>
          <w:sz w:val="16"/>
          <w:szCs w:val="16"/>
          <w:color w:val="auto"/>
        </w:rPr>
        <w:t>Meyers Associates, L.P. (doing business as Brinson</w:t>
      </w:r>
    </w:p>
    <w:p>
      <w:pPr>
        <w:spacing w:after="0" w:line="46" w:lineRule="exact"/>
        <w:rPr>
          <w:sz w:val="20"/>
          <w:szCs w:val="20"/>
          <w:color w:val="auto"/>
        </w:rPr>
      </w:pPr>
    </w:p>
    <w:p>
      <w:pPr>
        <w:jc w:val="center"/>
        <w:ind w:right="7720"/>
        <w:spacing w:after="0"/>
        <w:rPr>
          <w:sz w:val="20"/>
          <w:szCs w:val="20"/>
          <w:color w:val="auto"/>
        </w:rPr>
      </w:pPr>
      <w:r>
        <w:rPr>
          <w:rFonts w:ascii="Arial" w:cs="Arial" w:eastAsia="Arial" w:hAnsi="Arial"/>
          <w:sz w:val="18"/>
          <w:szCs w:val="18"/>
          <w:color w:val="auto"/>
        </w:rPr>
        <w:t>Patrick, a division of Meyers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Columbus Circle,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MannKind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Meyers Associates, L.P. (doing business as Brinson Patrick, a division of Meyers Associates, L.P. (“</w:t>
      </w:r>
      <w:r>
        <w:rPr>
          <w:rFonts w:ascii="Arial" w:cs="Arial" w:eastAsia="Arial" w:hAnsi="Arial"/>
          <w:sz w:val="18"/>
          <w:szCs w:val="18"/>
          <w:u w:val="single" w:color="auto"/>
          <w:color w:val="auto"/>
        </w:rPr>
        <w:t>BP</w:t>
      </w:r>
      <w:r>
        <w:rPr>
          <w:rFonts w:ascii="Arial" w:cs="Arial" w:eastAsia="Arial" w:hAnsi="Arial"/>
          <w:sz w:val="18"/>
          <w:szCs w:val="18"/>
          <w:color w:val="auto"/>
        </w:rPr>
        <w:t>”), as follows:</w:t>
      </w:r>
    </w:p>
    <w:p>
      <w:pPr>
        <w:spacing w:after="0" w:line="170" w:lineRule="exact"/>
        <w:rPr>
          <w:sz w:val="20"/>
          <w:szCs w:val="20"/>
          <w:color w:val="auto"/>
        </w:rPr>
      </w:pPr>
    </w:p>
    <w:p>
      <w:pPr>
        <w:ind w:left="640" w:hanging="176"/>
        <w:spacing w:after="0"/>
        <w:tabs>
          <w:tab w:leader="none" w:pos="640" w:val="left"/>
        </w:tabs>
        <w:numPr>
          <w:ilvl w:val="1"/>
          <w:numId w:val="121"/>
        </w:numPr>
        <w:rPr>
          <w:rFonts w:ascii="Arial" w:cs="Arial" w:eastAsia="Arial" w:hAnsi="Arial"/>
          <w:sz w:val="17"/>
          <w:szCs w:val="17"/>
          <w:color w:val="auto"/>
        </w:rPr>
      </w:pPr>
      <w:r>
        <w:rPr>
          <w:rFonts w:ascii="Arial" w:cs="Arial" w:eastAsia="Arial" w:hAnsi="Arial"/>
          <w:sz w:val="17"/>
          <w:szCs w:val="17"/>
          <w:u w:val="single" w:color="auto"/>
          <w:color w:val="auto"/>
        </w:rPr>
        <w:t>Issuance and Sale of Shares</w:t>
      </w:r>
      <w:r>
        <w:rPr>
          <w:rFonts w:ascii="Arial" w:cs="Arial" w:eastAsia="Arial" w:hAnsi="Arial"/>
          <w:sz w:val="17"/>
          <w:szCs w:val="17"/>
          <w:color w:val="auto"/>
        </w:rPr>
        <w:t>. The Company agrees that, from time to time during the term of this Agreement, on the terms and subject to the</w:t>
      </w:r>
    </w:p>
    <w:p>
      <w:pPr>
        <w:spacing w:after="0" w:line="34" w:lineRule="exact"/>
        <w:rPr>
          <w:rFonts w:ascii="Arial" w:cs="Arial" w:eastAsia="Arial" w:hAnsi="Arial"/>
          <w:sz w:val="17"/>
          <w:szCs w:val="17"/>
          <w:color w:val="auto"/>
        </w:rPr>
      </w:pPr>
    </w:p>
    <w:p>
      <w:pPr>
        <w:ind w:right="60"/>
        <w:spacing w:after="0" w:line="281" w:lineRule="auto"/>
        <w:rPr>
          <w:rFonts w:ascii="Arial" w:cs="Arial" w:eastAsia="Arial" w:hAnsi="Arial"/>
          <w:sz w:val="17"/>
          <w:szCs w:val="17"/>
          <w:color w:val="auto"/>
        </w:rPr>
      </w:pPr>
      <w:r>
        <w:rPr>
          <w:rFonts w:ascii="Arial" w:cs="Arial" w:eastAsia="Arial" w:hAnsi="Arial"/>
          <w:sz w:val="16"/>
          <w:szCs w:val="16"/>
          <w:color w:val="auto"/>
        </w:rPr>
        <w:t>conditions set forth herein, it may issue and sell through BP, shares (the “</w:t>
      </w:r>
      <w:r>
        <w:rPr>
          <w:rFonts w:ascii="Arial" w:cs="Arial" w:eastAsia="Arial" w:hAnsi="Arial"/>
          <w:sz w:val="16"/>
          <w:szCs w:val="16"/>
          <w:u w:val="single" w:color="auto"/>
          <w:color w:val="auto"/>
        </w:rPr>
        <w:t>Placement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up to an aggregate offering price of $50,000,000 less the aggregate offering price of any Common Stock sold pursuant to the Concurrent Facility Agreement (as defined below),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the Company issue or sell through BP such number of Placement Shares that</w:t>
      </w:r>
    </w:p>
    <w:p>
      <w:pPr>
        <w:spacing w:after="0" w:line="2" w:lineRule="exact"/>
        <w:rPr>
          <w:rFonts w:ascii="Arial" w:cs="Arial" w:eastAsia="Arial" w:hAnsi="Arial"/>
          <w:sz w:val="17"/>
          <w:szCs w:val="17"/>
          <w:color w:val="auto"/>
        </w:rPr>
      </w:pPr>
    </w:p>
    <w:p>
      <w:pPr>
        <w:ind w:right="20" w:firstLine="8"/>
        <w:spacing w:after="0" w:line="268" w:lineRule="auto"/>
        <w:tabs>
          <w:tab w:leader="none" w:pos="24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would cause the Company to not satisfy the eligibility requirements for use of Form S-3 (including Instruction I.B.6. thereof), (b) exceeds the number of shares of Common Stock registered on the effective Registration Statement (as defined below) pursuant to which the offering is being made or (c) exceeds the number of authorized but unissued shares of the Company’s Common Stock (the lesser of (a), (b) and (c), the “</w:t>
      </w:r>
      <w:r>
        <w:rPr>
          <w:rFonts w:ascii="Arial" w:cs="Arial" w:eastAsia="Arial" w:hAnsi="Arial"/>
          <w:sz w:val="17"/>
          <w:szCs w:val="17"/>
          <w:u w:val="single" w:color="auto"/>
          <w:color w:val="auto"/>
        </w:rPr>
        <w:t>Maximum Amount</w:t>
      </w:r>
      <w:r>
        <w:rPr>
          <w:rFonts w:ascii="Arial" w:cs="Arial" w:eastAsia="Arial" w:hAnsi="Arial"/>
          <w:sz w:val="17"/>
          <w:szCs w:val="17"/>
          <w:color w:val="auto"/>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BP shall have no obligation in connection with such compliance. The issuance and sale of Placement Shares through BP will be effected pursuant to the Registration Statement filed by the Company and declared effective by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although nothing in this Agreement shall be construed as requiring the Company to use the Registration Statement to issue any Placement Shares.</w:t>
      </w:r>
    </w:p>
    <w:p>
      <w:pPr>
        <w:spacing w:after="0" w:line="18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Company has filed, in accordance with the provisions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and regulations thereunder (the “</w:t>
      </w:r>
      <w:r>
        <w:rPr>
          <w:rFonts w:ascii="Arial" w:cs="Arial" w:eastAsia="Arial" w:hAnsi="Arial"/>
          <w:sz w:val="16"/>
          <w:szCs w:val="16"/>
          <w:u w:val="single" w:color="auto"/>
          <w:color w:val="auto"/>
        </w:rPr>
        <w:t>Securities Act Regulations</w:t>
      </w:r>
      <w:r>
        <w:rPr>
          <w:rFonts w:ascii="Arial" w:cs="Arial" w:eastAsia="Arial" w:hAnsi="Arial"/>
          <w:sz w:val="16"/>
          <w:szCs w:val="16"/>
          <w:color w:val="auto"/>
        </w:rPr>
        <w:t>”), with the Commission a registration statement on Form S-3 (File No. 333-183679), including a base prospectus, relating to certain securities, including the Placement Shares to be issued from time to time by the Company, and which incorporates by reference</w:t>
      </w:r>
    </w:p>
    <w:p>
      <w:pPr>
        <w:sectPr>
          <w:pgSz w:w="11900" w:h="16838" w:orient="portrait"/>
          <w:cols w:equalWidth="0" w:num="1">
            <w:col w:w="11420"/>
          </w:cols>
          <w:pgMar w:left="240" w:top="121" w:right="23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that the Company has filed or will file in accordance with the provisions of the Securities Exchange Act of 1934, as amended (the “</w:t>
      </w:r>
      <w:r>
        <w:rPr>
          <w:rFonts w:ascii="Arial" w:cs="Arial" w:eastAsia="Arial" w:hAnsi="Arial"/>
          <w:sz w:val="16"/>
          <w:szCs w:val="16"/>
          <w:u w:val="single" w:color="auto"/>
          <w:color w:val="auto"/>
        </w:rPr>
        <w:t>Exchange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w:t>
      </w:r>
      <w:r>
        <w:rPr>
          <w:rFonts w:ascii="Arial" w:cs="Arial" w:eastAsia="Arial" w:hAnsi="Arial"/>
          <w:sz w:val="16"/>
          <w:szCs w:val="16"/>
          <w:color w:val="auto"/>
        </w:rPr>
        <w:t>”), and the rules and regulations thereunder. The Company has prepared a prospectus supplement specifically relating to the Placement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BP, for use by BP, copies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included as part of such registration statement, as supplemented by the Prospectus Supplement, relating to the Placement Shares. Except where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context otherwise requires, such registration statement, including all documents filed as part thereof or incorporated by reference therein, and including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contained in a Prospectus (as defined below) subsequently filed with the Commission pursuant to Rule 424(b) under the Securities 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or deemed to be a part of such registration statement pursuant to Rule 430B of the Securities Act Regulations, is herein called the “</w:t>
      </w:r>
      <w:r>
        <w:rPr>
          <w:rFonts w:ascii="Arial" w:cs="Arial" w:eastAsia="Arial" w:hAnsi="Arial"/>
          <w:sz w:val="16"/>
          <w:szCs w:val="16"/>
          <w:u w:val="single" w:color="auto"/>
          <w:color w:val="auto"/>
        </w:rPr>
        <w:t>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Statement</w:t>
      </w:r>
      <w:r>
        <w:rPr>
          <w:rFonts w:ascii="Arial" w:cs="Arial" w:eastAsia="Arial" w:hAnsi="Arial"/>
          <w:sz w:val="17"/>
          <w:szCs w:val="17"/>
          <w:color w:val="auto"/>
        </w:rPr>
        <w:t>.” The base prospectus, including all documents incorporated therein by reference, included in the Registration Statement, as it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supplemented by the Prospectus Supplement, in the form in which such prospectus and/or Prospectus Supplement have most recently been filed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with the Commission pursuant to Rule 424(b) under the Securities Act Regulations,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Prospectus or any amendment or supplement thereto shall be deemed to refer to and include the documents incorporated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 therein, and any reference herein to the terms “amend,” “amendment” or “supplement” with respect to the Registration Statement or the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refer to and include the filing after the execution hereof of any document with the Commission deemed to be incorporated by 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therein (the “</w:t>
      </w:r>
      <w:r>
        <w:rPr>
          <w:rFonts w:ascii="Arial" w:cs="Arial" w:eastAsia="Arial" w:hAnsi="Arial"/>
          <w:sz w:val="18"/>
          <w:szCs w:val="18"/>
          <w:u w:val="single" w:color="auto"/>
          <w:color w:val="auto"/>
        </w:rPr>
        <w:t>Incorporated Documents</w:t>
      </w:r>
      <w:r>
        <w:rPr>
          <w:rFonts w:ascii="Arial" w:cs="Arial" w:eastAsia="Arial" w:hAnsi="Arial"/>
          <w:sz w:val="18"/>
          <w:szCs w:val="18"/>
          <w:color w:val="auto"/>
        </w:rPr>
        <w: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u w:val="single" w:color="auto"/>
          <w:color w:val="auto"/>
        </w:rPr>
        <w:t>EDGAR</w:t>
      </w:r>
      <w:r>
        <w:rPr>
          <w:rFonts w:ascii="Arial" w:cs="Arial" w:eastAsia="Arial" w:hAnsi="Arial"/>
          <w:sz w:val="18"/>
          <w:szCs w:val="18"/>
          <w:color w:val="auto"/>
        </w:rPr>
        <w:t>”).</w:t>
      </w:r>
    </w:p>
    <w:p>
      <w:pPr>
        <w:spacing w:after="0" w:line="181" w:lineRule="exact"/>
        <w:rPr>
          <w:sz w:val="20"/>
          <w:szCs w:val="20"/>
          <w:color w:val="auto"/>
        </w:rPr>
      </w:pPr>
    </w:p>
    <w:p>
      <w:pPr>
        <w:ind w:right="20" w:firstLine="464"/>
        <w:spacing w:after="0" w:line="286" w:lineRule="auto"/>
        <w:tabs>
          <w:tab w:leader="none" w:pos="636"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Placement Shares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BP by email notice (or other method mutually agreed to in writing by the parties) of the proposed terms of such Placement, which shall include at a minimum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u w:val="single" w:color="auto"/>
          <w:color w:val="auto"/>
        </w:rPr>
        <w:t>Placement Notice</w:t>
      </w:r>
      <w:r>
        <w:rPr>
          <w:rFonts w:ascii="Arial" w:cs="Arial" w:eastAsia="Arial" w:hAnsi="Arial"/>
          <w:sz w:val="16"/>
          <w:szCs w:val="16"/>
          <w:color w:val="auto"/>
        </w:rPr>
        <w:t>”), the form of which is attached hereto as Schedule</w:t>
      </w:r>
    </w:p>
    <w:p>
      <w:pPr>
        <w:spacing w:after="0" w:line="1" w:lineRule="exact"/>
        <w:rPr>
          <w:rFonts w:ascii="Arial" w:cs="Arial" w:eastAsia="Arial" w:hAnsi="Arial"/>
          <w:sz w:val="16"/>
          <w:szCs w:val="16"/>
          <w:color w:val="auto"/>
        </w:rPr>
      </w:pPr>
    </w:p>
    <w:p>
      <w:pPr>
        <w:ind w:right="80" w:firstLine="8"/>
        <w:spacing w:after="0" w:line="252" w:lineRule="auto"/>
        <w:tabs>
          <w:tab w:leader="none" w:pos="17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Placement Notice shall originate from any of the individuals from the Company set forth on Schedule 3 (with a copy to each of the other individuals from the Company listed on such schedule), and shall be addressed to each of the individuals from BP set forth on Schedule 3, as such Schedule 3 may be amended from time to time. The Placement Notice shall be effective unless and until (i) BP declines to accept the terms contained therein for any reason, in its sole discretion by email notice to the Company within one Business Day (as defined below) from the time the Placement Notice is received, (ii) the entire amount of the Placement Shares thereunder have been sold, (iii) the Company suspends or terminates the Placement Notice or (iv) this Agreement has been terminated under the provisions of Section 13. The amount of any discount, commission or other compensation to be paid by the Company to BP in connection with the sale of the Placement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96" w:name="page197"/>
    <w:bookmarkEnd w:id="196"/>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shall be calculated in accordance with the terms set forth in Schedule 2. It is expressly acknowledged and agreed that neither the Company nor BP will have any obligation whatsoever with respect to a Placement or any Placement Shares unless and until the Company delivers a Placement Notice to BP and BP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4" w:lineRule="exact"/>
        <w:rPr>
          <w:sz w:val="20"/>
          <w:szCs w:val="20"/>
          <w:color w:val="auto"/>
        </w:rPr>
      </w:pPr>
    </w:p>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BP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21"/>
        <w:spacing w:after="0" w:line="269" w:lineRule="auto"/>
        <w:tabs>
          <w:tab w:leader="none" w:pos="115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for the period specified in the Placement Notice, BP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7"/>
          <w:szCs w:val="17"/>
          <w:u w:val="single" w:color="auto"/>
          <w:color w:val="auto"/>
        </w:rPr>
        <w:t>Exchange</w:t>
      </w:r>
      <w:r>
        <w:rPr>
          <w:rFonts w:ascii="Arial" w:cs="Arial" w:eastAsia="Arial" w:hAnsi="Arial"/>
          <w:sz w:val="17"/>
          <w:szCs w:val="17"/>
          <w:color w:val="auto"/>
        </w:rPr>
        <w:t>”), to sell the Placement Shares up to the amount specified, and otherwise in accordance with the terms of such Placement Notice. BP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BP pursuant to Section 2 with respect to such sales, and the Net Proceeds (as defined below) payable to the Company, with an itemization of the deductions made by BP (as set forth in Section 5(b)) from the gross proceeds that it receives from such sales. Subject to the terms of the Placement Notice, BP shall sell Placement Shares only by methods deemed to be an “at the market” offering as defined in Rule 415 of the Securities Act Regulations, including without limitation sales made directly on the Exchange, on any other existing trading market for the Common Stock or to or through a market maker. Subject to the terms of the Placement Notice and only with the Company’s prior written consent, BP may also sell Placement Shares by any other method permitted by law, including but not limited to in negotiated transactions.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shares of Common Stock are purchased and sold on the Exchange.</w:t>
      </w:r>
    </w:p>
    <w:p>
      <w:pPr>
        <w:spacing w:after="0" w:line="179" w:lineRule="exact"/>
        <w:rPr>
          <w:rFonts w:ascii="Arial" w:cs="Arial" w:eastAsia="Arial" w:hAnsi="Arial"/>
          <w:sz w:val="17"/>
          <w:szCs w:val="17"/>
          <w:color w:val="auto"/>
        </w:rPr>
      </w:pPr>
    </w:p>
    <w:p>
      <w:pPr>
        <w:ind w:right="60" w:firstLine="921"/>
        <w:spacing w:after="0" w:line="297" w:lineRule="auto"/>
        <w:tabs>
          <w:tab w:leader="none" w:pos="116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During the term of this Agreement, neither BP nor any of its affiliates or subsidiaries shall engage in (i) any short sale of any security of the Company, (ii) any sale of any security of the Company that BP does not own or any sale which is consummated by the delivery of a security of the Company borrowed by, or for the account of, BP or (iii) any market making bidding, stabilization or other trading activity with respect to the Common Stock or related derivative securities if such activity would be prohibited under Regulation M or other anti-manipulation rules under the Securities Act. Neither BP nor any of its affiliates or subsidiaries shall engage in any proprietary trading or trading for BP’s (or its affiliates’ or subsidiaries’) own account.</w:t>
      </w:r>
    </w:p>
    <w:p>
      <w:pPr>
        <w:spacing w:after="0" w:line="158" w:lineRule="exact"/>
        <w:rPr>
          <w:rFonts w:ascii="Arial" w:cs="Arial" w:eastAsia="Arial" w:hAnsi="Arial"/>
          <w:sz w:val="16"/>
          <w:szCs w:val="16"/>
          <w:color w:val="auto"/>
        </w:rPr>
      </w:pPr>
    </w:p>
    <w:p>
      <w:pPr>
        <w:ind w:firstLine="464"/>
        <w:spacing w:after="0" w:line="259" w:lineRule="auto"/>
        <w:tabs>
          <w:tab w:leader="none" w:pos="63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 The Company or BP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97" w:name="page198"/>
    <w:bookmarkEnd w:id="19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 that such suspension shall not affect or impair any party’s obligations with respect to any Placement Shares sold hereunder prior to the receipt of such notice. Each of the parties agrees that no such notice under this Section 4 shall be effective against any other party unless it is made to one of the individuals named on Schedule 3 hereto, as such Schedule may be amended from time to time.</w:t>
      </w:r>
    </w:p>
    <w:p>
      <w:pPr>
        <w:spacing w:after="0" w:line="181" w:lineRule="exact"/>
        <w:rPr>
          <w:sz w:val="20"/>
          <w:szCs w:val="20"/>
          <w:color w:val="auto"/>
        </w:rPr>
      </w:pPr>
    </w:p>
    <w:p>
      <w:pPr>
        <w:ind w:left="640" w:hanging="176"/>
        <w:spacing w:after="0"/>
        <w:tabs>
          <w:tab w:leader="none" w:pos="64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Sale and Delivery to BP; 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21"/>
        <w:spacing w:after="0" w:line="289" w:lineRule="auto"/>
        <w:tabs>
          <w:tab w:leader="none" w:pos="1157" w:val="left"/>
        </w:tabs>
        <w:numPr>
          <w:ilvl w:val="2"/>
          <w:numId w:val="126"/>
        </w:numPr>
        <w:rPr>
          <w:rFonts w:ascii="Arial" w:cs="Arial" w:eastAsia="Arial" w:hAnsi="Arial"/>
          <w:sz w:val="16"/>
          <w:szCs w:val="16"/>
          <w:color w:val="auto"/>
        </w:rPr>
      </w:pPr>
      <w:r>
        <w:rPr>
          <w:rFonts w:ascii="Arial" w:cs="Arial" w:eastAsia="Arial" w:hAnsi="Arial"/>
          <w:sz w:val="16"/>
          <w:szCs w:val="16"/>
          <w:u w:val="single" w:color="auto"/>
          <w:color w:val="auto"/>
        </w:rPr>
        <w:t>Sale of Placement Shares</w:t>
      </w:r>
      <w:r>
        <w:rPr>
          <w:rFonts w:ascii="Arial" w:cs="Arial" w:eastAsia="Arial" w:hAnsi="Arial"/>
          <w:sz w:val="16"/>
          <w:szCs w:val="16"/>
          <w:i w:val="1"/>
          <w:iCs w:val="1"/>
          <w:color w:val="auto"/>
        </w:rPr>
        <w:t>.</w:t>
      </w:r>
      <w:r>
        <w:rPr>
          <w:rFonts w:ascii="Arial" w:cs="Arial" w:eastAsia="Arial" w:hAnsi="Arial"/>
          <w:sz w:val="16"/>
          <w:szCs w:val="16"/>
          <w:color w:val="auto"/>
        </w:rPr>
        <w:t xml:space="preserve"> On the basis of the representations and warranties herein contained and subject to the terms and conditions herein set forth, unless BP declines to accept the terms of a Placement Notice, and unless the sale of the Placement Shares described therein has been declined, suspended, or otherwise terminated in accordance with the terms of this Agreement, BP, for the period specified in the Placement Notice, will use its commercially reasonable efforts consistent with its normal trading and sales practices to sell such Placement Shares up to the amount specified in, and otherwise in accordance with, the terms of such Placement Notice. The Company acknowledges and agrees that (i) there can be no assurance that BP will be successful in selling Placement Shares, (ii) BP will incur no liability or obligation to the Company or any other person or entity if it does not sell Placement Shares for any reason other than a failure by BP to use its commercially reasonable efforts consistent with its normal trading and sales practices and applicable law and regulations to sell such Placement Shares as required under this Agreement and (iii) BP shall be under no obligation to purchase Placement Shares on a principal basis pursuant to this Agreement, except as otherwise agreed by BP and the Company.</w:t>
      </w:r>
    </w:p>
    <w:p>
      <w:pPr>
        <w:spacing w:after="0" w:line="166" w:lineRule="exact"/>
        <w:rPr>
          <w:rFonts w:ascii="Arial" w:cs="Arial" w:eastAsia="Arial" w:hAnsi="Arial"/>
          <w:sz w:val="16"/>
          <w:szCs w:val="16"/>
          <w:color w:val="auto"/>
        </w:rPr>
      </w:pPr>
    </w:p>
    <w:p>
      <w:pPr>
        <w:ind w:right="40" w:firstLine="921"/>
        <w:spacing w:after="0" w:line="255" w:lineRule="auto"/>
        <w:tabs>
          <w:tab w:leader="none" w:pos="1168" w:val="left"/>
        </w:tabs>
        <w:numPr>
          <w:ilvl w:val="2"/>
          <w:numId w:val="126"/>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specified in the applicable Placement Notice, settlement for sales of Placement Shares will occur on the third (3rd) Trading Day (or such earlier day as is industry practice for regular-way trading) following the date on which such sales are made (each, a “</w:t>
      </w:r>
      <w:r>
        <w:rPr>
          <w:rFonts w:ascii="Arial" w:cs="Arial" w:eastAsia="Arial" w:hAnsi="Arial"/>
          <w:sz w:val="18"/>
          <w:szCs w:val="18"/>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u w:val="single" w:color="auto"/>
          <w:color w:val="auto"/>
        </w:rPr>
        <w:t>Net Proceeds</w:t>
      </w:r>
      <w:r>
        <w:rPr>
          <w:rFonts w:ascii="Arial" w:cs="Arial" w:eastAsia="Arial" w:hAnsi="Arial"/>
          <w:sz w:val="18"/>
          <w:szCs w:val="18"/>
          <w:color w:val="auto"/>
        </w:rPr>
        <w:t>”) will be equal to the aggregate sales price received by BP, after deduction for (i) BP’s commission, discount or other compensation for such sales payable by the Company pursuant to Section 2 hereof, and (ii) any transaction fees imposed by any governmental or self-regulatory organization in respect of such sales.</w:t>
      </w:r>
    </w:p>
    <w:p>
      <w:pPr>
        <w:spacing w:after="0" w:line="193" w:lineRule="exact"/>
        <w:rPr>
          <w:rFonts w:ascii="Arial" w:cs="Arial" w:eastAsia="Arial" w:hAnsi="Arial"/>
          <w:sz w:val="18"/>
          <w:szCs w:val="18"/>
          <w:color w:val="auto"/>
        </w:rPr>
      </w:pPr>
    </w:p>
    <w:p>
      <w:pPr>
        <w:ind w:firstLine="921"/>
        <w:spacing w:after="0" w:line="284" w:lineRule="auto"/>
        <w:tabs>
          <w:tab w:leader="none" w:pos="1157" w:val="left"/>
        </w:tabs>
        <w:numPr>
          <w:ilvl w:val="2"/>
          <w:numId w:val="126"/>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the Company will, or will cause its transfer agent to, electronically transfer the Placement Shares being sold by crediting BP’s or its designee’s account (provided BP shall have given the Company written notice of such designee a reasonable period of time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BP will deliver the related Net Proceeds in same day funds to an account designated by the Company on, or prior to, the Settlement Date. If the Company, or its transfer agent (if applicable), defaults in its obligation to deliver Placement Shares on a Settlement Date through no fault of BP, the Company agrees that in addition to and in no way limiting the rights and obligations set forth in Section 11(a) hereto, it will</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hold BP harmless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98" w:name="page199"/>
    <w:bookmarkEnd w:id="19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against any loss, claim, damage, or expense (including reasonable legal fees and expenses), as incurred, arising out of or in connection with such default by the Company or its transfer agent (if applicable) and (ii) pay to BP (without duplication) any commission, discount, or other compensation to which it would otherwise have been entitled absent such default.</w:t>
      </w:r>
    </w:p>
    <w:p>
      <w:pPr>
        <w:spacing w:after="0" w:line="181" w:lineRule="exact"/>
        <w:rPr>
          <w:sz w:val="20"/>
          <w:szCs w:val="20"/>
          <w:color w:val="auto"/>
        </w:rPr>
      </w:pPr>
    </w:p>
    <w:p>
      <w:pPr>
        <w:ind w:right="40" w:firstLine="921"/>
        <w:spacing w:after="0" w:line="272" w:lineRule="auto"/>
        <w:tabs>
          <w:tab w:leader="none" w:pos="1168"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Limitations on Offering Size</w:t>
      </w:r>
      <w:r>
        <w:rPr>
          <w:rFonts w:ascii="Arial" w:cs="Arial" w:eastAsia="Arial" w:hAnsi="Arial"/>
          <w:sz w:val="17"/>
          <w:szCs w:val="17"/>
          <w:i w:val="1"/>
          <w:iCs w:val="1"/>
          <w:color w:val="auto"/>
        </w:rPr>
        <w:t>.</w:t>
      </w:r>
      <w:r>
        <w:rPr>
          <w:rFonts w:ascii="Arial" w:cs="Arial" w:eastAsia="Arial" w:hAnsi="Arial"/>
          <w:sz w:val="17"/>
          <w:szCs w:val="17"/>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BP in writing. Under no circumstances shall the Company cause or request the offer or sale of any Placement Shares pursuant to this Agreement at a price lower than any minimum price authorized from time to time by the Company’s board of directors, a duly authorized committee thereof or a duly authorized executive committee, and notified to BP in writing.</w:t>
      </w:r>
    </w:p>
    <w:p>
      <w:pPr>
        <w:spacing w:after="0" w:line="177" w:lineRule="exact"/>
        <w:rPr>
          <w:rFonts w:ascii="Arial" w:cs="Arial" w:eastAsia="Arial" w:hAnsi="Arial"/>
          <w:sz w:val="17"/>
          <w:szCs w:val="17"/>
          <w:color w:val="auto"/>
        </w:rPr>
      </w:pPr>
    </w:p>
    <w:p>
      <w:pPr>
        <w:ind w:right="200" w:firstLine="464"/>
        <w:spacing w:after="0" w:line="264" w:lineRule="auto"/>
        <w:tabs>
          <w:tab w:leader="none" w:pos="63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disclosed in the Registration Statement or the Prospectus (including Incorporated Documents), the Company represents and warrants to, and agrees with BP that as of the date of this Agreement and as of each Applicable Time (as defined below), unless such representation, warranty or agreement specifies a different time:</w:t>
      </w:r>
    </w:p>
    <w:p>
      <w:pPr>
        <w:spacing w:after="0" w:line="181" w:lineRule="exact"/>
        <w:rPr>
          <w:rFonts w:ascii="Arial" w:cs="Arial" w:eastAsia="Arial" w:hAnsi="Arial"/>
          <w:sz w:val="18"/>
          <w:szCs w:val="18"/>
          <w:color w:val="auto"/>
        </w:rPr>
      </w:pPr>
    </w:p>
    <w:p>
      <w:pPr>
        <w:ind w:firstLine="921"/>
        <w:spacing w:after="0" w:line="286" w:lineRule="auto"/>
        <w:tabs>
          <w:tab w:leader="none" w:pos="1157"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assuming no act or omission on the part of BP that would make such statement untrue,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BP as an agent in the section entitled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BP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BP has consented, such consent not to be unreasonably withheld, conditioned or delayed. The Common Stock is currently quoted on the Exchange under the trading symbol “MNKD”. The Company has not, in the 12 months preceding the date hereof, received notice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99" w:name="page200"/>
    <w:bookmarkEnd w:id="199"/>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Exchange to the effect that the Company is not in compliance with the listing or maintenance requirements and the Company has no reason to believe that it will not in the foreseeable future continue to be in compliance with all such listing and maintenance requirements.</w:t>
      </w:r>
    </w:p>
    <w:p>
      <w:pPr>
        <w:spacing w:after="0" w:line="147" w:lineRule="exact"/>
        <w:rPr>
          <w:sz w:val="20"/>
          <w:szCs w:val="20"/>
          <w:color w:val="auto"/>
        </w:rPr>
      </w:pPr>
    </w:p>
    <w:p>
      <w:pPr>
        <w:ind w:firstLine="921"/>
        <w:spacing w:after="0" w:line="269" w:lineRule="auto"/>
        <w:tabs>
          <w:tab w:leader="none" w:pos="116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BP specifically for use in the preparation thereof.</w:t>
      </w:r>
    </w:p>
    <w:p>
      <w:pPr>
        <w:spacing w:after="0" w:line="179" w:lineRule="exact"/>
        <w:rPr>
          <w:rFonts w:ascii="Arial" w:cs="Arial" w:eastAsia="Arial" w:hAnsi="Arial"/>
          <w:sz w:val="17"/>
          <w:szCs w:val="17"/>
          <w:color w:val="auto"/>
        </w:rPr>
      </w:pPr>
    </w:p>
    <w:p>
      <w:pPr>
        <w:ind w:firstLine="921"/>
        <w:spacing w:after="0" w:line="302" w:lineRule="auto"/>
        <w:tabs>
          <w:tab w:leader="none" w:pos="1157"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Conformity with Securities Act and Exchange Act</w:t>
      </w:r>
      <w:r>
        <w:rPr>
          <w:rFonts w:ascii="Arial" w:cs="Arial" w:eastAsia="Arial" w:hAnsi="Arial"/>
          <w:sz w:val="16"/>
          <w:szCs w:val="16"/>
          <w:color w:val="auto"/>
        </w:rPr>
        <w:t>. The Registration Statement, the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54" w:lineRule="exact"/>
        <w:rPr>
          <w:rFonts w:ascii="Arial" w:cs="Arial" w:eastAsia="Arial" w:hAnsi="Arial"/>
          <w:sz w:val="16"/>
          <w:szCs w:val="16"/>
          <w:color w:val="auto"/>
        </w:rPr>
      </w:pPr>
    </w:p>
    <w:p>
      <w:pPr>
        <w:ind w:firstLine="921"/>
        <w:spacing w:after="0" w:line="290" w:lineRule="auto"/>
        <w:tabs>
          <w:tab w:leader="none" w:pos="1168"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in the case of unaudited statements, to normal year-end audit adjustments) and have been prepared in compliance with the requirements of the Securities Act and Exchange Act, as applicable, and in conformity with GAAP (as defined below) applied on a consistent basis (except for such adjustments to accounting standards and practices as are noted therein and except in the case of unaudited financial statements to the extent they may exclude footnotes or may be condensed or summary statements) during the periods involved; the other financial and statistical data with respect to the Company and the Subsidiaries contained or incorporated by reference in the Registration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00" w:name="page201"/>
    <w:bookmarkEnd w:id="200"/>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(including the exhibits thereto and Incorporated Documents) and the Prospectus which are required to be described in the Registration Statement or the Prospectus (including exhibits thereto and Incorporated Documents); and all disclosures contained or incorporated by reference in the Registration Statement and the Prospectus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79" w:lineRule="exact"/>
        <w:rPr>
          <w:sz w:val="20"/>
          <w:szCs w:val="20"/>
          <w:color w:val="auto"/>
        </w:rPr>
      </w:pPr>
    </w:p>
    <w:p>
      <w:pPr>
        <w:ind w:right="80" w:firstLine="921"/>
        <w:spacing w:after="0" w:line="264" w:lineRule="auto"/>
        <w:tabs>
          <w:tab w:leader="none" w:pos="115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BP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81" w:lineRule="exact"/>
        <w:rPr>
          <w:rFonts w:ascii="Arial" w:cs="Arial" w:eastAsia="Arial" w:hAnsi="Arial"/>
          <w:sz w:val="18"/>
          <w:szCs w:val="18"/>
          <w:color w:val="auto"/>
        </w:rPr>
      </w:pPr>
    </w:p>
    <w:p>
      <w:pPr>
        <w:ind w:right="20" w:firstLine="921"/>
        <w:spacing w:after="0" w:line="289" w:lineRule="auto"/>
        <w:tabs>
          <w:tab w:leader="none" w:pos="1138"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and each of its Subsidiaries are, and will be,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(as set forth on the Company’s most recent balance sheet included in the Incorporated Documents) or results of operations of the Company and the Subsidiaries (as defined below)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921"/>
        <w:spacing w:after="0" w:line="257" w:lineRule="auto"/>
        <w:tabs>
          <w:tab w:leader="none" w:pos="116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Schedule 4 hereto sets forth each of the Company’s significant subsidiaries (as such term is defined in Rule 1-02 of Regulation S-X promulgated by the Commission), if any (each such significant subsidiary,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88"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Violation or Default</w:t>
      </w:r>
      <w:r>
        <w:rPr>
          <w:rFonts w:ascii="Arial" w:cs="Arial" w:eastAsia="Arial" w:hAnsi="Arial"/>
          <w:sz w:val="18"/>
          <w:szCs w:val="18"/>
          <w:color w:val="auto"/>
        </w:rPr>
        <w:t>. Neither the Company nor any of its Subsidiaries is (i) in violation of its charter or by-laws or similar organizational documents; (ii) in default,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01" w:name="page202"/>
    <w:bookmarkEnd w:id="20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67" w:lineRule="exact"/>
        <w:rPr>
          <w:sz w:val="20"/>
          <w:szCs w:val="20"/>
          <w:color w:val="auto"/>
        </w:rPr>
      </w:pPr>
    </w:p>
    <w:p>
      <w:pPr>
        <w:ind w:right="100" w:firstLine="921"/>
        <w:spacing w:after="0" w:line="269" w:lineRule="auto"/>
        <w:tabs>
          <w:tab w:leader="none" w:pos="1128"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Subsequent to December 31, 2013, and other than the Company’s execution of this Agreement and the sale of any Placement Shares hereunder and the Company’s execution of an At-The-Market Issuance Sales Agreement substantially similar to this Agreement with MLV &amp; Co. LLC (the “</w:t>
      </w:r>
      <w:r>
        <w:rPr>
          <w:rFonts w:ascii="Arial" w:cs="Arial" w:eastAsia="Arial" w:hAnsi="Arial"/>
          <w:sz w:val="17"/>
          <w:szCs w:val="17"/>
          <w:u w:val="single" w:color="auto"/>
          <w:color w:val="auto"/>
        </w:rPr>
        <w:t>Concurrent Facility Agreement</w:t>
      </w:r>
      <w:r>
        <w:rPr>
          <w:rFonts w:ascii="Arial" w:cs="Arial" w:eastAsia="Arial" w:hAnsi="Arial"/>
          <w:sz w:val="17"/>
          <w:szCs w:val="17"/>
          <w:color w:val="auto"/>
        </w:rPr>
        <w:t>”) and the sale of any shares of the Company’s common stock thereunder, there has not been (i) any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(A) in the ordinary course of business, (B) as otherwise disclosed in the Registration Statement or Prospectus (including any document deemed incorporated by reference therein) or (C) where such matter, item, change or development would not make the statements in the Registration Statement or the Prospectus contain an untrue statement of a material fact or omit to state a material fact required to be stated therein or necessary to make the statements therein not misleading.</w:t>
      </w:r>
    </w:p>
    <w:p>
      <w:pPr>
        <w:spacing w:after="0" w:line="182" w:lineRule="exact"/>
        <w:rPr>
          <w:rFonts w:ascii="Arial" w:cs="Arial" w:eastAsia="Arial" w:hAnsi="Arial"/>
          <w:sz w:val="17"/>
          <w:szCs w:val="17"/>
          <w:color w:val="auto"/>
        </w:rPr>
      </w:pPr>
    </w:p>
    <w:p>
      <w:pPr>
        <w:ind w:firstLine="921"/>
        <w:spacing w:after="0" w:line="289" w:lineRule="auto"/>
        <w:tabs>
          <w:tab w:leader="none" w:pos="1128"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issued and outstanding shares of capital stock of the Company have been validly issued, are fully paid and non-assessable and, other than as disclosed in or contemplated by the Registration Statement or the Prospectus, and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or other equity awards under the Company’s existing stock option plans, or changes in the number of outstanding shares of Common Stock of the Company due to the issuance of shares upon the exercise or conversion of securities exercisable for, or convertible into, shares of Common Stock outstanding on the date hereof or described in the Registration Statement and the Prospectus (including any document deemed incorporated by reference therein) or as a result of the issuance of Placement Shares or shares of the Company’s common stock under the Concurrent Facility Agreement) and such authorized capital stock conforms in all material respects to the description thereof set forth in the Registration Statement and the Prospectus. The description of the Common Stock in the Registration Statement and the Prospectus (including any document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02" w:name="page203"/>
    <w:bookmarkEnd w:id="20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incorporated by reference therein) is complete and accurate in all material respects. Other than as set forth or described in the Registration Statement and the Prospectus, as of the dates referred to therein,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87" w:lineRule="exact"/>
        <w:rPr>
          <w:sz w:val="20"/>
          <w:szCs w:val="20"/>
          <w:color w:val="auto"/>
        </w:rPr>
      </w:pPr>
    </w:p>
    <w:p>
      <w:pPr>
        <w:ind w:right="60" w:firstLine="921"/>
        <w:spacing w:after="0" w:line="255" w:lineRule="auto"/>
        <w:tabs>
          <w:tab w:leader="none" w:pos="116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spacing w:after="0" w:line="193" w:lineRule="exact"/>
        <w:rPr>
          <w:rFonts w:ascii="Arial" w:cs="Arial" w:eastAsia="Arial" w:hAnsi="Arial"/>
          <w:sz w:val="18"/>
          <w:szCs w:val="18"/>
          <w:color w:val="auto"/>
        </w:rPr>
      </w:pPr>
    </w:p>
    <w:p>
      <w:pPr>
        <w:ind w:firstLine="921"/>
        <w:spacing w:after="0" w:line="285" w:lineRule="auto"/>
        <w:tabs>
          <w:tab w:leader="none" w:pos="112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Authorization of Placement Shares</w:t>
      </w:r>
      <w:r>
        <w:rPr>
          <w:rFonts w:ascii="Arial" w:cs="Arial" w:eastAsia="Arial" w:hAnsi="Arial"/>
          <w:sz w:val="16"/>
          <w:szCs w:val="16"/>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BP or a purchaser), including any statutory or contractual preemptive rights, resale rights, rights of first refusal or other similar rights, and will be registered pursuant to Section 12 of the Exchange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Act. The Placement Shares, when issued, will conform in all material respects to the description thereof set forth in or incorporated into the Prospectus.</w:t>
      </w:r>
    </w:p>
    <w:p>
      <w:pPr>
        <w:spacing w:after="0" w:line="222" w:lineRule="exact"/>
        <w:rPr>
          <w:rFonts w:ascii="Arial" w:cs="Arial" w:eastAsia="Arial" w:hAnsi="Arial"/>
          <w:sz w:val="16"/>
          <w:szCs w:val="16"/>
          <w:color w:val="auto"/>
        </w:rPr>
      </w:pPr>
    </w:p>
    <w:p>
      <w:pPr>
        <w:ind w:right="20" w:firstLine="921"/>
        <w:spacing w:after="0" w:line="297" w:lineRule="auto"/>
        <w:tabs>
          <w:tab w:leader="none" w:pos="121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No Consents Required</w:t>
      </w:r>
      <w:r>
        <w:rPr>
          <w:rFonts w:ascii="Arial" w:cs="Arial" w:eastAsia="Arial" w:hAnsi="Arial"/>
          <w:sz w:val="16"/>
          <w:szCs w:val="16"/>
          <w:color w:val="auto"/>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the registration of the Placement Shares under the Securities Act and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or the Exchange in connection with the sale of the Placement Shares by BP.</w:t>
      </w:r>
    </w:p>
    <w:p>
      <w:pPr>
        <w:spacing w:after="0" w:line="158" w:lineRule="exact"/>
        <w:rPr>
          <w:rFonts w:ascii="Arial" w:cs="Arial" w:eastAsia="Arial" w:hAnsi="Arial"/>
          <w:sz w:val="16"/>
          <w:szCs w:val="16"/>
          <w:color w:val="auto"/>
        </w:rPr>
      </w:pPr>
    </w:p>
    <w:p>
      <w:pPr>
        <w:ind w:right="20" w:firstLine="921"/>
        <w:spacing w:after="0" w:line="276" w:lineRule="auto"/>
        <w:tabs>
          <w:tab w:leader="none" w:pos="116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No Preferential Rights</w:t>
      </w:r>
      <w:r>
        <w:rPr>
          <w:rFonts w:ascii="Arial" w:cs="Arial" w:eastAsia="Arial" w:hAnsi="Arial"/>
          <w:sz w:val="17"/>
          <w:szCs w:val="17"/>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7"/>
          <w:szCs w:val="17"/>
          <w:u w:val="single" w:color="auto"/>
          <w:color w:val="auto"/>
        </w:rPr>
        <w:t>Person</w:t>
      </w:r>
      <w:r>
        <w:rPr>
          <w:rFonts w:ascii="Arial" w:cs="Arial" w:eastAsia="Arial" w:hAnsi="Arial"/>
          <w:sz w:val="17"/>
          <w:szCs w:val="17"/>
          <w:color w:val="auto"/>
        </w:rPr>
        <w:t>”), has the right, contractual or otherwise, to cause the Company to issue or sell to such Person any shares of Common Stock or shares of any other capital stock or other securities of the Company (other than upon the exercise of options or warrants to purchase Common Stock or upon the exercise of options or stock awards that may be granted from time to time under the Company’s stock option plans), (ii) no Person has any preemptive rights, rights of first refusal, or any other rights (whether pursuant to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3" w:name="page204"/>
    <w:bookmarkEnd w:id="20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“poison pill” provision or otherwise) to purchase any shares of Common Stock or shares of any other capital stock or other securities of the Company from the Company which have not been duly waived with respect to the offering contemplated hereby, (iii) except as may be disclosed to BP in writing, no Person has the right to act as an underwriter or as a financial advisor to the Company in connection with the offer and sale of the Common Stock, and (iv) 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65" w:lineRule="exact"/>
        <w:rPr>
          <w:sz w:val="20"/>
          <w:szCs w:val="20"/>
          <w:color w:val="auto"/>
        </w:rPr>
      </w:pPr>
    </w:p>
    <w:p>
      <w:pPr>
        <w:ind w:right="40" w:firstLine="921"/>
        <w:spacing w:after="0" w:line="276" w:lineRule="auto"/>
        <w:tabs>
          <w:tab w:leader="none" w:pos="1168"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Independent Public Accountants</w:t>
      </w:r>
      <w:r>
        <w:rPr>
          <w:rFonts w:ascii="Arial" w:cs="Arial" w:eastAsia="Arial" w:hAnsi="Arial"/>
          <w:sz w:val="17"/>
          <w:szCs w:val="17"/>
          <w:color w:val="auto"/>
        </w:rPr>
        <w:t>. Deloitte &amp; Touche LLP, whose report on the consolidated financial statements of the Company is filed with the Commission as part of the Company’s most recent Annual Report on Form 10-K filed with the Commission and incorporated into the Registration Statement, is and, during the periods covered by its reports, was an independent public accounting firm within the meaning of the Securities Act and the Public Company Accounting Oversight Board (United States). To the Company’s knowledge, Deloitte &amp; Touche LLP is not in violation of the auditor independence requirements of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with respect to the Company.</w:t>
      </w:r>
    </w:p>
    <w:p>
      <w:pPr>
        <w:spacing w:after="0" w:line="172" w:lineRule="exact"/>
        <w:rPr>
          <w:rFonts w:ascii="Arial" w:cs="Arial" w:eastAsia="Arial" w:hAnsi="Arial"/>
          <w:sz w:val="17"/>
          <w:szCs w:val="17"/>
          <w:color w:val="auto"/>
        </w:rPr>
      </w:pPr>
    </w:p>
    <w:p>
      <w:pPr>
        <w:ind w:right="100" w:firstLine="921"/>
        <w:spacing w:after="0" w:line="288" w:lineRule="auto"/>
        <w:tabs>
          <w:tab w:leader="none" w:pos="1168"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To the Company’s knowledge,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enforceable in accordance with their respective terms, except to the extent that</w:t>
      </w:r>
    </w:p>
    <w:p>
      <w:pPr>
        <w:ind w:right="140" w:firstLine="8"/>
        <w:spacing w:after="0" w:line="254" w:lineRule="auto"/>
        <w:tabs>
          <w:tab w:leader="none" w:pos="21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9" w:lineRule="exact"/>
        <w:rPr>
          <w:rFonts w:ascii="Arial" w:cs="Arial" w:eastAsia="Arial" w:hAnsi="Arial"/>
          <w:sz w:val="18"/>
          <w:szCs w:val="18"/>
          <w:color w:val="auto"/>
        </w:rPr>
      </w:pPr>
    </w:p>
    <w:p>
      <w:pPr>
        <w:ind w:firstLine="921"/>
        <w:spacing w:after="0" w:line="270" w:lineRule="auto"/>
        <w:tabs>
          <w:tab w:leader="none" w:pos="1168"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There are no legal, governmental or regulatory actions, suits or proceedings pending, nor, to the Company’s knowledge, any legal, governmental or regulatory investigations, to which the Company or a Subsidiary is a party or to which any property of the Company or any of its Subsidiaries is the subject that, individually or in the aggregate, if determined adversely to the Company or any of its Subsidiaries, would reasonably be expected to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of its Subsidiaries, would reasonably be expected to have a Material Adverse Effect; and (i) there are no current or pending legal, governmental or regulatory actions, suits or proceedings or, to the Company’s knowledge, investigations that are required under the Securities Act to be described in the Prospectus that are not described in the Prospectus including any Incorporated Document; and (ii) there are no contracts or other documents that are required under the Securities Act to be filed as exhibits to the Registration Statement that are not so filed.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04" w:name="page205"/>
    <w:bookmarkEnd w:id="204"/>
    <w:p>
      <w:pPr>
        <w:ind w:left="-20" w:firstLine="921"/>
        <w:spacing w:after="0" w:line="254" w:lineRule="auto"/>
        <w:tabs>
          <w:tab w:leader="none" w:pos="111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 and Permits</w:t>
      </w:r>
      <w:r>
        <w:rPr>
          <w:rFonts w:ascii="Arial" w:cs="Arial" w:eastAsia="Arial" w:hAnsi="Arial"/>
          <w:sz w:val="18"/>
          <w:szCs w:val="18"/>
          <w:color w:val="auto"/>
        </w:rPr>
        <w:t>. The Company and each of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Arial" w:cs="Arial" w:eastAsia="Arial" w:hAnsi="Arial"/>
          <w:sz w:val="18"/>
          <w:szCs w:val="18"/>
          <w:u w:val="single" w:color="auto"/>
          <w:color w:val="auto"/>
        </w:rPr>
        <w:t>Permits</w:t>
      </w:r>
      <w:r>
        <w:rPr>
          <w:rFonts w:ascii="Arial" w:cs="Arial" w:eastAsia="Arial" w:hAnsi="Arial"/>
          <w:sz w:val="18"/>
          <w:szCs w:val="18"/>
          <w:color w:val="auto"/>
        </w:rPr>
        <w:t>”), except where the failure to possess, obtain or make the same would not, individually or in the aggregate, reasonably be expected to have a Material Adverse Effect. Neither the Company nor any of its Subsidiaries have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ind w:left="-20" w:firstLine="921"/>
        <w:spacing w:after="0" w:line="270" w:lineRule="auto"/>
        <w:tabs>
          <w:tab w:leader="none" w:pos="112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Market Capitalization</w:t>
      </w:r>
      <w:r>
        <w:rPr>
          <w:rFonts w:ascii="Arial" w:cs="Arial" w:eastAsia="Arial" w:hAnsi="Arial"/>
          <w:sz w:val="17"/>
          <w:szCs w:val="17"/>
          <w:color w:val="auto"/>
        </w:rPr>
        <w:t>. As of the close of trading on the Exchange on the Trading Day immediately prior to the date of this Agreement, the aggregate market value of the outstanding voting and non-voting common equity (as defined in Securities Act Rule 405) of the Company held by persons other than affiliates (as defined in Securities Act Rule 405) was $75 million or more (calculated in accordance with Instruction 1.B.1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To enable BP to rely on Rule 5110(b)(7) (C)(i) of FINRA, the Company represents that, as of the date of this Agreement,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spacing w:after="0" w:line="181" w:lineRule="exact"/>
        <w:rPr>
          <w:rFonts w:ascii="Arial" w:cs="Arial" w:eastAsia="Arial" w:hAnsi="Arial"/>
          <w:sz w:val="17"/>
          <w:szCs w:val="17"/>
          <w:color w:val="auto"/>
        </w:rPr>
      </w:pPr>
    </w:p>
    <w:p>
      <w:pPr>
        <w:ind w:left="-20" w:right="20" w:firstLine="921"/>
        <w:spacing w:after="0" w:line="255" w:lineRule="auto"/>
        <w:tabs>
          <w:tab w:leader="none" w:pos="110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93" w:lineRule="exact"/>
        <w:rPr>
          <w:rFonts w:ascii="Arial" w:cs="Arial" w:eastAsia="Arial" w:hAnsi="Arial"/>
          <w:sz w:val="18"/>
          <w:szCs w:val="18"/>
          <w:color w:val="auto"/>
        </w:rPr>
      </w:pPr>
    </w:p>
    <w:p>
      <w:pPr>
        <w:ind w:left="-20" w:right="20" w:firstLine="921"/>
        <w:spacing w:after="0" w:line="259" w:lineRule="auto"/>
        <w:tabs>
          <w:tab w:leader="none" w:pos="114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any of the Subsidiaries,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05" w:name="page206"/>
    <w:bookmarkEnd w:id="205"/>
    <w:p>
      <w:pPr>
        <w:ind w:left="-20" w:right="180" w:firstLine="921"/>
        <w:spacing w:after="0" w:line="264" w:lineRule="auto"/>
        <w:tabs>
          <w:tab w:leader="none" w:pos="114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Broker/Dealer Relationships</w:t>
      </w:r>
      <w:r>
        <w:rPr>
          <w:rFonts w:ascii="Arial" w:cs="Arial" w:eastAsia="Arial" w:hAnsi="Arial"/>
          <w:sz w:val="18"/>
          <w:szCs w:val="18"/>
          <w:color w:val="auto"/>
        </w:rPr>
        <w:t>. Neither the Company nor any of the Subsidiaries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1" w:lineRule="exact"/>
        <w:rPr>
          <w:rFonts w:ascii="Arial" w:cs="Arial" w:eastAsia="Arial" w:hAnsi="Arial"/>
          <w:sz w:val="18"/>
          <w:szCs w:val="18"/>
          <w:color w:val="auto"/>
        </w:rPr>
      </w:pPr>
    </w:p>
    <w:p>
      <w:pPr>
        <w:ind w:left="-20" w:right="360" w:firstLine="921"/>
        <w:spacing w:after="0" w:line="277" w:lineRule="auto"/>
        <w:tabs>
          <w:tab w:leader="none" w:pos="118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BP or legal counsel for BP for any legal, tax or accounting advice in connection with the offering and sale of the Placement Shares.</w:t>
      </w:r>
    </w:p>
    <w:p>
      <w:pPr>
        <w:spacing w:after="0" w:line="170" w:lineRule="exact"/>
        <w:rPr>
          <w:rFonts w:ascii="Arial" w:cs="Arial" w:eastAsia="Arial" w:hAnsi="Arial"/>
          <w:sz w:val="18"/>
          <w:szCs w:val="18"/>
          <w:color w:val="auto"/>
        </w:rPr>
      </w:pPr>
    </w:p>
    <w:p>
      <w:pPr>
        <w:ind w:left="-20" w:right="40" w:firstLine="921"/>
        <w:spacing w:after="0" w:line="293" w:lineRule="auto"/>
        <w:tabs>
          <w:tab w:leader="none" w:pos="1148"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or the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have a Material Adverse Effect.</w:t>
      </w:r>
    </w:p>
    <w:p>
      <w:pPr>
        <w:spacing w:after="0" w:line="164" w:lineRule="exact"/>
        <w:rPr>
          <w:rFonts w:ascii="Arial" w:cs="Arial" w:eastAsia="Arial" w:hAnsi="Arial"/>
          <w:sz w:val="16"/>
          <w:szCs w:val="16"/>
          <w:color w:val="auto"/>
        </w:rPr>
      </w:pPr>
    </w:p>
    <w:p>
      <w:pPr>
        <w:ind w:left="-20" w:firstLine="921"/>
        <w:spacing w:after="0" w:line="271" w:lineRule="auto"/>
        <w:tabs>
          <w:tab w:leader="none" w:pos="1148"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Title to Real and Personal Property</w:t>
      </w:r>
      <w:r>
        <w:rPr>
          <w:rFonts w:ascii="Arial" w:cs="Arial" w:eastAsia="Arial" w:hAnsi="Arial"/>
          <w:sz w:val="17"/>
          <w:szCs w:val="17"/>
          <w:color w:val="auto"/>
        </w:rPr>
        <w:t>. The Company and its Subsidiaries have good and marketable title in fee simple to all items of real property and good and valid title to all personal property (excluding Intellectual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of such property by the Company and any of its Subsidiaries or (ii) would not reasonably be expected, individually or in the aggregate, to have a Material Adverse Effect. Any real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p>
      <w:pPr>
        <w:spacing w:after="0" w:line="178" w:lineRule="exact"/>
        <w:rPr>
          <w:rFonts w:ascii="Arial" w:cs="Arial" w:eastAsia="Arial" w:hAnsi="Arial"/>
          <w:sz w:val="17"/>
          <w:szCs w:val="17"/>
          <w:color w:val="auto"/>
        </w:rPr>
      </w:pPr>
    </w:p>
    <w:p>
      <w:pPr>
        <w:ind w:left="-20" w:right="100" w:firstLine="921"/>
        <w:spacing w:after="0" w:line="273" w:lineRule="auto"/>
        <w:tabs>
          <w:tab w:leader="none" w:pos="1137"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its knowledge, the Company and its Subsidiaries own or possess adequate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except as disclosed in writing to BP, the Company and any of 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4" w:right="239" w:bottom="1440" w:gutter="0" w:footer="0" w:header="0"/>
        </w:sectPr>
      </w:pPr>
    </w:p>
    <w:bookmarkStart w:id="206" w:name="page207"/>
    <w:bookmarkEnd w:id="206"/>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owned material patents, patent applications or proprietary information;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and other than such rights or claims that would not, individually or in the aggregate, reasonably be expected to have a Material Adverse Effect; the Company and its Subsidiaries have not received any written notice of any claim challenging the rights of the Company or a Subsidiary in or to any Intellectual Property owned, licensed or optioned by the Company or such Subsidiary which claim, if the subject of an unfavorable decision, would result in a Material Adverse Effect.</w:t>
      </w:r>
    </w:p>
    <w:p>
      <w:pPr>
        <w:spacing w:after="0" w:line="183" w:lineRule="exact"/>
        <w:rPr>
          <w:sz w:val="20"/>
          <w:szCs w:val="20"/>
          <w:color w:val="auto"/>
        </w:rPr>
      </w:pPr>
    </w:p>
    <w:p>
      <w:pPr>
        <w:ind w:firstLine="921"/>
        <w:spacing w:after="0" w:line="271" w:lineRule="auto"/>
        <w:tabs>
          <w:tab w:leader="none" w:pos="1237"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ind w:right="220" w:firstLine="921"/>
        <w:spacing w:after="0" w:line="288" w:lineRule="auto"/>
        <w:tabs>
          <w:tab w:leader="none" w:pos="1258"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ind w:firstLine="8"/>
        <w:spacing w:after="0" w:line="290" w:lineRule="auto"/>
        <w:tabs>
          <w:tab w:leader="none" w:pos="31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07" w:name="page208"/>
    <w:bookmarkEnd w:id="20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Arial" w:cs="Arial" w:eastAsia="Arial" w:hAnsi="Arial"/>
          <w:sz w:val="17"/>
          <w:szCs w:val="17"/>
          <w:u w:val="single" w:color="auto"/>
          <w:color w:val="auto"/>
        </w:rPr>
        <w:t>Evaluation Date</w:t>
      </w:r>
      <w:r>
        <w:rPr>
          <w:rFonts w:ascii="Arial" w:cs="Arial" w:eastAsia="Arial" w:hAnsi="Arial"/>
          <w:sz w:val="17"/>
          <w:szCs w:val="17"/>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adversely affect the Company’s internal controls. To the knowledge of the Company, the Company’s “internal controls over financial reporting” and “disclosure controls and procedures” are effective.</w:t>
      </w:r>
    </w:p>
    <w:p>
      <w:pPr>
        <w:spacing w:after="0" w:line="182" w:lineRule="exact"/>
        <w:rPr>
          <w:sz w:val="20"/>
          <w:szCs w:val="20"/>
          <w:color w:val="auto"/>
        </w:rPr>
      </w:pPr>
    </w:p>
    <w:p>
      <w:pPr>
        <w:ind w:firstLine="921"/>
        <w:spacing w:after="0" w:line="255" w:lineRule="auto"/>
        <w:tabs>
          <w:tab w:leader="none" w:pos="123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There is and has been no failure on the part of the Company or, to the knowledge of the Company, any of the Company’s directors or officers, in their capacities as such, to comply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9" w:lineRule="exact"/>
        <w:rPr>
          <w:rFonts w:ascii="Arial" w:cs="Arial" w:eastAsia="Arial" w:hAnsi="Arial"/>
          <w:sz w:val="18"/>
          <w:szCs w:val="18"/>
          <w:color w:val="auto"/>
        </w:rPr>
      </w:pPr>
    </w:p>
    <w:p>
      <w:pPr>
        <w:ind w:right="180" w:firstLine="921"/>
        <w:spacing w:after="0" w:line="342" w:lineRule="auto"/>
        <w:tabs>
          <w:tab w:leader="none" w:pos="125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Finder’s Fees</w:t>
      </w:r>
      <w:r>
        <w:rPr>
          <w:rFonts w:ascii="Arial" w:cs="Arial" w:eastAsia="Arial" w:hAnsi="Arial"/>
          <w:sz w:val="16"/>
          <w:szCs w:val="16"/>
          <w:color w:val="auto"/>
        </w:rPr>
        <w:t>. Neither the Company nor any of the Subsidiaries has incurred any liability for any finder’s fees, brokerage commissions or similar payments in connection with the transactions herein contemplated, except as may otherwise exist with respect to BP pursuant to this Agreement.</w:t>
      </w:r>
    </w:p>
    <w:p>
      <w:pPr>
        <w:spacing w:after="0" w:line="123" w:lineRule="exact"/>
        <w:rPr>
          <w:rFonts w:ascii="Arial" w:cs="Arial" w:eastAsia="Arial" w:hAnsi="Arial"/>
          <w:sz w:val="16"/>
          <w:szCs w:val="16"/>
          <w:color w:val="auto"/>
        </w:rPr>
      </w:pPr>
    </w:p>
    <w:p>
      <w:pPr>
        <w:ind w:right="40" w:firstLine="921"/>
        <w:spacing w:after="0" w:line="308" w:lineRule="auto"/>
        <w:tabs>
          <w:tab w:leader="none" w:pos="1237"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Labor Disputes</w:t>
      </w:r>
      <w:r>
        <w:rPr>
          <w:rFonts w:ascii="Arial" w:cs="Arial" w:eastAsia="Arial" w:hAnsi="Arial"/>
          <w:sz w:val="17"/>
          <w:szCs w:val="17"/>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19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Act.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300" w:firstLine="921"/>
        <w:spacing w:after="0" w:line="312" w:lineRule="auto"/>
        <w:tabs>
          <w:tab w:leader="none" w:pos="125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Operations</w:t>
      </w:r>
      <w:r>
        <w:rPr>
          <w:rFonts w:ascii="Arial" w:cs="Arial" w:eastAsia="Arial" w:hAnsi="Arial"/>
          <w:sz w:val="16"/>
          <w:szCs w:val="16"/>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08" w:name="page209"/>
    <w:bookmarkEnd w:id="20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or guidelines, issued, administered or enforced by any governmental agency having jurisdiction over the Company or its Subsidiaries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except as would not reasonably be expected to result in a Material Adverse Effect;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sz w:val="20"/>
          <w:szCs w:val="20"/>
          <w:color w:val="auto"/>
        </w:rPr>
      </w:pPr>
    </w:p>
    <w:p>
      <w:pPr>
        <w:ind w:right="20" w:firstLine="921"/>
        <w:spacing w:after="0" w:line="273" w:lineRule="auto"/>
        <w:tabs>
          <w:tab w:leader="none" w:pos="125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Off-Balance Sheet Arrangements</w:t>
      </w:r>
      <w:r>
        <w:rPr>
          <w:rFonts w:ascii="Arial" w:cs="Arial" w:eastAsia="Arial" w:hAnsi="Arial"/>
          <w:sz w:val="17"/>
          <w:szCs w:val="17"/>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Arial" w:cs="Arial" w:eastAsia="Arial" w:hAnsi="Arial"/>
          <w:sz w:val="17"/>
          <w:szCs w:val="17"/>
          <w:u w:val="single" w:color="auto"/>
          <w:color w:val="auto"/>
        </w:rPr>
        <w:t>Off Balance Sheet Transaction</w:t>
      </w:r>
      <w:r>
        <w:rPr>
          <w:rFonts w:ascii="Arial" w:cs="Arial" w:eastAsia="Arial" w:hAnsi="Arial"/>
          <w:sz w:val="17"/>
          <w:szCs w:val="17"/>
          <w:color w:val="auto"/>
        </w:rPr>
        <w:t>”) that would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in each case that are required to be described in the Prospectus which have not been described as required.</w:t>
      </w:r>
    </w:p>
    <w:p>
      <w:pPr>
        <w:spacing w:after="0" w:line="178" w:lineRule="exact"/>
        <w:rPr>
          <w:rFonts w:ascii="Arial" w:cs="Arial" w:eastAsia="Arial" w:hAnsi="Arial"/>
          <w:sz w:val="17"/>
          <w:szCs w:val="17"/>
          <w:color w:val="auto"/>
        </w:rPr>
      </w:pPr>
    </w:p>
    <w:p>
      <w:pPr>
        <w:ind w:right="60" w:firstLine="921"/>
        <w:spacing w:after="0" w:line="259" w:lineRule="auto"/>
        <w:tabs>
          <w:tab w:leader="none" w:pos="117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anticipates being a party to the Concurrent Facility Agreement simultaneous with this Agreement, but will not have an open sales order in force with more than one agent or underwriter under such agreements at any given time, provided, however, that nothing in this Agreement shall prohibit the Company from entering into the Concurrent Facility Agreement, a committed equity financing facility or similar transaction.</w:t>
      </w:r>
    </w:p>
    <w:p>
      <w:pPr>
        <w:spacing w:after="0" w:line="186" w:lineRule="exact"/>
        <w:rPr>
          <w:rFonts w:ascii="Arial" w:cs="Arial" w:eastAsia="Arial" w:hAnsi="Arial"/>
          <w:sz w:val="18"/>
          <w:szCs w:val="18"/>
          <w:color w:val="auto"/>
        </w:rPr>
      </w:pPr>
    </w:p>
    <w:p>
      <w:pPr>
        <w:ind w:firstLine="921"/>
        <w:spacing w:after="0" w:line="270" w:lineRule="auto"/>
        <w:tabs>
          <w:tab w:leader="none" w:pos="117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To the knowledge of the Company, (i) each material employee benefit plan, within the meaning of Section 3(3)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(ii) no prohibited transaction, within the meaning of Section 406 of ERISA or Section 4975 of the Code, has occurred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have a Material Adverse Effect.</w:t>
      </w:r>
    </w:p>
    <w:p>
      <w:pPr>
        <w:spacing w:after="0" w:line="177" w:lineRule="exact"/>
        <w:rPr>
          <w:rFonts w:ascii="Arial" w:cs="Arial" w:eastAsia="Arial" w:hAnsi="Arial"/>
          <w:sz w:val="17"/>
          <w:szCs w:val="17"/>
          <w:color w:val="auto"/>
        </w:rPr>
      </w:pPr>
    </w:p>
    <w:p>
      <w:pPr>
        <w:ind w:right="180" w:firstLine="921"/>
        <w:spacing w:after="0" w:line="264" w:lineRule="auto"/>
        <w:tabs>
          <w:tab w:leader="none" w:pos="125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Forward Looking Statements</w:t>
      </w:r>
      <w:r>
        <w:rPr>
          <w:rFonts w:ascii="Arial" w:cs="Arial" w:eastAsia="Arial" w:hAnsi="Arial"/>
          <w:sz w:val="18"/>
          <w:szCs w:val="18"/>
          <w:color w:val="auto"/>
        </w:rPr>
        <w:t>. No forward-looking statement (within the meaning of Section 27A of the Securities Act and Section 21E of the Exchange Act) (a “</w:t>
      </w:r>
      <w:r>
        <w:rPr>
          <w:rFonts w:ascii="Arial" w:cs="Arial" w:eastAsia="Arial" w:hAnsi="Arial"/>
          <w:sz w:val="18"/>
          <w:szCs w:val="18"/>
          <w:u w:val="single" w:color="auto"/>
          <w:color w:val="auto"/>
        </w:rPr>
        <w:t>Forward Looking Statement</w:t>
      </w:r>
      <w:r>
        <w:rPr>
          <w:rFonts w:ascii="Arial" w:cs="Arial" w:eastAsia="Arial" w:hAnsi="Arial"/>
          <w:sz w:val="18"/>
          <w:szCs w:val="18"/>
          <w:color w:val="auto"/>
        </w:rPr>
        <w:t>”) contained in the Registration Statement and the Prospectus has been made or reaffirmed without a reasonable basis or has been disclosed other than in good faith.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09" w:name="page210"/>
    <w:bookmarkEnd w:id="209"/>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 Looking Statements incorporated by reference in the Registration Statement and the Prospectus from the Company’s Annual Report on Form 10-K for the fiscal year most recently ended (i) except for any Forward Looking Statement included in any financial statements and notes thereto,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spacing w:after="0" w:line="193" w:lineRule="exact"/>
        <w:rPr>
          <w:sz w:val="20"/>
          <w:szCs w:val="20"/>
          <w:color w:val="auto"/>
        </w:rPr>
      </w:pPr>
    </w:p>
    <w:p>
      <w:pPr>
        <w:jc w:val="both"/>
        <w:ind w:right="80" w:firstLine="921"/>
        <w:spacing w:after="0" w:line="264" w:lineRule="auto"/>
        <w:tabs>
          <w:tab w:leader="none" w:pos="117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1" w:lineRule="exact"/>
        <w:rPr>
          <w:rFonts w:ascii="Arial" w:cs="Arial" w:eastAsia="Arial" w:hAnsi="Arial"/>
          <w:sz w:val="18"/>
          <w:szCs w:val="18"/>
          <w:color w:val="auto"/>
        </w:rPr>
      </w:pPr>
    </w:p>
    <w:p>
      <w:pPr>
        <w:ind w:right="300" w:firstLine="921"/>
        <w:spacing w:after="0" w:line="264" w:lineRule="auto"/>
        <w:tabs>
          <w:tab w:leader="none" w:pos="135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carry, or are covered by, insurance in such amounts and covering such risks as the Company and each of its Subsidiaries reasonably believe are adequate for the use of their properties and as is customary for companies of similar size engaged in similar businesses in similar industries.</w:t>
      </w:r>
    </w:p>
    <w:p>
      <w:pPr>
        <w:spacing w:after="0" w:line="181" w:lineRule="exact"/>
        <w:rPr>
          <w:rFonts w:ascii="Arial" w:cs="Arial" w:eastAsia="Arial" w:hAnsi="Arial"/>
          <w:sz w:val="18"/>
          <w:szCs w:val="18"/>
          <w:color w:val="auto"/>
        </w:rPr>
      </w:pPr>
    </w:p>
    <w:p>
      <w:pPr>
        <w:ind w:firstLine="921"/>
        <w:spacing w:after="0" w:line="285" w:lineRule="auto"/>
        <w:tabs>
          <w:tab w:leader="none" w:pos="125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 agent of the Company or any Subsidiary has made any payment of funds of the Company or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0" w:name="page211"/>
    <w:bookmarkEnd w:id="210"/>
    <w:p>
      <w:pPr>
        <w:ind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24" w:lineRule="exact"/>
        <w:rPr>
          <w:sz w:val="20"/>
          <w:szCs w:val="20"/>
          <w:color w:val="auto"/>
        </w:rPr>
      </w:pPr>
    </w:p>
    <w:p>
      <w:pPr>
        <w:ind w:right="140" w:firstLine="921"/>
        <w:spacing w:after="0" w:line="277" w:lineRule="auto"/>
        <w:tabs>
          <w:tab w:leader="none" w:pos="1258"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Status Under the Securities Act</w:t>
      </w:r>
      <w:r>
        <w:rPr>
          <w:rFonts w:ascii="Arial" w:cs="Arial" w:eastAsia="Arial" w:hAnsi="Arial"/>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70" w:lineRule="exact"/>
        <w:rPr>
          <w:rFonts w:ascii="Arial" w:cs="Arial" w:eastAsia="Arial" w:hAnsi="Arial"/>
          <w:sz w:val="18"/>
          <w:szCs w:val="18"/>
          <w:color w:val="auto"/>
        </w:rPr>
      </w:pPr>
    </w:p>
    <w:p>
      <w:pPr>
        <w:ind w:right="140" w:firstLine="921"/>
        <w:spacing w:after="0" w:line="276" w:lineRule="auto"/>
        <w:tabs>
          <w:tab w:leader="none" w:pos="1258"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 in an Issuer Free Writing Prospectus</w:t>
      </w:r>
      <w:r>
        <w:rPr>
          <w:rFonts w:ascii="Arial" w:cs="Arial" w:eastAsia="Arial" w:hAnsi="Arial"/>
          <w:sz w:val="17"/>
          <w:szCs w:val="17"/>
          <w:color w:val="auto"/>
        </w:rPr>
        <w:t>. Each Issuer Free Writing Prospectus, as of its issue date and as of each Applicable Time (as defined in Section 24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BP specifically for use therein.</w:t>
      </w:r>
    </w:p>
    <w:p>
      <w:pPr>
        <w:spacing w:after="0" w:line="172" w:lineRule="exact"/>
        <w:rPr>
          <w:rFonts w:ascii="Arial" w:cs="Arial" w:eastAsia="Arial" w:hAnsi="Arial"/>
          <w:sz w:val="17"/>
          <w:szCs w:val="17"/>
          <w:color w:val="auto"/>
        </w:rPr>
      </w:pPr>
    </w:p>
    <w:p>
      <w:pPr>
        <w:ind w:right="20" w:firstLine="921"/>
        <w:spacing w:after="0" w:line="285" w:lineRule="auto"/>
        <w:tabs>
          <w:tab w:leader="none" w:pos="1258"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of this Agreement by the Company, nor the issuance, offering or sale of the Placement Shares, nor the consummation by the Company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w:t>
      </w:r>
    </w:p>
    <w:p>
      <w:pPr>
        <w:spacing w:after="0" w:line="2" w:lineRule="exact"/>
        <w:rPr>
          <w:rFonts w:ascii="Arial" w:cs="Arial" w:eastAsia="Arial" w:hAnsi="Arial"/>
          <w:sz w:val="16"/>
          <w:szCs w:val="16"/>
          <w:color w:val="auto"/>
        </w:rPr>
      </w:pPr>
    </w:p>
    <w:p>
      <w:pPr>
        <w:ind w:left="220" w:hanging="212"/>
        <w:spacing w:after="0"/>
        <w:tabs>
          <w:tab w:leader="none" w:pos="2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such conflicts, breaches or defaults as may have been waived and (ii) such conflicts, breaches, defaults, liens, charges or encumbrances that would not</w:t>
      </w:r>
    </w:p>
    <w:p>
      <w:pPr>
        <w:spacing w:after="0" w:line="3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reasonably be expected to have a Material Adverse Effect; nor will such action result (x) in any violation of the provisions of the certificate of incorporation or bylaws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spacing w:after="0" w:line="189" w:lineRule="exact"/>
        <w:rPr>
          <w:rFonts w:ascii="Arial" w:cs="Arial" w:eastAsia="Arial" w:hAnsi="Arial"/>
          <w:sz w:val="16"/>
          <w:szCs w:val="16"/>
          <w:color w:val="auto"/>
        </w:rPr>
      </w:pPr>
    </w:p>
    <w:p>
      <w:pPr>
        <w:ind w:right="80" w:firstLine="921"/>
        <w:spacing w:after="0" w:line="255" w:lineRule="auto"/>
        <w:tabs>
          <w:tab w:leader="none" w:pos="119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Clinical Studies</w:t>
      </w:r>
      <w:r>
        <w:rPr>
          <w:rFonts w:ascii="Arial" w:cs="Arial" w:eastAsia="Arial" w:hAnsi="Arial"/>
          <w:sz w:val="18"/>
          <w:szCs w:val="18"/>
          <w:color w:val="auto"/>
        </w:rPr>
        <w:t>. The clinical, pre-clinical and other studies and tests conducted by or, to the knowledge of the Company, on behalf of the Company were, and, if still pending, are being, conducted in accordance in all material respects with all applicable statutes, laws, rules and regulations (including, without limitation, those administered by the United States Food and Drug Administration (the “</w:t>
      </w:r>
      <w:r>
        <w:rPr>
          <w:rFonts w:ascii="Arial" w:cs="Arial" w:eastAsia="Arial" w:hAnsi="Arial"/>
          <w:sz w:val="18"/>
          <w:szCs w:val="18"/>
          <w:u w:val="single" w:color="auto"/>
          <w:color w:val="auto"/>
        </w:rPr>
        <w:t>FDA</w:t>
      </w:r>
      <w:r>
        <w:rPr>
          <w:rFonts w:ascii="Arial" w:cs="Arial" w:eastAsia="Arial" w:hAnsi="Arial"/>
          <w:sz w:val="18"/>
          <w:szCs w:val="18"/>
          <w:color w:val="auto"/>
        </w:rPr>
        <w:t>”) or by any foreign, federal, state or local governmental or regulatory authority performing functions similar to those performed by the FDA), except where the failure do so would not have a Material Adverse Effect. The Company has not received any written notices or other written correspondence from the FDA or any other foreign, federal, state or local governmental or regulatory authority performing functions similar to those performed by the FDA requiring the Company to terminate or suspend any ongoing clinical or pre-clinical studies or tests.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11" w:name="page212"/>
    <w:bookmarkEnd w:id="211"/>
    <w:p>
      <w:pPr>
        <w:ind w:left="-120" w:right="40" w:firstLine="921"/>
        <w:spacing w:after="0" w:line="279" w:lineRule="auto"/>
        <w:tabs>
          <w:tab w:leader="none" w:pos="1098"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Program</w:t>
      </w:r>
      <w:r>
        <w:rPr>
          <w:rFonts w:ascii="Arial" w:cs="Arial" w:eastAsia="Arial" w:hAnsi="Arial"/>
          <w:sz w:val="17"/>
          <w:szCs w:val="17"/>
          <w:color w:val="auto"/>
        </w:rPr>
        <w: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and any other foreign, federal, state or local governmental or regulatory authority performing functions similar to those performed by the FDA); except where such noncompliance would not reasonably be expected to have a Material Adverse Effect.</w:t>
      </w:r>
    </w:p>
    <w:p>
      <w:pPr>
        <w:spacing w:after="0" w:line="171" w:lineRule="exact"/>
        <w:rPr>
          <w:rFonts w:ascii="Arial" w:cs="Arial" w:eastAsia="Arial" w:hAnsi="Arial"/>
          <w:sz w:val="17"/>
          <w:szCs w:val="17"/>
          <w:color w:val="auto"/>
        </w:rPr>
      </w:pPr>
    </w:p>
    <w:p>
      <w:pPr>
        <w:ind w:left="-120" w:firstLine="921"/>
        <w:spacing w:after="0" w:line="264" w:lineRule="auto"/>
        <w:tabs>
          <w:tab w:leader="none" w:pos="105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(i) Neither the Company nor any of its Subsidiaries (collectively, the “</w:t>
      </w:r>
      <w:r>
        <w:rPr>
          <w:rFonts w:ascii="Arial" w:cs="Arial" w:eastAsia="Arial" w:hAnsi="Arial"/>
          <w:sz w:val="18"/>
          <w:szCs w:val="18"/>
          <w:u w:val="single" w:color="auto"/>
          <w:color w:val="auto"/>
        </w:rPr>
        <w:t>Entity</w:t>
      </w:r>
      <w:r>
        <w:rPr>
          <w:rFonts w:ascii="Arial" w:cs="Arial" w:eastAsia="Arial" w:hAnsi="Arial"/>
          <w:sz w:val="18"/>
          <w:szCs w:val="18"/>
          <w:color w:val="auto"/>
        </w:rPr>
        <w:t>”) or, to the Company’s knowledge, any director, officer, employee, agent, affiliate or representative of the Entity, is a government, individual, or entity (in this paragraph (tt), “</w:t>
      </w:r>
      <w:r>
        <w:rPr>
          <w:rFonts w:ascii="Arial" w:cs="Arial" w:eastAsia="Arial" w:hAnsi="Arial"/>
          <w:sz w:val="18"/>
          <w:szCs w:val="18"/>
          <w:u w:val="single" w:color="auto"/>
          <w:color w:val="auto"/>
        </w:rPr>
        <w:t>Person</w:t>
      </w:r>
      <w:r>
        <w:rPr>
          <w:rFonts w:ascii="Arial" w:cs="Arial" w:eastAsia="Arial" w:hAnsi="Arial"/>
          <w:sz w:val="18"/>
          <w:szCs w:val="18"/>
          <w:color w:val="auto"/>
        </w:rPr>
        <w:t>”) that is, or is owned or controlled by a Person that is:</w:t>
      </w:r>
    </w:p>
    <w:p>
      <w:pPr>
        <w:spacing w:after="0" w:line="7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 the subject of any sanctions administered or enforced by the U.S. Department of Treasury’s Office of Foreign Assets Control</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w:t>
      </w:r>
      <w:r>
        <w:rPr>
          <w:rFonts w:ascii="Arial" w:cs="Arial" w:eastAsia="Arial" w:hAnsi="Arial"/>
          <w:sz w:val="17"/>
          <w:szCs w:val="17"/>
          <w:u w:val="single" w:color="auto"/>
          <w:color w:val="auto"/>
        </w:rPr>
        <w:t>EU</w:t>
      </w:r>
      <w:r>
        <w:rPr>
          <w:rFonts w:ascii="Arial" w:cs="Arial" w:eastAsia="Arial" w:hAnsi="Arial"/>
          <w:sz w:val="17"/>
          <w:szCs w:val="17"/>
          <w:color w:val="auto"/>
        </w:rPr>
        <w:t>”),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w:t>
      </w:r>
    </w:p>
    <w:p>
      <w:pPr>
        <w:spacing w:after="0" w:line="103" w:lineRule="exact"/>
        <w:rPr>
          <w:sz w:val="20"/>
          <w:szCs w:val="20"/>
          <w:color w:val="auto"/>
        </w:rPr>
      </w:pPr>
    </w:p>
    <w:p>
      <w:pPr>
        <w:ind w:left="800" w:right="60" w:firstLine="421"/>
        <w:spacing w:after="0" w:line="277" w:lineRule="auto"/>
        <w:tabs>
          <w:tab w:leader="none" w:pos="1505" w:val="left"/>
        </w:tabs>
        <w:numPr>
          <w:ilvl w:val="2"/>
          <w:numId w:val="146"/>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62" w:lineRule="exact"/>
        <w:rPr>
          <w:rFonts w:ascii="Arial" w:cs="Arial" w:eastAsia="Arial" w:hAnsi="Arial"/>
          <w:sz w:val="18"/>
          <w:szCs w:val="18"/>
          <w:color w:val="auto"/>
        </w:rPr>
      </w:pPr>
    </w:p>
    <w:p>
      <w:pPr>
        <w:ind w:left="340" w:right="240" w:firstLine="443"/>
        <w:spacing w:after="0" w:line="277" w:lineRule="auto"/>
        <w:tabs>
          <w:tab w:leader="none" w:pos="104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represents and covenants that the Entity will not, directly or indirectly, knowingly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800" w:right="220" w:firstLine="421"/>
        <w:spacing w:after="0" w:line="277" w:lineRule="auto"/>
        <w:tabs>
          <w:tab w:leader="none" w:pos="1515"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800" w:right="460" w:firstLine="421"/>
        <w:spacing w:after="0" w:line="277" w:lineRule="auto"/>
        <w:tabs>
          <w:tab w:leader="none" w:pos="1505"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340" w:right="260" w:firstLine="443"/>
        <w:spacing w:after="0" w:line="264" w:lineRule="auto"/>
        <w:tabs>
          <w:tab w:leader="none" w:pos="10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represents and covenants that, except as detailed in the Prospectus, for the past five years, the Entity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ind w:left="-120" w:right="40" w:firstLine="921"/>
        <w:spacing w:after="0" w:line="264" w:lineRule="auto"/>
        <w:tabs>
          <w:tab w:leader="none" w:pos="1138"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Stock Transfer Taxes</w:t>
      </w:r>
      <w:r>
        <w:rPr>
          <w:rFonts w:ascii="Arial" w:cs="Arial" w:eastAsia="Arial" w:hAnsi="Arial"/>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60" w:top="274" w:right="339" w:bottom="1440" w:gutter="0" w:footer="0" w:header="0"/>
        </w:sectPr>
      </w:pPr>
    </w:p>
    <w:bookmarkStart w:id="212" w:name="page213"/>
    <w:bookmarkEnd w:id="212"/>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signed by an officer of the Company and delivered to BP or to counsel for BP pursuant to or in connection with this Agreement shall be deemed to be a representation and warranty by the Company, as applicable, to BP as to the matters set forth therein.</w:t>
      </w:r>
    </w:p>
    <w:p>
      <w:pPr>
        <w:spacing w:after="0" w:line="147" w:lineRule="exact"/>
        <w:rPr>
          <w:sz w:val="20"/>
          <w:szCs w:val="20"/>
          <w:color w:val="auto"/>
        </w:rPr>
      </w:pPr>
    </w:p>
    <w:p>
      <w:pPr>
        <w:ind w:left="640" w:hanging="17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BP that:</w:t>
      </w:r>
    </w:p>
    <w:p>
      <w:pPr>
        <w:spacing w:after="0" w:line="225" w:lineRule="exact"/>
        <w:rPr>
          <w:rFonts w:ascii="Arial" w:cs="Arial" w:eastAsia="Arial" w:hAnsi="Arial"/>
          <w:sz w:val="18"/>
          <w:szCs w:val="18"/>
          <w:color w:val="auto"/>
        </w:rPr>
      </w:pPr>
    </w:p>
    <w:p>
      <w:pPr>
        <w:ind w:firstLine="921"/>
        <w:spacing w:after="0" w:line="285" w:lineRule="auto"/>
        <w:tabs>
          <w:tab w:leader="none" w:pos="115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Registration Statement Amendments. After the date of this Agreement and during any period in which a Prospectus relating to any Placement Shares is required to be delivered by BP under the Securities Act (including in circumstances where such requirement may be satisfied pursuant to Rule 172 under the Securities Act) (the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(i) the Company will notify BP promptly of the time when any subsequent amendment to the Registration Statement, other than documents incorporated by reference, has been filed with the Commission and/or has become effective or any subsequent supplement to the Prospectus (other than documents incorporated by reference therein) has been filed and of any request by the Commission for any amendment or supplement to the Registration Statement or Prospectus or for additional information, (ii) the Company will not file any amendment or supplement to the Registration Statement or Prospectus (except for documents incorporated by reference therein) unless a copy thereof has been submitted to BP at least two Business Days before the filing and BP has not reasonably and in good faith objected thereto within two Business Days of receiving such copy (provided, however, that (A) the failure of BP to make such objection shall not relieve the Company of any obligation or liability hereunder, or affect BP’s right to rely on the representations and warranties made by the Company in this Agreement, (B) the Company has no obligation to provide BP any advance copy of such filing or to provide BP an opportunity to object to such filing if such filing does not name BP or does not relate to the transactions contemplated by this Agreement, and (C) the only remedy BP shall have with respect to the failure by the Company to provide BP with such copy or the filing of such amendment or supplement despite BP’s objection shall be to cease making sales under this Agreement) and the Company will furnish to BP at the time of filing thereof a copy of any document that upon filing is deemed to be incorporated by reference into the Registration Statement or Prospectus, except for those documents available via EDGAR; and (iii)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388" w:lineRule="exact"/>
        <w:rPr>
          <w:rFonts w:ascii="Arial" w:cs="Arial" w:eastAsia="Arial" w:hAnsi="Arial"/>
          <w:sz w:val="16"/>
          <w:szCs w:val="16"/>
          <w:color w:val="auto"/>
        </w:rPr>
      </w:pPr>
    </w:p>
    <w:p>
      <w:pPr>
        <w:ind w:right="120" w:firstLine="921"/>
        <w:spacing w:after="0" w:line="279" w:lineRule="auto"/>
        <w:tabs>
          <w:tab w:leader="none" w:pos="1168"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BP,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3" w:name="page214"/>
    <w:bookmarkEnd w:id="21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obtain its withdrawal if such a stop order should be issued. The Company will advise BP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7" w:lineRule="exact"/>
        <w:rPr>
          <w:sz w:val="20"/>
          <w:szCs w:val="20"/>
          <w:color w:val="auto"/>
        </w:rPr>
      </w:pPr>
    </w:p>
    <w:p>
      <w:pPr>
        <w:ind w:right="20" w:firstLine="921"/>
        <w:spacing w:after="0" w:line="287" w:lineRule="auto"/>
        <w:tabs>
          <w:tab w:leader="none" w:pos="1157"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During the Prospectus Delivery Period, the Company will use commercially reasonable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BP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BP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judgment of the Company, it is in the best interests of the Company to do so.</w:t>
      </w:r>
    </w:p>
    <w:p>
      <w:pPr>
        <w:spacing w:after="0" w:line="168" w:lineRule="exact"/>
        <w:rPr>
          <w:rFonts w:ascii="Arial" w:cs="Arial" w:eastAsia="Arial" w:hAnsi="Arial"/>
          <w:sz w:val="16"/>
          <w:szCs w:val="16"/>
          <w:color w:val="auto"/>
        </w:rPr>
      </w:pPr>
    </w:p>
    <w:p>
      <w:pPr>
        <w:ind w:right="60" w:firstLine="921"/>
        <w:spacing w:after="0" w:line="257" w:lineRule="auto"/>
        <w:tabs>
          <w:tab w:leader="none" w:pos="116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the Prospectus Delivery Period, the Company will use its commercially reasonable efforts to cause the Placement Shares to be listed on the Exchange and to qualify the Placement Shares for sale under the securities laws of such jurisdictions as BP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spacing w:after="0" w:line="188" w:lineRule="exact"/>
        <w:rPr>
          <w:rFonts w:ascii="Arial" w:cs="Arial" w:eastAsia="Arial" w:hAnsi="Arial"/>
          <w:sz w:val="18"/>
          <w:szCs w:val="18"/>
          <w:color w:val="auto"/>
        </w:rPr>
      </w:pPr>
    </w:p>
    <w:p>
      <w:pPr>
        <w:ind w:firstLine="921"/>
        <w:spacing w:after="0" w:line="272" w:lineRule="auto"/>
        <w:tabs>
          <w:tab w:leader="none" w:pos="1157"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Delivery of Registration Statement and Prospectus</w:t>
      </w:r>
      <w:r>
        <w:rPr>
          <w:rFonts w:ascii="Arial" w:cs="Arial" w:eastAsia="Arial" w:hAnsi="Arial"/>
          <w:sz w:val="17"/>
          <w:szCs w:val="17"/>
          <w:color w:val="auto"/>
        </w:rPr>
        <w:t>. The Company will furnish to BP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BP may from time to time reasonably request and, at BP’s request, will also furnish copies of the Prospectus to each exchange or market on which sales of the Placement Shares may be made; provided, however, that the Company shall not be required to furnish any document (other than the Prospectus) to BP to the extent such document is available on EDGAR.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14" w:name="page215"/>
    <w:bookmarkEnd w:id="214"/>
    <w:p>
      <w:pPr>
        <w:ind w:right="160" w:firstLine="921"/>
        <w:spacing w:after="0" w:line="291" w:lineRule="auto"/>
        <w:tabs>
          <w:tab w:leader="none" w:pos="1138"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Earnings Statement</w:t>
      </w:r>
      <w:r>
        <w:rPr>
          <w:rFonts w:ascii="Arial" w:cs="Arial" w:eastAsia="Arial" w:hAnsi="Arial"/>
          <w:sz w:val="16"/>
          <w:szCs w:val="16"/>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w:t>
      </w:r>
    </w:p>
    <w:p>
      <w:pPr>
        <w:spacing w:after="0"/>
        <w:rPr>
          <w:rFonts w:ascii="Arial" w:cs="Arial" w:eastAsia="Arial" w:hAnsi="Arial"/>
          <w:sz w:val="16"/>
          <w:szCs w:val="16"/>
          <w:color w:val="auto"/>
        </w:rPr>
      </w:pPr>
      <w:r>
        <w:rPr>
          <w:rFonts w:ascii="Arial" w:cs="Arial" w:eastAsia="Arial" w:hAnsi="Arial"/>
          <w:sz w:val="18"/>
          <w:szCs w:val="18"/>
          <w:color w:val="auto"/>
        </w:rPr>
        <w:t>Section 11(a) and Rule 158 of the Securities Act.</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w:t>
      </w:r>
      <w:r>
        <w:rPr>
          <w:rFonts w:ascii="Arial" w:cs="Arial" w:eastAsia="Arial" w:hAnsi="Arial"/>
          <w:sz w:val="17"/>
          <w:szCs w:val="17"/>
          <w:u w:val="single" w:color="auto"/>
          <w:color w:val="auto"/>
        </w:rPr>
        <w:t>Use of Proceeds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921"/>
        <w:spacing w:after="0" w:line="283" w:lineRule="auto"/>
        <w:tabs>
          <w:tab w:leader="none" w:pos="1168"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Without the prior written consent of BP,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second (2nd) Trading Day immediately prior to the date on which any Placement Notice is delivered to BP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at any time during which a Placement Notice is pending and for two (2) Trading Days after the last sale of Placement Shares under such Placement Notice, will not directly or indirectly in any other “at the market” or continuous equity transaction offer to sell, sell, contract to sell, grant any option to sell or otherwise dispose of any shares of Common Stock (other than the Placement Shares offered pursuant to this Agreement) or securities convertible into or exchangeable for Common Stock, warrants or any rights to purchase or acquire, Common Stock prior to the termination of this Agreement with respect to Placement Shares sold pursuant to such Placement Notice; provided, however, that such restrictions will not be required in connection with the Company’s issuance or sale of</w:t>
      </w:r>
    </w:p>
    <w:p>
      <w:pPr>
        <w:spacing w:after="0" w:line="4" w:lineRule="exact"/>
        <w:rPr>
          <w:rFonts w:ascii="Arial" w:cs="Arial" w:eastAsia="Arial" w:hAnsi="Arial"/>
          <w:sz w:val="16"/>
          <w:szCs w:val="16"/>
          <w:color w:val="auto"/>
        </w:rPr>
      </w:pPr>
    </w:p>
    <w:p>
      <w:pPr>
        <w:ind w:right="40" w:firstLine="8"/>
        <w:spacing w:after="0" w:line="269" w:lineRule="auto"/>
        <w:tabs>
          <w:tab w:leader="none" w:pos="21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Common Stock, options to purchase Common Stock or stock awards or Common Stock issuable upon the exercise of options or vesting of stock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BP and (iii) Common Stock, or securities convertible into or exercisable for Common Stock, offered and sold in a privately negotiated transaction to vendors, customers, investors, strategic partners or potential strategic partners and conducted in a manner so as not to be integrated with the offering of Common Stock hereby.</w:t>
      </w:r>
    </w:p>
    <w:p>
      <w:pPr>
        <w:spacing w:after="0" w:line="180" w:lineRule="exact"/>
        <w:rPr>
          <w:rFonts w:ascii="Arial" w:cs="Arial" w:eastAsia="Arial" w:hAnsi="Arial"/>
          <w:sz w:val="17"/>
          <w:szCs w:val="17"/>
          <w:color w:val="auto"/>
        </w:rPr>
      </w:pPr>
    </w:p>
    <w:p>
      <w:pPr>
        <w:ind w:right="200" w:firstLine="921"/>
        <w:spacing w:after="0" w:line="264" w:lineRule="auto"/>
        <w:tabs>
          <w:tab w:leader="none" w:pos="1128"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BP promptly after it shall have received notice or obtained knowledge thereof, of any information or fact that would alter or affect in any material respect any opinion, certificate, letter or other document required to be provided to BP pursuant to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5" w:name="page216"/>
    <w:bookmarkEnd w:id="215"/>
    <w:p>
      <w:pPr>
        <w:ind w:right="100" w:firstLine="921"/>
        <w:spacing w:after="0" w:line="259" w:lineRule="auto"/>
        <w:tabs>
          <w:tab w:leader="none" w:pos="1128" w:val="left"/>
        </w:tabs>
        <w:numPr>
          <w:ilvl w:val="2"/>
          <w:numId w:val="1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Diligence Cooperation</w:t>
      </w:r>
      <w:r>
        <w:rPr>
          <w:rFonts w:ascii="Arial" w:cs="Arial" w:eastAsia="Arial" w:hAnsi="Arial"/>
          <w:sz w:val="18"/>
          <w:szCs w:val="18"/>
          <w:color w:val="auto"/>
        </w:rPr>
        <w:t>. The Company will cooperate with any reasonable due diligence review conducted by BP or its representatives in connection with the transactions contemplated hereby, including, without limitation, providing information and making available documents and senior corporate officers, during regular business hours and at the Company’s principal offices or such other location mutually agreeable by the parties, as BP may reasonably request.</w:t>
      </w:r>
    </w:p>
    <w:p>
      <w:pPr>
        <w:spacing w:after="0" w:line="186" w:lineRule="exact"/>
        <w:rPr>
          <w:rFonts w:ascii="Arial" w:cs="Arial" w:eastAsia="Arial" w:hAnsi="Arial"/>
          <w:sz w:val="18"/>
          <w:szCs w:val="18"/>
          <w:color w:val="auto"/>
        </w:rPr>
      </w:pPr>
    </w:p>
    <w:p>
      <w:pPr>
        <w:ind w:right="100" w:firstLine="921"/>
        <w:spacing w:after="0" w:line="286" w:lineRule="auto"/>
        <w:tabs>
          <w:tab w:leader="none" w:pos="1168" w:val="left"/>
        </w:tabs>
        <w:numPr>
          <w:ilvl w:val="2"/>
          <w:numId w:val="152"/>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such dates as the Securities Act shall require, the Company will (i) file a prospectus supplement with the Commission under the applicable paragraph of Rule 424(b) under the Securities Act (the date of each and every such filing under Rule 424(b), a “</w:t>
      </w:r>
      <w:r>
        <w:rPr>
          <w:rFonts w:ascii="Arial" w:cs="Arial" w:eastAsia="Arial" w:hAnsi="Arial"/>
          <w:sz w:val="16"/>
          <w:szCs w:val="16"/>
          <w:u w:val="single" w:color="auto"/>
          <w:color w:val="auto"/>
        </w:rPr>
        <w:t>Filing Date</w:t>
      </w:r>
      <w:r>
        <w:rPr>
          <w:rFonts w:ascii="Arial" w:cs="Arial" w:eastAsia="Arial" w:hAnsi="Arial"/>
          <w:sz w:val="16"/>
          <w:szCs w:val="16"/>
          <w:color w:val="auto"/>
        </w:rPr>
        <w:t>”), which prospectus supplement will set forth, within the relevant period, the amount of Placement Shares sold through BP, the Net Proceeds to the Company and the compensation payable by the Company to BP with respect to such Placement Shares, and</w:t>
      </w:r>
    </w:p>
    <w:p>
      <w:pPr>
        <w:spacing w:after="0" w:line="1" w:lineRule="exact"/>
        <w:rPr>
          <w:rFonts w:ascii="Arial" w:cs="Arial" w:eastAsia="Arial" w:hAnsi="Arial"/>
          <w:sz w:val="16"/>
          <w:szCs w:val="16"/>
          <w:color w:val="auto"/>
        </w:rPr>
      </w:pPr>
    </w:p>
    <w:p>
      <w:pPr>
        <w:ind w:right="180" w:firstLine="8"/>
        <w:spacing w:after="0" w:line="261" w:lineRule="auto"/>
        <w:tabs>
          <w:tab w:leader="none" w:pos="2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deliver such number of copies of each such prospectus supplement to each exchange or market on which such sales were effected as may be required by the rules or regulations of such exchange or market.</w:t>
      </w:r>
    </w:p>
    <w:p>
      <w:pPr>
        <w:spacing w:after="0" w:line="183" w:lineRule="exact"/>
        <w:rPr>
          <w:rFonts w:ascii="Arial" w:cs="Arial" w:eastAsia="Arial" w:hAnsi="Arial"/>
          <w:sz w:val="18"/>
          <w:szCs w:val="18"/>
          <w:color w:val="auto"/>
        </w:rPr>
      </w:pPr>
    </w:p>
    <w:p>
      <w:pPr>
        <w:ind w:left="1140" w:hanging="219"/>
        <w:spacing w:after="0"/>
        <w:tabs>
          <w:tab w:leader="none" w:pos="114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Representation Dates; Certificate. On the date of this Agreement and each time during the term of this Agreement the Company:</w:t>
      </w:r>
    </w:p>
    <w:p>
      <w:pPr>
        <w:spacing w:after="0" w:line="117" w:lineRule="exact"/>
        <w:rPr>
          <w:rFonts w:ascii="Arial" w:cs="Arial" w:eastAsia="Arial" w:hAnsi="Arial"/>
          <w:sz w:val="18"/>
          <w:szCs w:val="18"/>
          <w:color w:val="auto"/>
        </w:rPr>
      </w:pPr>
    </w:p>
    <w:p>
      <w:pPr>
        <w:ind w:left="460" w:right="220" w:firstLine="443"/>
        <w:spacing w:after="0" w:line="259" w:lineRule="auto"/>
        <w:tabs>
          <w:tab w:leader="none" w:pos="111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78" w:lineRule="exact"/>
        <w:rPr>
          <w:rFonts w:ascii="Arial" w:cs="Arial" w:eastAsia="Arial" w:hAnsi="Arial"/>
          <w:sz w:val="18"/>
          <w:szCs w:val="18"/>
          <w:color w:val="auto"/>
        </w:rPr>
      </w:pPr>
    </w:p>
    <w:p>
      <w:pPr>
        <w:ind w:left="460" w:right="540" w:firstLine="443"/>
        <w:spacing w:after="0" w:line="277" w:lineRule="auto"/>
        <w:tabs>
          <w:tab w:leader="none" w:pos="116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restated financial statements or a material amendment to the previously filed Form 10-K);</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audited financial information (other than information “furnished” pursuant to Items</w:t>
      </w:r>
    </w:p>
    <w:p>
      <w:pPr>
        <w:spacing w:after="0" w:line="46"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2.02 or 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date of filing of one or more of the documents referred to in clauses (i) through (iv)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shall furnish BP (but in the case of clause (iv) above only if BP reasonably determines that the information contained in such Form 8-K is material) with a certificate, in the form attached hereto as Exhibit 7(l). The requirement to provide a certificate under this Section 7(l) shall be automatically waived for any Representation Date occurring at a time at which no Placement Notice is pending, which waiver shall continue until the date the Company delivers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16" w:name="page217"/>
    <w:bookmarkEnd w:id="21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Placement Notice hereunder (which for such calendar quarter shall be considered a Representation Date); provided, however,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BP with a certificate under this Section 7(l), then before the Company delivers the Placement Notice or BP sells any Placement Shares, the Company shall provide BP with a certificate, in the form attached hereto as Exhibit 7(l), dated the date of the Placement Notice.</w:t>
      </w:r>
    </w:p>
    <w:p>
      <w:pPr>
        <w:spacing w:after="0" w:line="188" w:lineRule="exact"/>
        <w:rPr>
          <w:sz w:val="20"/>
          <w:szCs w:val="20"/>
          <w:color w:val="auto"/>
        </w:rPr>
      </w:pPr>
    </w:p>
    <w:p>
      <w:pPr>
        <w:ind w:firstLine="921"/>
        <w:spacing w:after="0" w:line="286" w:lineRule="auto"/>
        <w:tabs>
          <w:tab w:leader="none" w:pos="121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On or prior to the date of the first Placement Notice given hereunder, the Company shall cause to be furnished to BP a written opinion and letter of Cooley LLP, or such other counsel reasonably satisfactory to BP (“</w:t>
      </w:r>
      <w:r>
        <w:rPr>
          <w:rFonts w:ascii="Arial" w:cs="Arial" w:eastAsia="Arial" w:hAnsi="Arial"/>
          <w:sz w:val="16"/>
          <w:szCs w:val="16"/>
          <w:u w:val="single" w:color="auto"/>
          <w:color w:val="auto"/>
        </w:rPr>
        <w:t>Company Counsel</w:t>
      </w:r>
      <w:r>
        <w:rPr>
          <w:rFonts w:ascii="Arial" w:cs="Arial" w:eastAsia="Arial" w:hAnsi="Arial"/>
          <w:sz w:val="16"/>
          <w:szCs w:val="16"/>
          <w:color w:val="auto"/>
        </w:rPr>
        <w:t>”), covering opinions and statements substantially in the forms attached hereto as Exhibits 7(m)(1) and 7(m)(2). Thereafter within five (5) Trading Days of each Representation Date with respect to which the Company is obligated to deliver a certificate in the form attached hereto as Exhibit 7(l) for which no waiver is applicable, the Company shall cause to be furnished to BP a letter of Company Counsel covering statements substantially in the form attached hereto as Exhibits 7(m)(2), modified, as necessary, to relate to the Registration Statement and the Prospectus as then amended or supplemented; provided, however, the Company shall be required to furnish to BP no more than one letter hereunder per calendar quarter and the Company shall not be required to furnish such letter if the Company does not intend to deliver a Placement Notice in such calendar quarter until such time as the Company delivers its next Placement Notice; provided, further, that in lieu of such letters for subsequent periodic filings under the Exchange Act, counsel may furnish BP with a letter (a “</w:t>
      </w:r>
      <w:r>
        <w:rPr>
          <w:rFonts w:ascii="Arial" w:cs="Arial" w:eastAsia="Arial" w:hAnsi="Arial"/>
          <w:sz w:val="16"/>
          <w:szCs w:val="16"/>
          <w:u w:val="single" w:color="auto"/>
          <w:color w:val="auto"/>
        </w:rPr>
        <w:t>Reliance Letter</w:t>
      </w:r>
      <w:r>
        <w:rPr>
          <w:rFonts w:ascii="Arial" w:cs="Arial" w:eastAsia="Arial" w:hAnsi="Arial"/>
          <w:sz w:val="16"/>
          <w:szCs w:val="16"/>
          <w:color w:val="auto"/>
        </w:rPr>
        <w:t>”) to the effect that BP may rely on a prior letter delivered under this Section 7(m) to the same extent as if it were dated the date of such letter (except that statements in such prior letter shall be deemed to relate to the Registration Statement and the Prospectus as amended or supplemented as of the date of the Reliance Letter). Notwithstanding anything to the contrary set forth herein, each obligation of the Company to cause to be furnished to BP a letter of Company Counsel substantially in the form attached hereto as Exhibit 7(m)(2) shall be conditioned upon the concurrent delivery to BP of a letter of LeClairRyan, or other counsel to BP reasonably acceptable to BP (“</w:t>
      </w:r>
      <w:r>
        <w:rPr>
          <w:rFonts w:ascii="Arial" w:cs="Arial" w:eastAsia="Arial" w:hAnsi="Arial"/>
          <w:sz w:val="16"/>
          <w:szCs w:val="16"/>
          <w:u w:val="single" w:color="auto"/>
          <w:color w:val="auto"/>
        </w:rPr>
        <w:t>BP Counsel</w:t>
      </w:r>
      <w:r>
        <w:rPr>
          <w:rFonts w:ascii="Arial" w:cs="Arial" w:eastAsia="Arial" w:hAnsi="Arial"/>
          <w:sz w:val="16"/>
          <w:szCs w:val="16"/>
          <w:color w:val="auto"/>
        </w:rPr>
        <w:t>”), covering statements substantially similar to those covered by such letter of Company Counsel</w:t>
      </w:r>
    </w:p>
    <w:p>
      <w:pPr>
        <w:spacing w:after="0" w:line="171" w:lineRule="exact"/>
        <w:rPr>
          <w:rFonts w:ascii="Arial" w:cs="Arial" w:eastAsia="Arial" w:hAnsi="Arial"/>
          <w:sz w:val="16"/>
          <w:szCs w:val="16"/>
          <w:color w:val="auto"/>
        </w:rPr>
      </w:pPr>
    </w:p>
    <w:p>
      <w:pPr>
        <w:ind w:right="60" w:firstLine="921"/>
        <w:spacing w:after="0" w:line="254" w:lineRule="auto"/>
        <w:tabs>
          <w:tab w:leader="none" w:pos="1168"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On or prior to the date the first Placement Notice is given hereunder and thereafter within five (5) Trading Days after each Representation Date referred to in Section 7(l)(ii), the Company shall cause its independent accountants to furnish BP letters (the “</w:t>
      </w:r>
      <w:r>
        <w:rPr>
          <w:rFonts w:ascii="Arial" w:cs="Arial" w:eastAsia="Arial" w:hAnsi="Arial"/>
          <w:sz w:val="18"/>
          <w:szCs w:val="18"/>
          <w:u w:val="single" w:color="auto"/>
          <w:color w:val="auto"/>
        </w:rPr>
        <w:t>Comfort Letters</w:t>
      </w:r>
      <w:r>
        <w:rPr>
          <w:rFonts w:ascii="Arial" w:cs="Arial" w:eastAsia="Arial" w:hAnsi="Arial"/>
          <w:sz w:val="18"/>
          <w:szCs w:val="18"/>
          <w:color w:val="auto"/>
        </w:rPr>
        <w:t>”), dated the date the Comfort Letter is delivered, which shall meet the requirements set forth in this Section 7(n); provided, that if requested by BP, the Company shall cause a Comfort Letter to be furnished to BP prior to the tenth (10th) Trading Day after the date of occurrence of any material transaction or event (including the restatement of the Company’s financial statements) requiring the filing of a current report on Form 8-K containing material financial information and the date the first Placement Notice is given hereunder following such a material transaction or event, whichever is later. The Comfort Letter from the Company’s independent accountants shall be in a form and substance reasonably satisfactory to BP, (i) confirming that they are an independent public accounting firm within the meaning of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17" w:name="page218"/>
    <w:bookmarkEnd w:id="217"/>
    <w:p>
      <w:pPr>
        <w:ind w:right="2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Comfort Letter</w:t>
      </w:r>
      <w:r>
        <w:rPr>
          <w:rFonts w:ascii="Arial" w:cs="Arial" w:eastAsia="Arial" w:hAnsi="Arial"/>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8" w:lineRule="exact"/>
        <w:rPr>
          <w:sz w:val="20"/>
          <w:szCs w:val="20"/>
          <w:color w:val="auto"/>
        </w:rPr>
      </w:pPr>
    </w:p>
    <w:p>
      <w:pPr>
        <w:jc w:val="both"/>
        <w:ind w:firstLine="921"/>
        <w:spacing w:after="0" w:line="259" w:lineRule="auto"/>
        <w:tabs>
          <w:tab w:leader="none" w:pos="1168"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BP.</w:t>
      </w:r>
    </w:p>
    <w:p>
      <w:pPr>
        <w:spacing w:after="0" w:line="186" w:lineRule="exact"/>
        <w:rPr>
          <w:rFonts w:ascii="Arial" w:cs="Arial" w:eastAsia="Arial" w:hAnsi="Arial"/>
          <w:sz w:val="18"/>
          <w:szCs w:val="18"/>
          <w:color w:val="auto"/>
        </w:rPr>
      </w:pPr>
    </w:p>
    <w:p>
      <w:pPr>
        <w:ind w:right="220" w:firstLine="921"/>
        <w:spacing w:after="0" w:line="264" w:lineRule="auto"/>
        <w:tabs>
          <w:tab w:leader="none" w:pos="1168"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1" w:lineRule="exact"/>
        <w:rPr>
          <w:rFonts w:ascii="Arial" w:cs="Arial" w:eastAsia="Arial" w:hAnsi="Arial"/>
          <w:sz w:val="18"/>
          <w:szCs w:val="18"/>
          <w:color w:val="auto"/>
        </w:rPr>
      </w:pPr>
    </w:p>
    <w:p>
      <w:pPr>
        <w:ind w:right="20" w:firstLine="921"/>
        <w:spacing w:after="0" w:line="288" w:lineRule="auto"/>
        <w:tabs>
          <w:tab w:leader="none" w:pos="1168"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w:t>
      </w:r>
    </w:p>
    <w:p>
      <w:pPr>
        <w:ind w:left="220" w:hanging="212"/>
        <w:spacing w:after="0"/>
        <w:tabs>
          <w:tab w:leader="none" w:pos="2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firstLine="8"/>
        <w:spacing w:after="0" w:line="267" w:lineRule="auto"/>
        <w:tabs>
          <w:tab w:leader="none" w:pos="26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18" w:name="page219"/>
    <w:bookmarkEnd w:id="218"/>
    <w:p>
      <w:pPr>
        <w:ind w:left="-40" w:right="60" w:firstLine="464"/>
        <w:spacing w:after="0" w:line="293" w:lineRule="auto"/>
        <w:tabs>
          <w:tab w:leader="none" w:pos="596"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Covenants of BP</w:t>
      </w:r>
      <w:r>
        <w:rPr>
          <w:rFonts w:ascii="Arial" w:cs="Arial" w:eastAsia="Arial" w:hAnsi="Arial"/>
          <w:sz w:val="16"/>
          <w:szCs w:val="16"/>
          <w:color w:val="auto"/>
        </w:rPr>
        <w:t>. BP represents and warrants that it is duly registered as a broker-dealer under FINRA, the Exchange Act and the applicable statutes and regulations of each state in which the Placement Shares will be offered and sold, except such states in which BP is exempt from registration or such registration is not otherwise required. BP shall continue, for the term of this Agreement, to be duly registered as a broker-dealer under FINRA, the Exchange Act and the applicable statutes and regulations of each state in which the Placement Shares will be offered and sold, except such states in which BP is exempt from registration or such registration is not otherwise required, during the term of this Agreement. BP will comply with all applicable laws and regulations (including, without limitation, Regulation M) in connection with performing its obligations under this Agreement.</w:t>
      </w:r>
    </w:p>
    <w:p>
      <w:pPr>
        <w:spacing w:after="0" w:line="164" w:lineRule="exact"/>
        <w:rPr>
          <w:rFonts w:ascii="Arial" w:cs="Arial" w:eastAsia="Arial" w:hAnsi="Arial"/>
          <w:sz w:val="16"/>
          <w:szCs w:val="16"/>
          <w:color w:val="auto"/>
        </w:rPr>
      </w:pPr>
    </w:p>
    <w:p>
      <w:pPr>
        <w:ind w:left="600" w:hanging="176"/>
        <w:spacing w:after="0"/>
        <w:tabs>
          <w:tab w:leader="none" w:pos="6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21"/>
        <w:spacing w:after="0" w:line="270" w:lineRule="auto"/>
        <w:tabs>
          <w:tab w:leader="none" w:pos="111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Issuer Free Writing Prospectus, in such number as BP shall reasonably deem necessary, (ii) the printing and delivery to BP of this Agreement and such other documents as may be required in connection with the offering, purchase, sale, issuance or delivery of the Placement Shares, (iii) the preparation, issuance and delivery of the certificates, if any, for the Placement Shares to BP, including any stock or other transfer taxes and any capital duties, stamp duties or other duties or taxes payable upon the sale, issuance or delivery of the Placement Shares to BP, (iv) the fees and disbursements of the counsel, accountants and other advisors to the Company, (v) the reasonable fees and disbursements of counsel to BP, up to a maximum amount of $25,000,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77" w:lineRule="exact"/>
        <w:rPr>
          <w:rFonts w:ascii="Arial" w:cs="Arial" w:eastAsia="Arial" w:hAnsi="Arial"/>
          <w:sz w:val="17"/>
          <w:szCs w:val="17"/>
          <w:color w:val="auto"/>
        </w:rPr>
      </w:pPr>
    </w:p>
    <w:p>
      <w:pPr>
        <w:jc w:val="both"/>
        <w:ind w:left="-40" w:right="560" w:firstLine="921"/>
        <w:spacing w:after="0" w:line="286" w:lineRule="auto"/>
        <w:tabs>
          <w:tab w:leader="none" w:pos="112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If this Agreement is terminated by BP in accordance with the provisions of Section 13(a) hereof as a result of a material breach by the Company of its obligations hereunder, the Company shall reimburse BP for all of its reasonable out-of-pocket expenses, including reasonable fees and disbursements of counsel for BP (less any amounts paid under clause (a)(v) above) up to a maximum of $25,000.</w:t>
      </w:r>
    </w:p>
    <w:p>
      <w:pPr>
        <w:spacing w:after="0" w:line="165" w:lineRule="exact"/>
        <w:rPr>
          <w:rFonts w:ascii="Arial" w:cs="Arial" w:eastAsia="Arial" w:hAnsi="Arial"/>
          <w:sz w:val="17"/>
          <w:szCs w:val="17"/>
          <w:color w:val="auto"/>
        </w:rPr>
      </w:pPr>
    </w:p>
    <w:p>
      <w:pPr>
        <w:ind w:left="-40" w:right="60" w:firstLine="464"/>
        <w:spacing w:after="0" w:line="259" w:lineRule="auto"/>
        <w:tabs>
          <w:tab w:leader="none" w:pos="68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Conditions to BP’s Obligations</w:t>
      </w:r>
      <w:r>
        <w:rPr>
          <w:rFonts w:ascii="Arial" w:cs="Arial" w:eastAsia="Arial" w:hAnsi="Arial"/>
          <w:sz w:val="18"/>
          <w:szCs w:val="18"/>
          <w:color w:val="auto"/>
        </w:rPr>
        <w:t>. The obligations of BP hereunder with respect to a Placement will be subject to the continuing accuracy and completeness of the representations and warranties made by the Company herein, to the due performance by the Company of its obligations hereunder, to the completion by BP of a due diligence review satisfactory to it in its reasonable judgment, and to the continuing satisfaction (or waiver by BP in its sole discretion) of the following additional conditions:</w:t>
      </w:r>
    </w:p>
    <w:p>
      <w:pPr>
        <w:spacing w:after="0" w:line="186" w:lineRule="exact"/>
        <w:rPr>
          <w:rFonts w:ascii="Arial" w:cs="Arial" w:eastAsia="Arial" w:hAnsi="Arial"/>
          <w:sz w:val="18"/>
          <w:szCs w:val="18"/>
          <w:color w:val="auto"/>
        </w:rPr>
      </w:pPr>
    </w:p>
    <w:p>
      <w:pPr>
        <w:ind w:left="-40" w:right="120" w:firstLine="921"/>
        <w:spacing w:after="0" w:line="277" w:lineRule="auto"/>
        <w:tabs>
          <w:tab w:leader="none" w:pos="1117"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sale of all Placement Shares contemplated to be issued by any Placement Notice.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80" w:top="274" w:right="259" w:bottom="1440" w:gutter="0" w:footer="0" w:header="0"/>
        </w:sectPr>
      </w:pPr>
    </w:p>
    <w:bookmarkStart w:id="219" w:name="page220"/>
    <w:bookmarkEnd w:id="219"/>
    <w:p>
      <w:pPr>
        <w:ind w:left="-8" w:right="40" w:firstLine="921"/>
        <w:spacing w:after="0" w:line="284" w:lineRule="auto"/>
        <w:tabs>
          <w:tab w:leader="none" w:pos="1160"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w:t>
      </w:r>
    </w:p>
    <w:p>
      <w:pPr>
        <w:spacing w:after="0" w:line="4" w:lineRule="exact"/>
        <w:rPr>
          <w:rFonts w:ascii="Arial" w:cs="Arial" w:eastAsia="Arial" w:hAnsi="Arial"/>
          <w:sz w:val="16"/>
          <w:szCs w:val="16"/>
          <w:color w:val="auto"/>
        </w:rPr>
      </w:pPr>
    </w:p>
    <w:p>
      <w:pPr>
        <w:ind w:left="-8" w:firstLine="8"/>
        <w:spacing w:after="0" w:line="270" w:lineRule="auto"/>
        <w:tabs>
          <w:tab w:leader="none" w:pos="29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left="-8" w:right="20" w:firstLine="921"/>
        <w:spacing w:after="0" w:line="264" w:lineRule="auto"/>
        <w:tabs>
          <w:tab w:leader="none" w:pos="1149"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BP shall not have advised the Company that the Registration Statement or Prospectus, or any amendment or supplement thereto, contains an untrue statement of fact that in BP’s reasonable opinion is material, or omits to state a fact that in BP’s opinion is material and is required to be stated therein or is necessary to make the statements therein not misleading.</w:t>
      </w:r>
    </w:p>
    <w:p>
      <w:pPr>
        <w:spacing w:after="0" w:line="181" w:lineRule="exact"/>
        <w:rPr>
          <w:rFonts w:ascii="Arial" w:cs="Arial" w:eastAsia="Arial" w:hAnsi="Arial"/>
          <w:sz w:val="18"/>
          <w:szCs w:val="18"/>
          <w:color w:val="auto"/>
        </w:rPr>
      </w:pPr>
    </w:p>
    <w:p>
      <w:pPr>
        <w:ind w:left="-8" w:firstLine="921"/>
        <w:spacing w:after="0" w:line="286" w:lineRule="auto"/>
        <w:tabs>
          <w:tab w:leader="none" w:pos="1160"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in the business or affairs of the Company that could reasonably be expected to cause a Material Adverse Effect.</w:t>
      </w:r>
    </w:p>
    <w:p>
      <w:pPr>
        <w:spacing w:after="0" w:line="165" w:lineRule="exact"/>
        <w:rPr>
          <w:rFonts w:ascii="Arial" w:cs="Arial" w:eastAsia="Arial" w:hAnsi="Arial"/>
          <w:sz w:val="17"/>
          <w:szCs w:val="17"/>
          <w:color w:val="auto"/>
        </w:rPr>
      </w:pPr>
    </w:p>
    <w:p>
      <w:pPr>
        <w:ind w:left="-8" w:right="120" w:firstLine="921"/>
        <w:spacing w:after="0" w:line="277" w:lineRule="auto"/>
        <w:tabs>
          <w:tab w:leader="none" w:pos="1149"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BP shall have received the opinions of Company Counsel and BP Counsel required to be delivered pursuant Section 7(m) on or before the date on which such delivery of such opinions are required pursuant to Section 7(m).</w:t>
      </w:r>
    </w:p>
    <w:p>
      <w:pPr>
        <w:spacing w:after="0" w:line="170" w:lineRule="exact"/>
        <w:rPr>
          <w:rFonts w:ascii="Arial" w:cs="Arial" w:eastAsia="Arial" w:hAnsi="Arial"/>
          <w:sz w:val="18"/>
          <w:szCs w:val="18"/>
          <w:color w:val="auto"/>
        </w:rPr>
      </w:pPr>
    </w:p>
    <w:p>
      <w:pPr>
        <w:ind w:left="-8" w:right="60" w:firstLine="921"/>
        <w:spacing w:after="0" w:line="277" w:lineRule="auto"/>
        <w:tabs>
          <w:tab w:leader="none" w:pos="1130"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BP shall have received the Comfort Letter required to be delivered pursuant Section 7(n) on or before the date on which such delivery of such letter is required pursuant to Section 7(n).</w:t>
      </w:r>
    </w:p>
    <w:p>
      <w:pPr>
        <w:spacing w:after="0" w:line="170" w:lineRule="exact"/>
        <w:rPr>
          <w:rFonts w:ascii="Arial" w:cs="Arial" w:eastAsia="Arial" w:hAnsi="Arial"/>
          <w:sz w:val="18"/>
          <w:szCs w:val="18"/>
          <w:color w:val="auto"/>
        </w:rPr>
      </w:pPr>
    </w:p>
    <w:p>
      <w:pPr>
        <w:ind w:left="-8" w:right="320" w:firstLine="921"/>
        <w:spacing w:after="0" w:line="277" w:lineRule="auto"/>
        <w:tabs>
          <w:tab w:leader="none" w:pos="1160"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BP shall have received the certificate required to be delivered pursuant to Section 7(l) on or before the date on which delivery of such certificate is required pursuant to Section 7(l).</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274" w:right="259" w:bottom="1440" w:gutter="0" w:footer="0" w:header="0"/>
        </w:sectPr>
      </w:pPr>
    </w:p>
    <w:bookmarkStart w:id="220" w:name="page221"/>
    <w:bookmarkEnd w:id="220"/>
    <w:p>
      <w:pPr>
        <w:ind w:left="-20" w:right="260" w:firstLine="921"/>
        <w:spacing w:after="0" w:line="277" w:lineRule="auto"/>
        <w:tabs>
          <w:tab w:leader="none" w:pos="1148" w:val="left"/>
        </w:tabs>
        <w:numPr>
          <w:ilvl w:val="2"/>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70" w:lineRule="exact"/>
        <w:rPr>
          <w:rFonts w:ascii="Arial" w:cs="Arial" w:eastAsia="Arial" w:hAnsi="Arial"/>
          <w:sz w:val="18"/>
          <w:szCs w:val="18"/>
          <w:color w:val="auto"/>
        </w:rPr>
      </w:pPr>
    </w:p>
    <w:p>
      <w:pPr>
        <w:ind w:left="-20" w:firstLine="921"/>
        <w:spacing w:after="0" w:line="257" w:lineRule="auto"/>
        <w:tabs>
          <w:tab w:leader="none" w:pos="1108" w:val="left"/>
        </w:tabs>
        <w:numPr>
          <w:ilvl w:val="2"/>
          <w:numId w:val="160"/>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7(l), the Company shall have furnished to BP such appropriate further information, certificates and documents as BP may have reasonably requested in writing prior to such date and which are usually and customarily furnished by an issuer of securities in connection with the underwritten public offering thereof. All such opinions, certificates, letters and other documents will be in compliance with the provisions hereof. The Company will furnish BP with such conformed copies of such opinions, certificates, letters and other documents as BP shall reasonably request.</w:t>
      </w:r>
    </w:p>
    <w:p>
      <w:pPr>
        <w:spacing w:after="0" w:line="188" w:lineRule="exact"/>
        <w:rPr>
          <w:rFonts w:ascii="Arial" w:cs="Arial" w:eastAsia="Arial" w:hAnsi="Arial"/>
          <w:sz w:val="18"/>
          <w:szCs w:val="18"/>
          <w:color w:val="auto"/>
        </w:rPr>
      </w:pPr>
    </w:p>
    <w:p>
      <w:pPr>
        <w:ind w:left="-20" w:right="340" w:firstLine="921"/>
        <w:spacing w:after="0" w:line="308" w:lineRule="auto"/>
        <w:tabs>
          <w:tab w:leader="none" w:pos="1108" w:val="left"/>
        </w:tabs>
        <w:numPr>
          <w:ilvl w:val="2"/>
          <w:numId w:val="160"/>
        </w:numPr>
        <w:rPr>
          <w:rFonts w:ascii="Arial" w:cs="Arial" w:eastAsia="Arial" w:hAnsi="Arial"/>
          <w:sz w:val="17"/>
          <w:szCs w:val="17"/>
          <w:color w:val="auto"/>
        </w:rPr>
      </w:pPr>
      <w:r>
        <w:rPr>
          <w:rFonts w:ascii="Arial" w:cs="Arial" w:eastAsia="Arial" w:hAnsi="Arial"/>
          <w:sz w:val="17"/>
          <w:szCs w:val="17"/>
          <w:u w:val="single" w:color="auto"/>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left="-20" w:right="20" w:firstLine="921"/>
        <w:spacing w:after="0" w:line="342" w:lineRule="auto"/>
        <w:tabs>
          <w:tab w:leader="none" w:pos="1148" w:val="left"/>
        </w:tabs>
        <w:numPr>
          <w:ilvl w:val="2"/>
          <w:numId w:val="160"/>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23" w:lineRule="exact"/>
        <w:rPr>
          <w:rFonts w:ascii="Arial" w:cs="Arial" w:eastAsia="Arial" w:hAnsi="Arial"/>
          <w:sz w:val="16"/>
          <w:szCs w:val="16"/>
          <w:color w:val="auto"/>
        </w:rPr>
      </w:pPr>
    </w:p>
    <w:p>
      <w:pPr>
        <w:ind w:left="1120" w:hanging="219"/>
        <w:spacing w:after="0"/>
        <w:tabs>
          <w:tab w:leader="none" w:pos="1120" w:val="left"/>
        </w:tabs>
        <w:numPr>
          <w:ilvl w:val="2"/>
          <w:numId w:val="160"/>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BP to terminate this Agreement pursuant to Section 13(a).</w:t>
      </w:r>
    </w:p>
    <w:p>
      <w:pPr>
        <w:spacing w:after="0" w:line="248" w:lineRule="exact"/>
        <w:rPr>
          <w:rFonts w:ascii="Arial" w:cs="Arial" w:eastAsia="Arial" w:hAnsi="Arial"/>
          <w:sz w:val="16"/>
          <w:szCs w:val="16"/>
          <w:color w:val="auto"/>
        </w:rPr>
      </w:pPr>
    </w:p>
    <w:p>
      <w:pPr>
        <w:ind w:left="700" w:hanging="256"/>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21"/>
        <w:spacing w:after="0" w:line="342" w:lineRule="auto"/>
        <w:tabs>
          <w:tab w:leader="none" w:pos="1137" w:val="left"/>
        </w:tabs>
        <w:numPr>
          <w:ilvl w:val="2"/>
          <w:numId w:val="161"/>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BP, its partners, members, directors, officers, employees and agents and each person, if any, who controls BP within the meaning of Section 15 of the Securities Act or Section 20 of the Exchange Act as follows:</w:t>
      </w:r>
    </w:p>
    <w:p>
      <w:pPr>
        <w:spacing w:after="0" w:line="15" w:lineRule="exact"/>
        <w:rPr>
          <w:rFonts w:ascii="Arial" w:cs="Arial" w:eastAsia="Arial" w:hAnsi="Arial"/>
          <w:sz w:val="16"/>
          <w:szCs w:val="16"/>
          <w:color w:val="auto"/>
        </w:rPr>
      </w:pPr>
    </w:p>
    <w:p>
      <w:pPr>
        <w:ind w:left="440" w:right="100" w:firstLine="443"/>
        <w:spacing w:after="0" w:line="273" w:lineRule="auto"/>
        <w:tabs>
          <w:tab w:leader="none" w:pos="1093"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221" w:name="page222"/>
    <w:bookmarkEnd w:id="221"/>
    <w:p>
      <w:pPr>
        <w:ind w:left="440" w:right="60" w:firstLine="443"/>
        <w:spacing w:after="0" w:line="288" w:lineRule="auto"/>
        <w:tabs>
          <w:tab w:leader="none" w:pos="1143"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ind w:left="440" w:right="400"/>
        <w:spacing w:after="0" w:line="261" w:lineRule="auto"/>
        <w:rPr>
          <w:rFonts w:ascii="Arial" w:cs="Arial" w:eastAsia="Arial" w:hAnsi="Arial"/>
          <w:sz w:val="16"/>
          <w:szCs w:val="16"/>
          <w:color w:val="auto"/>
        </w:rPr>
      </w:pPr>
      <w:r>
        <w:rPr>
          <w:rFonts w:ascii="Arial" w:cs="Arial" w:eastAsia="Arial" w:hAnsi="Arial"/>
          <w:sz w:val="18"/>
          <w:szCs w:val="18"/>
          <w:color w:val="auto"/>
        </w:rPr>
        <w:t>Section 11(d) below) any such settlement is effected with the written consent of the Company, which consent shall not unreasonably be delayed or withheld; and</w:t>
      </w:r>
    </w:p>
    <w:p>
      <w:pPr>
        <w:spacing w:after="0" w:line="75" w:lineRule="exact"/>
        <w:rPr>
          <w:rFonts w:ascii="Arial" w:cs="Arial" w:eastAsia="Arial" w:hAnsi="Arial"/>
          <w:sz w:val="16"/>
          <w:szCs w:val="16"/>
          <w:color w:val="auto"/>
        </w:rPr>
      </w:pPr>
    </w:p>
    <w:p>
      <w:pPr>
        <w:ind w:left="440" w:right="60" w:firstLine="443"/>
        <w:spacing w:after="0" w:line="291" w:lineRule="auto"/>
        <w:tabs>
          <w:tab w:leader="none" w:pos="119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BP expressly for use in the Registration Statement (or any amendment thereto) or in any related Issuer Free Writing Prospectus or the Prospectus (or any amendment or supplement thereto).</w:t>
      </w:r>
    </w:p>
    <w:p>
      <w:pPr>
        <w:spacing w:after="0" w:line="167" w:lineRule="exact"/>
        <w:rPr>
          <w:rFonts w:ascii="Arial" w:cs="Arial" w:eastAsia="Arial" w:hAnsi="Arial"/>
          <w:sz w:val="16"/>
          <w:szCs w:val="16"/>
          <w:color w:val="auto"/>
        </w:rPr>
      </w:pPr>
    </w:p>
    <w:p>
      <w:pPr>
        <w:ind w:left="-20" w:firstLine="921"/>
        <w:spacing w:after="0" w:line="293" w:lineRule="auto"/>
        <w:tabs>
          <w:tab w:leader="none" w:pos="1148"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BP Indemnification</w:t>
      </w:r>
      <w:r>
        <w:rPr>
          <w:rFonts w:ascii="Arial" w:cs="Arial" w:eastAsia="Arial" w:hAnsi="Arial"/>
          <w:sz w:val="16"/>
          <w:szCs w:val="16"/>
          <w:color w:val="auto"/>
        </w:rPr>
        <w:t>. BP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with respect to untrue statements or omissions, or alleged untrue statements or omissions, made in the Registration Statement (or any amendments thereto) or any Issuer Free Writing Prospectus or the Prospectus (or any amendment or supplement thereto) in reliance upon and in conformity with information furnished to the Company in writing by BP expressly for use therein.</w:t>
      </w:r>
    </w:p>
    <w:p>
      <w:pPr>
        <w:spacing w:after="0" w:line="164" w:lineRule="exact"/>
        <w:rPr>
          <w:rFonts w:ascii="Arial" w:cs="Arial" w:eastAsia="Arial" w:hAnsi="Arial"/>
          <w:sz w:val="16"/>
          <w:szCs w:val="16"/>
          <w:color w:val="auto"/>
        </w:rPr>
      </w:pPr>
    </w:p>
    <w:p>
      <w:pPr>
        <w:ind w:left="-20" w:firstLine="921"/>
        <w:spacing w:after="0" w:line="270" w:lineRule="auto"/>
        <w:tabs>
          <w:tab w:leader="none" w:pos="1137"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11 and (ii) any liability that it may have to any indemnified party under the foregoing provision of this Section 11 unless, and only to the extent that, such omission results in the forfeiture or material impairment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274" w:right="259" w:bottom="1440" w:gutter="0" w:footer="0" w:header="0"/>
        </w:sectPr>
      </w:pPr>
    </w:p>
    <w:bookmarkStart w:id="222" w:name="page223"/>
    <w:bookmarkEnd w:id="22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88" w:lineRule="exact"/>
        <w:rPr>
          <w:sz w:val="20"/>
          <w:szCs w:val="20"/>
          <w:color w:val="auto"/>
        </w:rPr>
      </w:pPr>
    </w:p>
    <w:p>
      <w:pPr>
        <w:ind w:right="160" w:firstLine="921"/>
        <w:spacing w:after="0" w:line="290" w:lineRule="auto"/>
        <w:tabs>
          <w:tab w:leader="none" w:pos="1168"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this Section 11 is applicable in accordance with its terms but for any reason is held to be unavailable from the Company or BP, the Company and BP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BP, such as persons who control the Company within the meaning of the Securities Act, officers of the Company who signed the Registration Statement and directors of the Company, who also may be liable for contribution) to which the Company and BP may be subject in such proportion as shall be appropriate to reflect the relative benefits received by the Company on the one hand and BP on the other hand. The relative benefits received by the Company on the one hand and BP on the other hand shall be deemed to be in the same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23" w:name="page224"/>
    <w:bookmarkEnd w:id="22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 as the total net proceeds from the sale of the Placement Shares (before deducting expenses) received by the Company bear to the total compensation received by BP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BP,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BP, the intent of the parties and their relative knowledge, access to information and opportunity to correct or prevent such statement or omission. The Company and BP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shall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BP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BP,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with respect to any action or claim settled without its written consent if such consent is required pursuant to Section 11(c) hereof.</w:t>
      </w:r>
    </w:p>
    <w:p>
      <w:pPr>
        <w:spacing w:after="0" w:line="395" w:lineRule="exact"/>
        <w:rPr>
          <w:sz w:val="20"/>
          <w:szCs w:val="20"/>
          <w:color w:val="auto"/>
        </w:rPr>
      </w:pPr>
    </w:p>
    <w:p>
      <w:pPr>
        <w:ind w:right="20" w:firstLine="464"/>
        <w:spacing w:after="0" w:line="279" w:lineRule="auto"/>
        <w:tabs>
          <w:tab w:leader="none" w:pos="726"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Representations and Agreements to Survive Delivery</w:t>
      </w:r>
      <w:r>
        <w:rPr>
          <w:rFonts w:ascii="Arial" w:cs="Arial" w:eastAsia="Arial" w:hAnsi="Arial"/>
          <w:sz w:val="17"/>
          <w:szCs w:val="17"/>
          <w:color w:val="auto"/>
        </w:rPr>
        <w:t>. The indemnity and contribution agreements contained in Section 11 of this Agreement and all representations and warranties of the Company and BP herein or in certificates delivered pursuant hereto shall survive, as of their respective dates, regardless of (i) any investigation made by or on behalf of BP, any controlling persons, or the Company (or any of their respective officers, directors or controlling persons), (ii) delivery and acceptance of the Placement Shares and payment therefor or (iii) any termination of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24" w:name="page225"/>
    <w:bookmarkEnd w:id="224"/>
    <w:p>
      <w:pPr>
        <w:ind w:left="680" w:hanging="276"/>
        <w:spacing w:after="0"/>
        <w:tabs>
          <w:tab w:leader="none" w:pos="6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921"/>
        <w:spacing w:after="0" w:line="268" w:lineRule="auto"/>
        <w:tabs>
          <w:tab w:leader="none" w:pos="109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BP may terminate this Agreement, by notice to the Company, as hereinafter specified at any time (1) if there has been, since the time of execution of this Agreement or since the date as of which information is given in the Prospectus, any Material Adverse Effect, or any development that has occurred that is reasonably likely to have a Material Adverse Effect has occurred or in the sole judgment of BP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sole judgment of BP,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for at least ten (10) Trading Days,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9 (Payment of Expenses), Section 11 (Indemnification and Contribution), Section 12 (Representations and Agreements to Survive Delivery), Section 18 (Governing Law and Time; Waiver of Jury Trial) and Section 19 (Consent to Jurisdiction) hereof shall remain in full force and effect notwithstanding such termination. If BP elects to terminate this Agreement as provided in this Section 13(a), BP shall provide the required notice as specified in Section 14 (Notices).</w:t>
      </w:r>
    </w:p>
    <w:p>
      <w:pPr>
        <w:spacing w:after="0" w:line="180" w:lineRule="exact"/>
        <w:rPr>
          <w:rFonts w:ascii="Arial" w:cs="Arial" w:eastAsia="Arial" w:hAnsi="Arial"/>
          <w:sz w:val="17"/>
          <w:szCs w:val="17"/>
          <w:color w:val="auto"/>
        </w:rPr>
      </w:pPr>
    </w:p>
    <w:p>
      <w:pPr>
        <w:ind w:left="-60" w:right="60" w:firstLine="921"/>
        <w:spacing w:after="0" w:line="312" w:lineRule="auto"/>
        <w:tabs>
          <w:tab w:leader="none" w:pos="110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46" w:lineRule="exact"/>
        <w:rPr>
          <w:rFonts w:ascii="Arial" w:cs="Arial" w:eastAsia="Arial" w:hAnsi="Arial"/>
          <w:sz w:val="16"/>
          <w:szCs w:val="16"/>
          <w:color w:val="auto"/>
        </w:rPr>
      </w:pPr>
    </w:p>
    <w:p>
      <w:pPr>
        <w:ind w:left="-60" w:right="200" w:firstLine="921"/>
        <w:spacing w:after="0" w:line="286" w:lineRule="auto"/>
        <w:tabs>
          <w:tab w:leader="none" w:pos="109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BP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65" w:lineRule="exact"/>
        <w:rPr>
          <w:rFonts w:ascii="Arial" w:cs="Arial" w:eastAsia="Arial" w:hAnsi="Arial"/>
          <w:sz w:val="17"/>
          <w:szCs w:val="17"/>
          <w:color w:val="auto"/>
        </w:rPr>
      </w:pPr>
    </w:p>
    <w:p>
      <w:pPr>
        <w:jc w:val="both"/>
        <w:ind w:left="-60" w:right="20" w:firstLine="921"/>
        <w:spacing w:after="0" w:line="259" w:lineRule="auto"/>
        <w:tabs>
          <w:tab w:leader="none" w:pos="110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13, this Agreement shall automatically terminate upon the earlier to occur of (i) the third (3 rd ) year anniversary of the date hereof and (ii) the issuance and sale of all of the Placement Shares through BP on the terms and subject to the conditions set forth herein except that the provisions of Section 9, Section 11, Section 11, Section 12, Section 18 and Section 19 hereof shall remain in full force and effect notwithstanding such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300" w:top="274" w:right="299" w:bottom="1440" w:gutter="0" w:footer="0" w:header="0"/>
        </w:sectPr>
      </w:pPr>
    </w:p>
    <w:bookmarkStart w:id="225" w:name="page226"/>
    <w:bookmarkEnd w:id="225"/>
    <w:p>
      <w:pPr>
        <w:jc w:val="both"/>
        <w:ind w:firstLine="921"/>
        <w:spacing w:after="0" w:line="302" w:lineRule="auto"/>
        <w:tabs>
          <w:tab w:leader="none" w:pos="1158"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remain in full force and effect unless terminated pursuant to Sections 13(a), (b), (c), or (d) above or otherwise by mutual agreement of the parties; provided, however, that any such termination by mutual agreement shall in all cases be deemed to provide that Section 9, Section 11, Section 12, Section 18 and Section 19 shall remain in full force and effect. Upon termination of this Agreement, the Company shall not have any liability to BP for any discount, commission or other compensation with respect to any Placement Shares not otherwise sold by BP under this Agreement.</w:t>
      </w:r>
    </w:p>
    <w:p>
      <w:pPr>
        <w:spacing w:after="0" w:line="154" w:lineRule="exact"/>
        <w:rPr>
          <w:rFonts w:ascii="Arial" w:cs="Arial" w:eastAsia="Arial" w:hAnsi="Arial"/>
          <w:sz w:val="16"/>
          <w:szCs w:val="16"/>
          <w:color w:val="auto"/>
        </w:rPr>
      </w:pPr>
    </w:p>
    <w:p>
      <w:pPr>
        <w:ind w:right="100" w:firstLine="921"/>
        <w:spacing w:after="0" w:line="259" w:lineRule="auto"/>
        <w:tabs>
          <w:tab w:leader="none" w:pos="113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however, that such termination shall not be effective until the close of business on the date of receipt of such notice by BP or the Company, as the case may be. If such termination shall occur prior to the Settlement Date for any sale of Placement Shares, such Placement Shares shall settle in accordance with the provisions of this Agreement.</w:t>
      </w:r>
    </w:p>
    <w:p>
      <w:pPr>
        <w:spacing w:after="0" w:line="187" w:lineRule="exact"/>
        <w:rPr>
          <w:sz w:val="20"/>
          <w:szCs w:val="20"/>
          <w:color w:val="auto"/>
        </w:rPr>
      </w:pPr>
    </w:p>
    <w:p>
      <w:pPr>
        <w:ind w:right="680" w:firstLine="464"/>
        <w:spacing w:after="0" w:line="277" w:lineRule="auto"/>
        <w:tabs>
          <w:tab w:leader="none" w:pos="72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and if sent to BP, shall be delivered to:</w:t>
      </w:r>
    </w:p>
    <w:p>
      <w:pPr>
        <w:spacing w:after="0" w:line="76" w:lineRule="exact"/>
        <w:rPr>
          <w:sz w:val="20"/>
          <w:szCs w:val="20"/>
          <w:color w:val="auto"/>
        </w:rPr>
      </w:pPr>
    </w:p>
    <w:p>
      <w:pPr>
        <w:jc w:val="right"/>
        <w:ind w:right="6900"/>
        <w:spacing w:after="0"/>
        <w:rPr>
          <w:sz w:val="20"/>
          <w:szCs w:val="20"/>
          <w:color w:val="auto"/>
        </w:rPr>
      </w:pPr>
      <w:r>
        <w:rPr>
          <w:rFonts w:ascii="Arial" w:cs="Arial" w:eastAsia="Arial" w:hAnsi="Arial"/>
          <w:sz w:val="18"/>
          <w:szCs w:val="18"/>
          <w:color w:val="auto"/>
        </w:rPr>
        <w:t>Meyers Associates, L.P. (doing business as Brinson</w:t>
      </w:r>
    </w:p>
    <w:p>
      <w:pPr>
        <w:spacing w:after="0" w:line="23" w:lineRule="exact"/>
        <w:rPr>
          <w:sz w:val="20"/>
          <w:szCs w:val="20"/>
          <w:color w:val="auto"/>
        </w:rPr>
      </w:pPr>
    </w:p>
    <w:p>
      <w:pPr>
        <w:jc w:val="right"/>
        <w:ind w:right="6920"/>
        <w:spacing w:after="0"/>
        <w:rPr>
          <w:sz w:val="20"/>
          <w:szCs w:val="20"/>
          <w:color w:val="auto"/>
        </w:rPr>
      </w:pPr>
      <w:r>
        <w:rPr>
          <w:rFonts w:ascii="Arial" w:cs="Arial" w:eastAsia="Arial" w:hAnsi="Arial"/>
          <w:sz w:val="18"/>
          <w:szCs w:val="18"/>
          <w:color w:val="auto"/>
        </w:rPr>
        <w:t>Patrick, a division of Meyers Associates, 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 Columbus Circle, 15th Floor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Corporate Finance</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Telephone:</w:t>
        <w:tab/>
        <w:t>(212) 453-5000</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Facsimile:</w:t>
        <w:tab/>
        <w:t>(212) 453-5555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LeClairRyan, A Professional Corporation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1037 Raymond Boulevard, 16th Floor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James T. Seery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 (973) 491-3315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(973) 491-3415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Valencia, CA 91355</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Telephone</w:t>
        <w:tab/>
        <w:t>(661) 775-5350</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Facsimile:</w:t>
        <w:tab/>
        <w:t>(661) 775-2086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820"/>
        <w:spacing w:after="0"/>
        <w:tabs>
          <w:tab w:leader="none" w:pos="2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 Kay Chandler</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Sean M. Clayton</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Telephone:</w:t>
        <w:tab/>
        <w:t>(858) 550-6000</w:t>
      </w:r>
    </w:p>
    <w:p>
      <w:pPr>
        <w:spacing w:after="0" w:line="9" w:lineRule="exact"/>
        <w:rPr>
          <w:sz w:val="20"/>
          <w:szCs w:val="20"/>
          <w:color w:val="auto"/>
        </w:rPr>
      </w:pPr>
    </w:p>
    <w:p>
      <w:pPr>
        <w:ind w:left="820"/>
        <w:spacing w:after="0"/>
        <w:tabs>
          <w:tab w:leader="none" w:pos="1820" w:val="left"/>
        </w:tabs>
        <w:rPr>
          <w:sz w:val="20"/>
          <w:szCs w:val="20"/>
          <w:color w:val="auto"/>
        </w:rPr>
      </w:pPr>
      <w:r>
        <w:rPr>
          <w:rFonts w:ascii="Arial" w:cs="Arial" w:eastAsia="Arial" w:hAnsi="Arial"/>
          <w:sz w:val="18"/>
          <w:szCs w:val="18"/>
          <w:color w:val="auto"/>
        </w:rPr>
        <w:t>Facsimile:</w:t>
        <w:tab/>
        <w:t>(858) 550-6420</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w:t>
      </w:r>
    </w:p>
    <w:p>
      <w:pPr>
        <w:jc w:val="both"/>
        <w:ind w:right="80" w:firstLine="8"/>
        <w:spacing w:after="0" w:line="255" w:lineRule="auto"/>
        <w:tabs>
          <w:tab w:leader="none" w:pos="2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the Exchange and commercial banks in the City of New York are open for business.</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u w:val="single" w:color="auto"/>
          <w:color w:val="auto"/>
        </w:rPr>
        <w:t>Electronic Notice</w:t>
      </w:r>
      <w:r>
        <w:rPr>
          <w:rFonts w:ascii="Arial" w:cs="Arial" w:eastAsia="Arial" w:hAnsi="Arial"/>
          <w:sz w:val="18"/>
          <w:szCs w:val="18"/>
          <w:color w:val="auto"/>
        </w:rPr>
        <w:t>”) shall be deemed written notice for purposes of this Section 14 if sent to the electronic mail address specified by the receiving party under separate cover. Electronic Notice shall be deemed received at the time the party sending Electronic Notice receives confirmation of receipt by the receiving party. Any party receiving Electronic Notice may request and shall be entitled to receive the notice on paper, in a nonelectronic form (“</w:t>
      </w:r>
      <w:r>
        <w:rPr>
          <w:rFonts w:ascii="Arial" w:cs="Arial" w:eastAsia="Arial" w:hAnsi="Arial"/>
          <w:sz w:val="18"/>
          <w:szCs w:val="18"/>
          <w:u w:val="single" w:color="auto"/>
          <w:color w:val="auto"/>
        </w:rPr>
        <w:t>Nonelectronic Notice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88" w:lineRule="exact"/>
        <w:rPr>
          <w:sz w:val="20"/>
          <w:szCs w:val="20"/>
          <w:color w:val="auto"/>
        </w:rPr>
      </w:pPr>
    </w:p>
    <w:p>
      <w:pPr>
        <w:ind w:right="60" w:firstLine="464"/>
        <w:spacing w:after="0" w:line="255" w:lineRule="auto"/>
        <w:tabs>
          <w:tab w:leader="none" w:pos="72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Company and BP and their respective successors and the affiliates, controlling persons, officers and directors referred to in Section 11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93" w:lineRule="exact"/>
        <w:rPr>
          <w:rFonts w:ascii="Arial" w:cs="Arial" w:eastAsia="Arial" w:hAnsi="Arial"/>
          <w:sz w:val="18"/>
          <w:szCs w:val="18"/>
          <w:color w:val="auto"/>
        </w:rPr>
      </w:pPr>
    </w:p>
    <w:p>
      <w:pPr>
        <w:ind w:right="100" w:firstLine="464"/>
        <w:spacing w:after="0" w:line="342" w:lineRule="auto"/>
        <w:tabs>
          <w:tab w:leader="none" w:pos="726"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Adjustments for Stock Splits</w:t>
      </w:r>
      <w:r>
        <w:rPr>
          <w:rFonts w:ascii="Arial" w:cs="Arial" w:eastAsia="Arial" w:hAnsi="Arial"/>
          <w:sz w:val="16"/>
          <w:szCs w:val="16"/>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27" w:name="page228"/>
    <w:bookmarkEnd w:id="227"/>
    <w:p>
      <w:pPr>
        <w:ind w:left="-120" w:right="40" w:firstLine="464"/>
        <w:spacing w:after="0" w:line="253" w:lineRule="auto"/>
        <w:tabs>
          <w:tab w:leader="none" w:pos="60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Amendment; Severability</w:t>
      </w:r>
      <w:r>
        <w:rPr>
          <w:rFonts w:ascii="Arial" w:cs="Arial" w:eastAsia="Arial" w:hAnsi="Arial"/>
          <w:sz w:val="18"/>
          <w:szCs w:val="18"/>
          <w:color w:val="auto"/>
        </w:rPr>
        <w:t>. This Agreement (including all schedules and exhibits attached hereto and Placement Notices issued pursuant hereto) constitutes the entire agreement of the parties with respect to the subject matter hereof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BP.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93" w:lineRule="exact"/>
        <w:rPr>
          <w:rFonts w:ascii="Arial" w:cs="Arial" w:eastAsia="Arial" w:hAnsi="Arial"/>
          <w:sz w:val="18"/>
          <w:szCs w:val="18"/>
          <w:color w:val="auto"/>
        </w:rPr>
      </w:pPr>
    </w:p>
    <w:p>
      <w:pPr>
        <w:ind w:left="-120" w:right="80" w:firstLine="464"/>
        <w:spacing w:after="0" w:line="258" w:lineRule="auto"/>
        <w:tabs>
          <w:tab w:leader="none" w:pos="606"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Arial" w:cs="Arial" w:eastAsia="Arial" w:hAnsi="Arial"/>
          <w:sz w:val="18"/>
          <w:szCs w:val="18"/>
          <w:b w:val="1"/>
          <w:bCs w:val="1"/>
          <w:color w:val="auto"/>
        </w:rPr>
      </w:pPr>
    </w:p>
    <w:p>
      <w:pPr>
        <w:ind w:left="-120" w:firstLine="464"/>
        <w:spacing w:after="0" w:line="253" w:lineRule="auto"/>
        <w:tabs>
          <w:tab w:leader="none" w:pos="606"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4" w:lineRule="exact"/>
        <w:rPr>
          <w:rFonts w:ascii="Arial" w:cs="Arial" w:eastAsia="Arial" w:hAnsi="Arial"/>
          <w:sz w:val="18"/>
          <w:szCs w:val="18"/>
          <w:b w:val="1"/>
          <w:bCs w:val="1"/>
          <w:color w:val="auto"/>
        </w:rPr>
      </w:pPr>
    </w:p>
    <w:p>
      <w:pPr>
        <w:ind w:left="-120" w:right="680" w:firstLine="464"/>
        <w:spacing w:after="0" w:line="308" w:lineRule="auto"/>
        <w:tabs>
          <w:tab w:leader="none" w:pos="606"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Use of Information</w:t>
      </w:r>
      <w:r>
        <w:rPr>
          <w:rFonts w:ascii="Arial" w:cs="Arial" w:eastAsia="Arial" w:hAnsi="Arial"/>
          <w:sz w:val="17"/>
          <w:szCs w:val="17"/>
          <w:color w:val="auto"/>
        </w:rPr>
        <w:t>. BP may not use any information gained in connection with this Agreement and the transactions contemplated by this Agreement, including due diligence, to advise any party with respect to transactions not expressly approved by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60" w:top="274" w:right="359" w:bottom="1440" w:gutter="0" w:footer="0" w:header="0"/>
        </w:sectPr>
      </w:pPr>
    </w:p>
    <w:bookmarkStart w:id="228" w:name="page229"/>
    <w:bookmarkEnd w:id="228"/>
    <w:p>
      <w:pPr>
        <w:ind w:right="220" w:firstLine="464"/>
        <w:spacing w:after="0" w:line="342" w:lineRule="auto"/>
        <w:tabs>
          <w:tab w:leader="none" w:pos="726"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123" w:lineRule="exact"/>
        <w:rPr>
          <w:rFonts w:ascii="Arial" w:cs="Arial" w:eastAsia="Arial" w:hAnsi="Arial"/>
          <w:sz w:val="16"/>
          <w:szCs w:val="16"/>
          <w:color w:val="auto"/>
        </w:rPr>
      </w:pPr>
    </w:p>
    <w:p>
      <w:pPr>
        <w:ind w:left="740" w:hanging="276"/>
        <w:spacing w:after="0"/>
        <w:tabs>
          <w:tab w:leader="none" w:pos="7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Exhibit headings herein are for convenience only and shall not affect the construction hereof.</w:t>
      </w:r>
    </w:p>
    <w:p>
      <w:pPr>
        <w:spacing w:after="0" w:line="225" w:lineRule="exact"/>
        <w:rPr>
          <w:rFonts w:ascii="Arial" w:cs="Arial" w:eastAsia="Arial" w:hAnsi="Arial"/>
          <w:sz w:val="18"/>
          <w:szCs w:val="18"/>
          <w:color w:val="auto"/>
        </w:rPr>
      </w:pPr>
    </w:p>
    <w:p>
      <w:pPr>
        <w:ind w:right="60" w:firstLine="464"/>
        <w:spacing w:after="0" w:line="289" w:lineRule="auto"/>
        <w:tabs>
          <w:tab w:leader="none" w:pos="726"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BP (such consent not to be unreasonably withheld, conditioned or delayed), and BP represents, warrants and agrees that, unless it obtains the prior consent of the Company (such consent not to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BP or by the Company, as the case may be, is hereinafter referred to as a “</w:t>
      </w:r>
      <w:r>
        <w:rPr>
          <w:rFonts w:ascii="Arial" w:cs="Arial" w:eastAsia="Arial" w:hAnsi="Arial"/>
          <w:sz w:val="16"/>
          <w:szCs w:val="16"/>
          <w:u w:val="single" w:color="auto"/>
          <w:color w:val="auto"/>
        </w:rPr>
        <w:t>Permitted Free</w:t>
      </w:r>
      <w:r>
        <w:rPr>
          <w:rFonts w:ascii="Arial" w:cs="Arial" w:eastAsia="Arial" w:hAnsi="Arial"/>
          <w:sz w:val="16"/>
          <w:szCs w:val="16"/>
          <w:color w:val="auto"/>
        </w:rPr>
        <w:t xml:space="preserve"> </w:t>
      </w:r>
      <w:r>
        <w:rPr>
          <w:rFonts w:ascii="Arial" w:cs="Arial" w:eastAsia="Arial" w:hAnsi="Arial"/>
          <w:sz w:val="16"/>
          <w:szCs w:val="16"/>
          <w:u w:val="single" w:color="auto"/>
          <w:color w:val="auto"/>
        </w:rPr>
        <w:t>Writing Prospectus</w:t>
      </w:r>
      <w:r>
        <w:rPr>
          <w:rFonts w:ascii="Arial" w:cs="Arial" w:eastAsia="Arial" w:hAnsi="Arial"/>
          <w:sz w:val="16"/>
          <w:szCs w:val="16"/>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23 hereto are Permitted Free Writing Prospectuses.</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rFonts w:ascii="Arial" w:cs="Arial" w:eastAsia="Arial" w:hAnsi="Arial"/>
          <w:sz w:val="18"/>
          <w:szCs w:val="18"/>
          <w:color w:val="auto"/>
        </w:rPr>
      </w:pPr>
    </w:p>
    <w:p>
      <w:pPr>
        <w:ind w:right="80" w:firstLine="921"/>
        <w:spacing w:after="0" w:line="255" w:lineRule="auto"/>
        <w:tabs>
          <w:tab w:leader="none" w:pos="115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BP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BP, on the other hand, has been or will be created in respect of any of the transactions contemplated by this Agreement, irrespective of whether or not BP has advised or is advising the Company on other matters, and BP has no obligation to the Company with respect to the transactions contemplated by this Agreement except the obligations expressly set forth in this Agreement;</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it is capable of evaluating and understanding, and understands and accepts, the terms, risks and conditions of the transactions contemplated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firstLine="921"/>
        <w:spacing w:after="0" w:line="277" w:lineRule="auto"/>
        <w:tabs>
          <w:tab w:leader="none" w:pos="115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BP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29" w:name="page230"/>
    <w:bookmarkEnd w:id="229"/>
    <w:p>
      <w:pPr>
        <w:ind w:right="140" w:firstLine="921"/>
        <w:spacing w:after="0" w:line="264" w:lineRule="auto"/>
        <w:tabs>
          <w:tab w:leader="none" w:pos="1168" w:val="left"/>
        </w:tabs>
        <w:numPr>
          <w:ilvl w:val="1"/>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aware that BP and its affiliates are engaged in a broad range of transactions which may involve interests that differ from those of the Company and BP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right="40" w:firstLine="921"/>
        <w:spacing w:after="0" w:line="276" w:lineRule="auto"/>
        <w:tabs>
          <w:tab w:leader="none" w:pos="1158" w:val="left"/>
        </w:tabs>
        <w:numPr>
          <w:ilvl w:val="1"/>
          <w:numId w:val="172"/>
        </w:numPr>
        <w:rPr>
          <w:rFonts w:ascii="Arial" w:cs="Arial" w:eastAsia="Arial" w:hAnsi="Arial"/>
          <w:sz w:val="17"/>
          <w:szCs w:val="17"/>
          <w:color w:val="auto"/>
        </w:rPr>
      </w:pPr>
      <w:r>
        <w:rPr>
          <w:rFonts w:ascii="Arial" w:cs="Arial" w:eastAsia="Arial" w:hAnsi="Arial"/>
          <w:sz w:val="17"/>
          <w:szCs w:val="17"/>
          <w:color w:val="auto"/>
        </w:rPr>
        <w:t>it waives, to the fullest extent permitted by law, any claims it may have against BP for breach of fiduciary duty or alleged breach of fiduciary duty in connection with the sale of Placement Shares under this Agreement and agrees that BP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BP’s obligations under this Agreement and to keep information provided by the Company to BP and BP’s counsel confidential to the extent not otherwise publicly-available.</w:t>
      </w:r>
    </w:p>
    <w:p>
      <w:pPr>
        <w:spacing w:after="0" w:line="172" w:lineRule="exact"/>
        <w:rPr>
          <w:rFonts w:ascii="Arial" w:cs="Arial" w:eastAsia="Arial" w:hAnsi="Arial"/>
          <w:sz w:val="17"/>
          <w:szCs w:val="17"/>
          <w:color w:val="auto"/>
        </w:rPr>
      </w:pPr>
    </w:p>
    <w:p>
      <w:pPr>
        <w:ind w:left="740" w:hanging="276"/>
        <w:spacing w:after="0"/>
        <w:tabs>
          <w:tab w:leader="none" w:pos="7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(i) each Representation Date and (ii) the time of each sale of any Placement Shares pursuant to this Agreement.</w:t>
      </w:r>
    </w:p>
    <w:p>
      <w:pPr>
        <w:spacing w:after="0" w:line="23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 Regulations.</w:t>
      </w:r>
    </w:p>
    <w:p>
      <w:pPr>
        <w:spacing w:after="0" w:line="170"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BP outside of the United States.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4" w:right="299" w:bottom="1440" w:gutter="0" w:footer="0" w:header="0"/>
        </w:sectPr>
      </w:pPr>
    </w:p>
    <w:bookmarkStart w:id="230" w:name="page231"/>
    <w:bookmarkEnd w:id="23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the understanding between the Company and BP, please so indicate in the space provided below for that purpose, whereupon this letter shall constitute a binding agreement between the Company and BP.</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Matthew J. Pfeffer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MEYERS ASSOCIATES, L.P. </w:t>
      </w:r>
      <w:r>
        <w:rPr>
          <w:rFonts w:ascii="Arial" w:cs="Arial" w:eastAsia="Arial" w:hAnsi="Arial"/>
          <w:sz w:val="16"/>
          <w:szCs w:val="16"/>
          <w:color w:val="auto"/>
        </w:rPr>
        <w:t>(doing business as Brinson</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Patrick, a division of Meyers Associates, L.P.)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Wyche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Todd Wyche</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At-The-Market Issuance Sales Agreement]</w:t>
      </w:r>
    </w:p>
    <w:p>
      <w:pPr>
        <w:sectPr>
          <w:pgSz w:w="11900" w:h="16838" w:orient="portrait"/>
          <w:cols w:equalWidth="0" w:num="1">
            <w:col w:w="11180"/>
          </w:cols>
          <w:pgMar w:left="240" w:top="274" w:right="479" w:bottom="1440" w:gutter="0" w:footer="0" w:header="0"/>
        </w:sectPr>
      </w:pPr>
    </w:p>
    <w:bookmarkStart w:id="231" w:name="page232"/>
    <w:bookmarkEnd w:id="231"/>
    <w:tbl>
      <w:tblPr>
        <w:tblLayout w:type="fixed"/>
        <w:tblInd w:w="46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SCHEDULE 1</w:t>
            </w:r>
          </w:p>
        </w:tc>
      </w:tr>
      <w:tr>
        <w:trPr>
          <w:trHeight w:val="351"/>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26"/>
        </w:trPr>
        <w:tc>
          <w:tcPr>
            <w:tcW w:w="1120" w:type="dxa"/>
            <w:vAlign w:val="bottom"/>
          </w:tcPr>
          <w:p>
            <w:pPr>
              <w:spacing w:after="0"/>
              <w:rPr>
                <w:sz w:val="24"/>
                <w:szCs w:val="24"/>
                <w:color w:val="auto"/>
              </w:rPr>
            </w:pPr>
          </w:p>
        </w:tc>
        <w:tc>
          <w:tcPr>
            <w:tcW w:w="5540" w:type="dxa"/>
            <w:vAlign w:val="bottom"/>
            <w:gridSpan w:val="3"/>
          </w:tcPr>
          <w:p>
            <w:pPr>
              <w:jc w:val="center"/>
              <w:ind w:left="2650"/>
              <w:spacing w:after="0"/>
              <w:rPr>
                <w:sz w:val="20"/>
                <w:szCs w:val="20"/>
                <w:color w:val="auto"/>
              </w:rPr>
            </w:pPr>
            <w:r>
              <w:rPr>
                <w:rFonts w:ascii="Arial" w:cs="Arial" w:eastAsia="Arial" w:hAnsi="Arial"/>
                <w:sz w:val="18"/>
                <w:szCs w:val="18"/>
                <w:b w:val="1"/>
                <w:bCs w:val="1"/>
                <w:color w:val="auto"/>
              </w:rPr>
              <w:t>FORM OF PLACEMENT NOTICE</w:t>
            </w:r>
          </w:p>
        </w:tc>
      </w:tr>
      <w:tr>
        <w:trPr>
          <w:trHeight w:val="365"/>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80"/>
        </w:trPr>
        <w:tc>
          <w:tcPr>
            <w:tcW w:w="1120" w:type="dxa"/>
            <w:vAlign w:val="bottom"/>
          </w:tcPr>
          <w:p>
            <w:pPr>
              <w:spacing w:after="0"/>
              <w:rPr>
                <w:sz w:val="20"/>
                <w:szCs w:val="20"/>
                <w:color w:val="auto"/>
              </w:rPr>
            </w:pPr>
            <w:r>
              <w:rPr>
                <w:rFonts w:ascii="Arial" w:cs="Arial" w:eastAsia="Arial" w:hAnsi="Arial"/>
                <w:sz w:val="18"/>
                <w:szCs w:val="18"/>
                <w:color w:val="auto"/>
              </w:rPr>
              <w:t>From:</w:t>
            </w: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MannKind Corporation</w:t>
            </w:r>
          </w:p>
        </w:tc>
      </w:tr>
      <w:tr>
        <w:trPr>
          <w:trHeight w:val="310"/>
        </w:trPr>
        <w:tc>
          <w:tcPr>
            <w:tcW w:w="1120" w:type="dxa"/>
            <w:vAlign w:val="bottom"/>
          </w:tcPr>
          <w:p>
            <w:pPr>
              <w:spacing w:after="0"/>
              <w:rPr>
                <w:sz w:val="20"/>
                <w:szCs w:val="20"/>
                <w:color w:val="auto"/>
              </w:rPr>
            </w:pPr>
            <w:r>
              <w:rPr>
                <w:rFonts w:ascii="Arial" w:cs="Arial" w:eastAsia="Arial" w:hAnsi="Arial"/>
                <w:sz w:val="18"/>
                <w:szCs w:val="18"/>
                <w:color w:val="auto"/>
              </w:rPr>
              <w:t>To:</w:t>
            </w: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Meyers Associates, L.P. (doing business as Brinson Patrick,</w:t>
            </w:r>
          </w:p>
        </w:tc>
      </w:tr>
      <w:tr>
        <w:trPr>
          <w:trHeight w:val="230"/>
        </w:trPr>
        <w:tc>
          <w:tcPr>
            <w:tcW w:w="1120" w:type="dxa"/>
            <w:vAlign w:val="bottom"/>
          </w:tcPr>
          <w:p>
            <w:pPr>
              <w:spacing w:after="0"/>
              <w:rPr>
                <w:sz w:val="20"/>
                <w:szCs w:val="20"/>
                <w:color w:val="auto"/>
              </w:rPr>
            </w:pP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a division of Meyers Associates, L.P.)</w:t>
            </w:r>
          </w:p>
        </w:tc>
      </w:tr>
      <w:tr>
        <w:trPr>
          <w:trHeight w:val="338"/>
        </w:trPr>
        <w:tc>
          <w:tcPr>
            <w:tcW w:w="1120" w:type="dxa"/>
            <w:vAlign w:val="bottom"/>
          </w:tcPr>
          <w:p>
            <w:pPr>
              <w:spacing w:after="0"/>
              <w:rPr>
                <w:sz w:val="24"/>
                <w:szCs w:val="24"/>
                <w:color w:val="auto"/>
              </w:rPr>
            </w:pP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Attention: Nino Jimenez</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Subject:</w:t>
            </w:r>
          </w:p>
        </w:tc>
        <w:tc>
          <w:tcPr>
            <w:tcW w:w="5540" w:type="dxa"/>
            <w:vAlign w:val="bottom"/>
            <w:gridSpan w:val="3"/>
          </w:tcPr>
          <w:p>
            <w:pPr>
              <w:ind w:left="260"/>
              <w:spacing w:after="0"/>
              <w:rPr>
                <w:sz w:val="20"/>
                <w:szCs w:val="20"/>
                <w:color w:val="auto"/>
              </w:rPr>
            </w:pPr>
            <w:r>
              <w:rPr>
                <w:rFonts w:ascii="Arial" w:cs="Arial" w:eastAsia="Arial" w:hAnsi="Arial"/>
                <w:sz w:val="18"/>
                <w:szCs w:val="18"/>
                <w:color w:val="auto"/>
              </w:rPr>
              <w:t>At-The-Market Issuance - Placement Notice</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Gentlemen:</w:t>
            </w:r>
          </w:p>
        </w:tc>
        <w:tc>
          <w:tcPr>
            <w:tcW w:w="2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Pursuant to the terms and subject to the conditions contained in the At-The-Market Issuance Sales Agreement between MannKind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Meyers Associates, L.P. (doing business as Brinson Patrick, a division of Meyers Associates, L.P.) (“</w:t>
      </w:r>
      <w:r>
        <w:rPr>
          <w:rFonts w:ascii="Arial" w:cs="Arial" w:eastAsia="Arial" w:hAnsi="Arial"/>
          <w:sz w:val="16"/>
          <w:szCs w:val="16"/>
          <w:u w:val="single" w:color="auto"/>
          <w:color w:val="auto"/>
        </w:rPr>
        <w:t>BP</w:t>
      </w:r>
      <w:r>
        <w:rPr>
          <w:rFonts w:ascii="Arial" w:cs="Arial" w:eastAsia="Arial" w:hAnsi="Arial"/>
          <w:sz w:val="16"/>
          <w:szCs w:val="16"/>
          <w:color w:val="auto"/>
        </w:rPr>
        <w:t>”), dated March 3,</w:t>
      </w:r>
    </w:p>
    <w:p>
      <w:pPr>
        <w:spacing w:after="0"/>
        <w:tabs>
          <w:tab w:leader="none" w:pos="4840" w:val="left"/>
        </w:tabs>
        <w:rPr>
          <w:sz w:val="20"/>
          <w:szCs w:val="20"/>
          <w:color w:val="auto"/>
        </w:rPr>
      </w:pPr>
      <w:r>
        <w:rPr>
          <w:rFonts w:ascii="Arial" w:cs="Arial" w:eastAsia="Arial" w:hAnsi="Arial"/>
          <w:sz w:val="18"/>
          <w:szCs w:val="18"/>
          <w:color w:val="auto"/>
        </w:rPr>
        <w:t>2014, the Company hereby requests that BP sell up to</w:t>
      </w:r>
      <w:r>
        <w:rPr>
          <w:sz w:val="20"/>
          <w:szCs w:val="20"/>
          <w:color w:val="auto"/>
        </w:rPr>
        <w:tab/>
      </w:r>
      <w:r>
        <w:rPr>
          <w:rFonts w:ascii="Arial" w:cs="Arial" w:eastAsia="Arial" w:hAnsi="Arial"/>
          <w:sz w:val="16"/>
          <w:szCs w:val="16"/>
          <w:color w:val="auto"/>
        </w:rPr>
        <w:t>of the Company’s Common Stock, par value $0.01 per share, at a minimum market price</w:t>
      </w:r>
    </w:p>
    <w:p>
      <w:pPr>
        <w:spacing w:after="0" w:line="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of $ per share, during the time period beginning [month, day, time] and ending [month, day, time]. [The Company may include such other sales parameters as it deems appropriate.]</w:t>
      </w:r>
    </w:p>
    <w:p>
      <w:pPr>
        <w:sectPr>
          <w:pgSz w:w="11900" w:h="16838" w:orient="portrait"/>
          <w:cols w:equalWidth="0" w:num="1">
            <w:col w:w="11320"/>
          </w:cols>
          <w:pgMar w:left="240" w:top="270" w:right="339" w:bottom="1440" w:gutter="0" w:footer="0" w:header="0"/>
        </w:sectPr>
      </w:pPr>
    </w:p>
    <w:bookmarkStart w:id="232" w:name="page233"/>
    <w:bookmarkEnd w:id="23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shall pay to BP in cash, upon each sale of Placement Shares pursuant to this Agreement, an amount up to 3.0% of the gross proceeds from each sale of Placement Shares.</w:t>
      </w:r>
    </w:p>
    <w:p>
      <w:pPr>
        <w:sectPr>
          <w:pgSz w:w="11900" w:h="16838" w:orient="portrait"/>
          <w:cols w:equalWidth="0" w:num="1">
            <w:col w:w="11080"/>
          </w:cols>
          <w:pgMar w:left="240" w:top="270" w:right="579" w:bottom="1440" w:gutter="0" w:footer="0" w:header="0"/>
        </w:sectPr>
      </w:pPr>
    </w:p>
    <w:bookmarkStart w:id="233" w:name="page234"/>
    <w:bookmarkEnd w:id="233"/>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ectPr>
          <w:pgSz w:w="11900" w:h="16838" w:orient="portrait"/>
          <w:cols w:equalWidth="0" w:num="1">
            <w:col w:w="10219"/>
          </w:cols>
          <w:pgMar w:left="240" w:top="270" w:right="1440" w:bottom="1440" w:gutter="0" w:footer="0" w:header="0"/>
        </w:sectPr>
      </w:pPr>
    </w:p>
    <w:p>
      <w:pPr>
        <w:spacing w:after="0" w:line="22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Matthew Pfeffer David Thomson Hakan Edstrom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mpfeffer@mannkindcorp.com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dthomson@mannkindcorp.com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hedstrom@mannkindcorp.com</w:t>
      </w:r>
    </w:p>
    <w:p>
      <w:pPr>
        <w:spacing w:after="0" w:line="234" w:lineRule="exact"/>
        <w:rPr>
          <w:sz w:val="20"/>
          <w:szCs w:val="20"/>
          <w:color w:val="auto"/>
        </w:rPr>
      </w:pPr>
    </w:p>
    <w:p>
      <w:pPr>
        <w:sectPr>
          <w:pgSz w:w="11900" w:h="16838" w:orient="portrait"/>
          <w:cols w:equalWidth="0" w:num="2">
            <w:col w:w="1460" w:space="720"/>
            <w:col w:w="8039"/>
          </w:cols>
          <w:pgMar w:left="2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BP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Nino Jimenez</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Todd Wyche</w:t>
      </w:r>
    </w:p>
    <w:p>
      <w:pPr>
        <w:sectPr>
          <w:pgSz w:w="11900" w:h="16838" w:orient="portrait"/>
          <w:cols w:equalWidth="0" w:num="1">
            <w:col w:w="10219"/>
          </w:cols>
          <w:pgMar w:left="240" w:top="270"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above-mentioned individuals from BP can be reached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trading@brinsonpatrick.com and at 212-453-3000</w:t>
      </w:r>
    </w:p>
    <w:p>
      <w:pPr>
        <w:sectPr>
          <w:pgSz w:w="11900" w:h="16838" w:orient="portrait"/>
          <w:cols w:equalWidth="0" w:num="1">
            <w:col w:w="10219"/>
          </w:cols>
          <w:pgMar w:left="240" w:top="270" w:right="1440" w:bottom="1440" w:gutter="0" w:footer="0" w:header="0"/>
          <w:type w:val="continuous"/>
        </w:sectPr>
      </w:pPr>
    </w:p>
    <w:bookmarkStart w:id="234" w:name="page235"/>
    <w:bookmarkEnd w:id="234"/>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256540</wp:posOffset>
            </wp:positionV>
            <wp:extent cx="15176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Representation Date Certificate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Officers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is executed and delivered in connection with Section 7(l) of the At-The-Market Issuance Sales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March 3, 2014, and entered into between MannKind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Meyers Associates, L.P. (doing business as Brinson Patrick, a division of Meyers Associates, L.P.) (“</w:t>
      </w:r>
      <w:r>
        <w:rPr>
          <w:rFonts w:ascii="Arial" w:cs="Arial" w:eastAsia="Arial" w:hAnsi="Arial"/>
          <w:sz w:val="18"/>
          <w:szCs w:val="18"/>
          <w:u w:val="single" w:color="auto"/>
          <w:color w:val="auto"/>
        </w:rPr>
        <w:t>BP</w:t>
      </w:r>
      <w:r>
        <w:rPr>
          <w:rFonts w:ascii="Arial" w:cs="Arial" w:eastAsia="Arial" w:hAnsi="Arial"/>
          <w:sz w:val="18"/>
          <w:szCs w:val="18"/>
          <w:color w:val="auto"/>
        </w:rPr>
        <w:t>”). All capitalized terms used but not defined herein shall have the meanings given to such terms in the Agreement.</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undersigned, a duly appointed and authorized officer of the Company, having made reasonable inquiries to establish the accuracy of the statements below and having been authorized by the Company to execute this certificate on behalf of the Company, hereby certifies, on behalf of the Company and not in the undersigned’s individual capacity, as follows:</w:t>
      </w:r>
    </w:p>
    <w:p>
      <w:pPr>
        <w:spacing w:after="0" w:line="181" w:lineRule="exact"/>
        <w:rPr>
          <w:sz w:val="20"/>
          <w:szCs w:val="20"/>
          <w:color w:val="auto"/>
        </w:rPr>
      </w:pPr>
    </w:p>
    <w:p>
      <w:pPr>
        <w:ind w:firstLine="464"/>
        <w:spacing w:after="0" w:line="297" w:lineRule="auto"/>
        <w:tabs>
          <w:tab w:leader="none" w:pos="63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contains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(i) and (ii) to be true.</w:t>
      </w:r>
    </w:p>
    <w:p>
      <w:pPr>
        <w:spacing w:after="0" w:line="158" w:lineRule="exact"/>
        <w:rPr>
          <w:rFonts w:ascii="Arial" w:cs="Arial" w:eastAsia="Arial" w:hAnsi="Arial"/>
          <w:sz w:val="16"/>
          <w:szCs w:val="16"/>
          <w:color w:val="auto"/>
        </w:rPr>
      </w:pPr>
    </w:p>
    <w:p>
      <w:pPr>
        <w:ind w:right="80" w:firstLine="464"/>
        <w:spacing w:after="0" w:line="342" w:lineRule="auto"/>
        <w:tabs>
          <w:tab w:leader="none" w:pos="63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Company contained in the Agreement was true and correct in all material respects, when originally made, and, except for those representations and warranties that speak solely as of a specific date, is true and correct as of the date of this Certificate.</w:t>
      </w:r>
    </w:p>
    <w:p>
      <w:pPr>
        <w:spacing w:after="0" w:line="123" w:lineRule="exact"/>
        <w:rPr>
          <w:rFonts w:ascii="Arial" w:cs="Arial" w:eastAsia="Arial" w:hAnsi="Arial"/>
          <w:sz w:val="16"/>
          <w:szCs w:val="16"/>
          <w:color w:val="auto"/>
        </w:rPr>
      </w:pPr>
    </w:p>
    <w:p>
      <w:pPr>
        <w:ind w:right="200" w:firstLine="464"/>
        <w:spacing w:after="0" w:line="257" w:lineRule="auto"/>
        <w:tabs>
          <w:tab w:leader="none" w:pos="6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as waived by BP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88" w:lineRule="exact"/>
        <w:rPr>
          <w:rFonts w:ascii="Arial" w:cs="Arial" w:eastAsia="Arial" w:hAnsi="Arial"/>
          <w:sz w:val="18"/>
          <w:szCs w:val="18"/>
          <w:color w:val="auto"/>
        </w:rPr>
      </w:pPr>
    </w:p>
    <w:p>
      <w:pPr>
        <w:ind w:right="200" w:firstLine="464"/>
        <w:spacing w:after="0" w:line="264" w:lineRule="auto"/>
        <w:tabs>
          <w:tab w:leader="none" w:pos="6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of any part thereof has been issued, and, to the Company’s knowledge, no proceedings for that purpose have been instituted or are pending or threatened by any securities or other governmental authority (including, without limitation, the Commission).</w:t>
      </w:r>
    </w:p>
    <w:p>
      <w:pPr>
        <w:spacing w:after="0" w:line="181"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ectPr>
          <w:pgSz w:w="11900" w:h="16838" w:orient="portrait"/>
          <w:cols w:equalWidth="0" w:num="1">
            <w:col w:w="11420"/>
          </w:cols>
          <w:pgMar w:left="240" w:top="270" w:right="239" w:bottom="1440" w:gutter="0" w:footer="0" w:header="0"/>
        </w:sectPr>
      </w:pPr>
    </w:p>
    <w:bookmarkStart w:id="236" w:name="page237"/>
    <w:bookmarkEnd w:id="2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executed this Officer’s Certificate on behalf of the Company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1780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1780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1780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7(m)(1)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Opinion</w:t>
      </w:r>
    </w:p>
    <w:p>
      <w:pPr>
        <w:sectPr>
          <w:pgSz w:w="11900" w:h="16838" w:orient="portrait"/>
          <w:cols w:equalWidth="0" w:num="1">
            <w:col w:w="9019"/>
          </w:cols>
          <w:pgMar w:left="1440" w:top="270"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7(m)(2)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Letter</w:t>
      </w:r>
    </w:p>
    <w:p>
      <w:pPr>
        <w:sectPr>
          <w:pgSz w:w="11900" w:h="16838" w:orient="portrait"/>
          <w:cols w:equalWidth="0" w:num="1">
            <w:col w:w="9019"/>
          </w:cols>
          <w:pgMar w:left="1440" w:top="270" w:right="1440" w:bottom="1440" w:gutter="0" w:footer="0" w:header="0"/>
        </w:sectPr>
      </w:pPr>
    </w:p>
    <w:bookmarkStart w:id="239" w:name="page240"/>
    <w:bookmarkEnd w:id="23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23</w:t>
      </w:r>
    </w:p>
    <w:p>
      <w:pPr>
        <w:spacing w:after="0" w:line="225"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Permitted 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0"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FACILITY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REGISTRATION RIGHTS AGREEMENT</w:t>
      </w:r>
    </w:p>
    <w:p>
      <w:pPr>
        <w:spacing w:after="0" w:line="21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FIRST AMENDMENT TO FACILITY AGREEMENT AND REGISTRATION RIGHTS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28, 2014, by and among MANNKIND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DEERFIELD PRIVATE DESIGN FUND II, L.P. (“</w:t>
      </w:r>
      <w:r>
        <w:rPr>
          <w:rFonts w:ascii="Arial" w:cs="Arial" w:eastAsia="Arial" w:hAnsi="Arial"/>
          <w:sz w:val="18"/>
          <w:szCs w:val="18"/>
          <w:u w:val="single" w:color="auto"/>
          <w:color w:val="auto"/>
        </w:rPr>
        <w:t>DPDF</w:t>
      </w:r>
      <w:r>
        <w:rPr>
          <w:rFonts w:ascii="Arial" w:cs="Arial" w:eastAsia="Arial" w:hAnsi="Arial"/>
          <w:sz w:val="18"/>
          <w:szCs w:val="18"/>
          <w:color w:val="auto"/>
        </w:rPr>
        <w:t>”) and DEERFIELD PRIVATE DESIGN INTERNATIONAL II, L.P. (together with DPDF collectively referred to as the “</w:t>
      </w:r>
      <w:r>
        <w:rPr>
          <w:rFonts w:ascii="Arial" w:cs="Arial" w:eastAsia="Arial" w:hAnsi="Arial"/>
          <w:sz w:val="18"/>
          <w:szCs w:val="18"/>
          <w:u w:val="single" w:color="auto"/>
          <w:color w:val="auto"/>
        </w:rPr>
        <w:t>Purchasers</w:t>
      </w:r>
      <w:r>
        <w:rPr>
          <w:rFonts w:ascii="Arial" w:cs="Arial" w:eastAsia="Arial" w:hAnsi="Arial"/>
          <w:sz w:val="18"/>
          <w:szCs w:val="18"/>
          <w:color w:val="auto"/>
        </w:rPr>
        <w:t>” and together with the Borrower,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100" w:firstLine="464"/>
        <w:spacing w:after="0" w:line="342" w:lineRule="auto"/>
        <w:tabs>
          <w:tab w:leader="none" w:pos="63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Borrower and Purchasers have entered into that certain Facility Agreement and Registration Rights Agreement, each dated as of July 1, 2013 (as the same may be amended, modified, restated or otherwise supplemented from time to time, the “</w:t>
      </w:r>
      <w:r>
        <w:rPr>
          <w:rFonts w:ascii="Arial" w:cs="Arial" w:eastAsia="Arial" w:hAnsi="Arial"/>
          <w:sz w:val="16"/>
          <w:szCs w:val="16"/>
          <w:u w:val="single" w:color="auto"/>
          <w:color w:val="auto"/>
        </w:rPr>
        <w:t>Facility Agreement</w:t>
      </w:r>
      <w:r>
        <w:rPr>
          <w:rFonts w:ascii="Arial" w:cs="Arial" w:eastAsia="Arial" w:hAnsi="Arial"/>
          <w:sz w:val="16"/>
          <w:szCs w:val="16"/>
          <w:color w:val="auto"/>
        </w:rPr>
        <w:t>” and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300" w:firstLine="464"/>
        <w:spacing w:after="0" w:line="308" w:lineRule="auto"/>
        <w:tabs>
          <w:tab w:leader="none" w:pos="63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Facility Agreement provides for the issuance of Notes in 4 Tranches of $40 million per Tranche. Prior to the date hereof, the Purchasers have purchased the Tranche 1 Notes, the Tranche 2 Notes and the Tranche 3 Notes in the principal amount of $40 million each.</w:t>
      </w:r>
    </w:p>
    <w:p>
      <w:pPr>
        <w:spacing w:after="0" w:line="146" w:lineRule="exact"/>
        <w:rPr>
          <w:rFonts w:ascii="Arial" w:cs="Arial" w:eastAsia="Arial" w:hAnsi="Arial"/>
          <w:sz w:val="17"/>
          <w:szCs w:val="17"/>
          <w:color w:val="auto"/>
        </w:rPr>
      </w:pPr>
    </w:p>
    <w:p>
      <w:pPr>
        <w:ind w:right="400" w:firstLine="464"/>
        <w:spacing w:after="0" w:line="277"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Prior to the date hereof, the Purchasers have converted the Tranche 2 Notes into Common Stock, leaving the Tranche 1 Notes and the Tranche 3 Notes outstanding in the aggregate principal amount of $80 million.</w:t>
      </w:r>
    </w:p>
    <w:p>
      <w:pPr>
        <w:spacing w:after="0" w:line="170" w:lineRule="exact"/>
        <w:rPr>
          <w:rFonts w:ascii="Arial" w:cs="Arial" w:eastAsia="Arial" w:hAnsi="Arial"/>
          <w:sz w:val="18"/>
          <w:szCs w:val="18"/>
          <w:color w:val="auto"/>
        </w:rPr>
      </w:pPr>
    </w:p>
    <w:p>
      <w:pPr>
        <w:ind w:right="240" w:firstLine="464"/>
        <w:spacing w:after="0" w:line="277"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has agreed to deliver to the Purchasers a Note Purchase Request for the Tranche 4 Notes pursuant to the terms and conditions of the Facility Agreement upon satisfaction of the Tranche 4 Conditions.</w:t>
      </w:r>
    </w:p>
    <w:p>
      <w:pPr>
        <w:spacing w:after="0" w:line="170" w:lineRule="exact"/>
        <w:rPr>
          <w:rFonts w:ascii="Arial" w:cs="Arial" w:eastAsia="Arial" w:hAnsi="Arial"/>
          <w:sz w:val="18"/>
          <w:szCs w:val="18"/>
          <w:color w:val="auto"/>
        </w:rPr>
      </w:pPr>
    </w:p>
    <w:p>
      <w:pPr>
        <w:ind w:right="20" w:firstLine="464"/>
        <w:spacing w:after="0" w:line="273" w:lineRule="auto"/>
        <w:tabs>
          <w:tab w:leader="none" w:pos="63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Parties desire to amend the Tranche 1 Notes and the Tranche 3 Notes to provide that, subject to the limitations set forth in this Amendment, up to an additional $60 million aggregate principal amount of the Tranche 1 Notes and the Tranche 3 Notes can be converted from time to time into Common Stock; provided, that the Tranche 3 Notes must be fully converted prior to the conversion of the Tranche 1 Notes(the aggregate principal amount of the Tranche 1 Notes and Tranche 3 Notes converted after the date of this Amendment into Common Stock on the date of determination, the “</w:t>
      </w: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Aggregate Principal Amount</w:t>
      </w:r>
      <w:r>
        <w:rPr>
          <w:rFonts w:ascii="Arial" w:cs="Arial" w:eastAsia="Arial" w:hAnsi="Arial"/>
          <w:sz w:val="17"/>
          <w:szCs w:val="17"/>
          <w:color w:val="auto"/>
        </w:rPr>
        <w:t>”). The Borrower desires to issue to the Purchaser Amended and Restated Tranche 1 Notes and Tranche 3 Notes, in the form of Exhibit A, incorporating the modifications to such Notes as referred to above (the “</w:t>
      </w:r>
      <w:r>
        <w:rPr>
          <w:rFonts w:ascii="Arial" w:cs="Arial" w:eastAsia="Arial" w:hAnsi="Arial"/>
          <w:sz w:val="17"/>
          <w:szCs w:val="17"/>
          <w:u w:val="single" w:color="auto"/>
          <w:color w:val="auto"/>
        </w:rPr>
        <w:t>Amended and Restated Notes</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464"/>
        <w:spacing w:after="0" w:line="264"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Parties desire to amend the Facility Agreement to provide that, prior to December 30, 2014, the Borrower may deliver a Note Purchase Request from time to time pursuant to the procedures outlined in Section 2.2 of the Facility Agreement or the Purchasers to purchase a new series of Notes in the form attached hereto as Exhibit B (the “</w:t>
      </w:r>
      <w:r>
        <w:rPr>
          <w:rFonts w:ascii="Arial" w:cs="Arial" w:eastAsia="Arial" w:hAnsi="Arial"/>
          <w:sz w:val="18"/>
          <w:szCs w:val="18"/>
          <w:u w:val="single" w:color="auto"/>
          <w:color w:val="auto"/>
        </w:rPr>
        <w:t>Tranche B Notes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241" w:name="page242"/>
    <w:bookmarkEnd w:id="24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 maximum principal amount equal to (a) at any time after the date of this Amendment, 33.33% of the Conversion Aggregate Principal Amount or (b) if the FDA has approved a new drug application for the Product (“</w:t>
      </w:r>
      <w:r>
        <w:rPr>
          <w:rFonts w:ascii="Arial" w:cs="Arial" w:eastAsia="Arial" w:hAnsi="Arial"/>
          <w:sz w:val="18"/>
          <w:szCs w:val="18"/>
          <w:u w:val="single" w:color="auto"/>
          <w:color w:val="auto"/>
        </w:rPr>
        <w:t>FDA Approval</w:t>
      </w:r>
      <w:r>
        <w:rPr>
          <w:rFonts w:ascii="Arial" w:cs="Arial" w:eastAsia="Arial" w:hAnsi="Arial"/>
          <w:sz w:val="18"/>
          <w:szCs w:val="18"/>
          <w:color w:val="auto"/>
        </w:rPr>
        <w:t>”) and the Purchasers have purchased the Tranche 4 Notes, 150% of the Conversion Aggregate Principal Amount.</w:t>
      </w:r>
    </w:p>
    <w:p>
      <w:pPr>
        <w:spacing w:after="0" w:line="181" w:lineRule="exact"/>
        <w:rPr>
          <w:sz w:val="20"/>
          <w:szCs w:val="20"/>
          <w:color w:val="auto"/>
        </w:rPr>
      </w:pPr>
    </w:p>
    <w:p>
      <w:pPr>
        <w:ind w:right="40" w:firstLine="464"/>
        <w:spacing w:after="0" w:line="264" w:lineRule="auto"/>
        <w:tabs>
          <w:tab w:leader="none" w:pos="6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Tranche B Notes will bear interest at the Interest Rate (which shall be reduced to 8.75% simple interest per year upon the Borrower entering into a collaborative arrangement with an unrelated Person to develop and commercialize the Product after FDA Approval) and shall be prepayable at any time commencing two years from their date of issuance without premium or penalty.</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Parties desire to permit the additional issuance of unsecured convertible senior subordinated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agreements contained herein, the Parties agree as follows:</w:t>
      </w:r>
    </w:p>
    <w:p>
      <w:pPr>
        <w:spacing w:after="0" w:line="225" w:lineRule="exact"/>
        <w:rPr>
          <w:sz w:val="20"/>
          <w:szCs w:val="20"/>
          <w:color w:val="auto"/>
        </w:rPr>
      </w:pPr>
    </w:p>
    <w:p>
      <w:pPr>
        <w:ind w:right="80" w:firstLine="464"/>
        <w:spacing w:after="0" w:line="264" w:lineRule="auto"/>
        <w:tabs>
          <w:tab w:leader="none" w:pos="63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which are defined in the Facility Agreement, unless otherwise defined herein, shall have the meanings ascribed to them in the Facility Agreement and the Registration Rights Agreement. The Recitals to this Amendment are incorporated herein in their entirety by this reference thereto.</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Amendments to Facility Agreement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Upon the satisfaction of the conditions set forth in Section 5 to this Amendment: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definition of “Notes” in Section 1.1 of the Facility Agreement is amended in its entirety to read as follows:</w:t>
      </w:r>
    </w:p>
    <w:p>
      <w:pPr>
        <w:spacing w:after="0" w:line="117"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Tranche 1 Notes, Tranche 2 Notes, Tranche 3 Notes, the Amended and Restated Notes, Tranche 4 Notes in the form attached as Exhibit B to the Facility Agreement and, unless the context indicates otherwise, the Tranche B Senior Secured Notes in the form attached as Exhibit B to the First Amendment to Facility Agreement and Registration Rights Agreement (the “</w:t>
      </w:r>
      <w:r>
        <w:rPr>
          <w:rFonts w:ascii="Arial" w:cs="Arial" w:eastAsia="Arial" w:hAnsi="Arial"/>
          <w:sz w:val="18"/>
          <w:szCs w:val="18"/>
          <w:u w:val="single" w:color="auto"/>
          <w:color w:val="auto"/>
        </w:rPr>
        <w:t>Tranche B Notes</w:t>
      </w:r>
      <w:r>
        <w:rPr>
          <w:rFonts w:ascii="Arial" w:cs="Arial" w:eastAsia="Arial" w:hAnsi="Arial"/>
          <w:sz w:val="18"/>
          <w:szCs w:val="18"/>
          <w:color w:val="auto"/>
        </w:rPr>
        <w:t>”), in each case, as amended, modified, restated or supplemented from time to time.”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definition of Interest Rate in Section 1.1 of the Facility Agreement is amended in its entirety to read as follows:</w:t>
      </w:r>
    </w:p>
    <w:p>
      <w:pPr>
        <w:spacing w:after="0" w:line="117"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means with respect to the Tranche 1 Notes, Tranche 2 Notes, Tranche 3 Notes, and Tranche 4 Notes 9.75% simple interest per annum, and with respect to the Tranche B Notes, 9.75% simple interest per annum: provided, however that at the effective date of a collaboration of the Borrower with an unrelated Person to develop and commercialize the Product after FDA Approval, the interest rate with respect to the Tranche B Notes shall thereafter be 8.75% simple interest per annum.</w:t>
      </w:r>
    </w:p>
    <w:p>
      <w:pPr>
        <w:sectPr>
          <w:pgSz w:w="11900" w:h="16838" w:orient="portrait"/>
          <w:cols w:equalWidth="0" w:num="1">
            <w:col w:w="11420"/>
          </w:cols>
          <w:pgMar w:left="240" w:top="274" w:right="239" w:bottom="1440" w:gutter="0" w:footer="0" w:header="0"/>
        </w:sectPr>
      </w:pPr>
    </w:p>
    <w:bookmarkStart w:id="242" w:name="page243"/>
    <w:bookmarkEnd w:id="242"/>
    <w:p>
      <w:pPr>
        <w:ind w:right="6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defined term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in Section 1.1 of the Facility Agreement is amended to (x) renumber subsection “(xxv)” as “(xxvi)” and insert a new subsection (xxv) to read as follows:</w:t>
      </w:r>
    </w:p>
    <w:p>
      <w:pPr>
        <w:spacing w:after="0" w:line="62"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“(xxv) Unsecured Indebtedness in respect of unsecured convertible senior subordinated notes in an aggregate principal amount not exceeding $250 million that (b) provides for repayment of the outstanding principal amount only after the last scheduled maturity date of the outstanding Notes are paid in full (other than customary obligations to repurchase the notes upon a “fundamental change” or obligations to settle conversions of the notes) and (b) is subordinated to the Notes pursuant to customary subordination terms found in standard senior subordinated convertible notes offerings; and</w:t>
      </w:r>
      <w:r>
        <w:rPr>
          <w:rFonts w:ascii="Arial" w:cs="Arial" w:eastAsia="Arial" w:hAnsi="Arial"/>
          <w:sz w:val="18"/>
          <w:szCs w:val="18"/>
          <w:u w:val="single" w:color="auto"/>
          <w:color w:val="auto"/>
        </w:rPr>
        <w:t>”</w:t>
      </w:r>
    </w:p>
    <w:p>
      <w:pPr>
        <w:spacing w:after="0" w:line="18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d. The defined term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in Section 1.1 of the Facility Agreement is hereby amended to include the Tranche B Notes and the Amended and Restated Notes as additional Transaction Documents.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Section 1.1 of the Facility Agreement is amended to add thereto the following additional defined terms:</w:t>
      </w:r>
    </w:p>
    <w:p>
      <w:pPr>
        <w:spacing w:after="0" w:line="117" w:lineRule="exact"/>
        <w:rPr>
          <w:sz w:val="20"/>
          <w:szCs w:val="20"/>
          <w:color w:val="auto"/>
        </w:rPr>
      </w:pPr>
    </w:p>
    <w:p>
      <w:pPr>
        <w:ind w:left="46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Aggregate Principal Amount</w:t>
      </w:r>
      <w:r>
        <w:rPr>
          <w:rFonts w:ascii="Arial" w:cs="Arial" w:eastAsia="Arial" w:hAnsi="Arial"/>
          <w:sz w:val="16"/>
          <w:szCs w:val="16"/>
          <w:color w:val="auto"/>
        </w:rPr>
        <w:t>” means the aggregate principal amount of the Tranche 1 Notes and the Tranche 3 Notes that have been converted into Common Stock commencing on and after the date of the First Amendment to Facility Agreement and Registration Rights Agreement.</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 Approval</w:t>
      </w:r>
      <w:r>
        <w:rPr>
          <w:rFonts w:ascii="Arial" w:cs="Arial" w:eastAsia="Arial" w:hAnsi="Arial"/>
          <w:sz w:val="18"/>
          <w:szCs w:val="18"/>
          <w:color w:val="auto"/>
        </w:rPr>
        <w:t>” has the meaning provided in Section 2.2(e) of this Agreement.</w:t>
      </w:r>
    </w:p>
    <w:p>
      <w:pPr>
        <w:spacing w:after="0" w:line="117" w:lineRule="exact"/>
        <w:rPr>
          <w:sz w:val="20"/>
          <w:szCs w:val="20"/>
          <w:color w:val="auto"/>
        </w:rPr>
      </w:pPr>
    </w:p>
    <w:p>
      <w:pPr>
        <w:ind w:left="460" w:right="30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to Facility Agreement</w:t>
      </w:r>
      <w:r>
        <w:rPr>
          <w:rFonts w:ascii="Arial" w:cs="Arial" w:eastAsia="Arial" w:hAnsi="Arial"/>
          <w:sz w:val="18"/>
          <w:szCs w:val="18"/>
          <w:color w:val="auto"/>
        </w:rPr>
        <w:t>” means the First Amendment to Facility Agreement and Registration Rights Agreement dated as of February 28, 2014 between Borrower and Purchasers.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Notes</w:t>
      </w:r>
      <w:r>
        <w:rPr>
          <w:rFonts w:ascii="Arial" w:cs="Arial" w:eastAsia="Arial" w:hAnsi="Arial"/>
          <w:sz w:val="18"/>
          <w:szCs w:val="18"/>
          <w:color w:val="auto"/>
        </w:rPr>
        <w:t>” has the meaning provided in the definition of Notes in Section 1.1 of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Section 2.2(b) of the Facility Agreement is hereby amended to add in the first sentence thereof reference to the Tranche B Notes.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 Section 2.2 of the Facility Agreement is hereby amended to add thereto a new subsection (e) to read as follows:</w:t>
      </w:r>
    </w:p>
    <w:p>
      <w:pPr>
        <w:spacing w:after="0" w:line="117"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“Prior to December 30, 2014, the Borrower may deliver one or more Note Purchase Requests from time to time pursuant to the procedures outlined in Section 2.2 for the Purchasers to purchase Tranche B Notes in a maximum principal amount equal to (i) at any time from and after the date of the First Amendment to Facility Agreement, the excess of (x) 33.33% of the Conversion Aggregate Principal Amount on the date of delivery of the Note Purchase</w:t>
      </w:r>
    </w:p>
    <w:p>
      <w:pPr>
        <w:sectPr>
          <w:pgSz w:w="11900" w:h="16838" w:orient="portrait"/>
          <w:cols w:equalWidth="0" w:num="1">
            <w:col w:w="11380"/>
          </w:cols>
          <w:pgMar w:left="240" w:top="274" w:right="279" w:bottom="1440" w:gutter="0" w:footer="0" w:header="0"/>
        </w:sectPr>
      </w:pPr>
    </w:p>
    <w:bookmarkStart w:id="243" w:name="page244"/>
    <w:bookmarkEnd w:id="243"/>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Requests over (y) any amounts for which Tranche B Notes are issued pursuant to Note Purchase Requests delivered under this Section 2.2(e)(i) or (ii) if the FDA has approved a New Drug Application for the Product (“</w:t>
      </w:r>
      <w:r>
        <w:rPr>
          <w:rFonts w:ascii="Arial" w:cs="Arial" w:eastAsia="Arial" w:hAnsi="Arial"/>
          <w:sz w:val="18"/>
          <w:szCs w:val="18"/>
          <w:u w:val="single" w:color="auto"/>
          <w:color w:val="auto"/>
        </w:rPr>
        <w:t>FDA Approval</w:t>
      </w:r>
      <w:r>
        <w:rPr>
          <w:rFonts w:ascii="Arial" w:cs="Arial" w:eastAsia="Arial" w:hAnsi="Arial"/>
          <w:sz w:val="18"/>
          <w:szCs w:val="18"/>
          <w:color w:val="auto"/>
        </w:rPr>
        <w:t>”) and the Purchasers have purchased the Tranche 4 Notes, the excess of (x) 150% of the Conversion Aggregate Principal Amount on the date of delivery of the Note Purchase Request over (y) any amounts for which Tranche B Notes are issued pursuant to Note Purchase Requests delivered under this Section 2.2(e)(ii) and Section 2.2(e)(i). Each Note Purchase Request to purchase Tranche B Notes shall be in a minimum amount of $5,000,000, or such lesser amount of the Tranche B Notes available for purchase hereunder. The Tranche B Notes are prepayable commencing two years after their date of issuance without premium or penalty and not otherwise.”</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 Section 3.1(s) of the Facility Agreement is hereby amended in its entirety to read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“Except as would not, individually or in the aggregate, reasonably be expected to have a Material Adverse Effect in each case in clauses</w:t>
      </w:r>
    </w:p>
    <w:p>
      <w:pPr>
        <w:spacing w:after="0" w:line="35" w:lineRule="exact"/>
        <w:rPr>
          <w:sz w:val="20"/>
          <w:szCs w:val="20"/>
          <w:color w:val="auto"/>
        </w:rPr>
      </w:pPr>
    </w:p>
    <w:p>
      <w:pPr>
        <w:ind w:left="460" w:right="60" w:firstLine="4"/>
        <w:spacing w:after="0" w:line="288" w:lineRule="auto"/>
        <w:tabs>
          <w:tab w:leader="none" w:pos="75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through (C), the Borrower: (A) has not received any warning letter or other correspondence or notice from the FDA or from any other Government Authority as of the Agreement Date alleging or asserting noncompliance with Applicable Laws; (B) except for approval from the FDA and other Governmental Authorities to market and sell the Product, possesses all licenses, certificates, approvals, clearances, authorizations, permits and supplements or amendments thereto required by any Applicable Laws (together, the “</w:t>
      </w:r>
      <w:r>
        <w:rPr>
          <w:rFonts w:ascii="Arial" w:cs="Arial" w:eastAsia="Arial" w:hAnsi="Arial"/>
          <w:sz w:val="16"/>
          <w:szCs w:val="16"/>
          <w:u w:val="single" w:color="auto"/>
          <w:color w:val="auto"/>
        </w:rPr>
        <w:t>Authorizations</w:t>
      </w:r>
      <w:r>
        <w:rPr>
          <w:rFonts w:ascii="Arial" w:cs="Arial" w:eastAsia="Arial" w:hAnsi="Arial"/>
          <w:sz w:val="16"/>
          <w:szCs w:val="16"/>
          <w:color w:val="auto"/>
        </w:rPr>
        <w:t>”), which are valid and in full force and effect and has not received any notice from the FDA or any other Government Authority as of the Agreement Date alleging or asserting noncompliance with any Authorizations; and (C) has not received written notice that any Government Authority has taken, is taking, or intends to take action to limit, suspend, modify or revoke any outstanding Authorization and has no knowledge that any Government Authority is considering such action.”</w:t>
      </w:r>
    </w:p>
    <w:p>
      <w:pPr>
        <w:spacing w:after="0" w:line="169" w:lineRule="exact"/>
        <w:rPr>
          <w:sz w:val="20"/>
          <w:szCs w:val="20"/>
          <w:color w:val="auto"/>
        </w:rPr>
      </w:pPr>
    </w:p>
    <w:p>
      <w:pPr>
        <w:ind w:left="640" w:hanging="176"/>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Amendments to the Registration Rights Agreement</w:t>
      </w:r>
      <w:r>
        <w:rPr>
          <w:rFonts w:ascii="Arial" w:cs="Arial" w:eastAsia="Arial" w:hAnsi="Arial"/>
          <w:sz w:val="18"/>
          <w:szCs w:val="18"/>
          <w:color w:val="auto"/>
        </w:rPr>
        <w:t>. Upon the satisfaction of the conditions set forth in Section 5 of this Amendment:</w:t>
      </w:r>
    </w:p>
    <w:p>
      <w:pPr>
        <w:spacing w:after="0" w:line="225" w:lineRule="exact"/>
        <w:rPr>
          <w:rFonts w:ascii="Arial" w:cs="Arial" w:eastAsia="Arial" w:hAnsi="Arial"/>
          <w:sz w:val="18"/>
          <w:szCs w:val="18"/>
          <w:color w:val="auto"/>
        </w:rPr>
      </w:pPr>
    </w:p>
    <w:p>
      <w:pPr>
        <w:ind w:right="220" w:firstLine="913"/>
        <w:spacing w:after="0" w:line="277" w:lineRule="auto"/>
        <w:rPr>
          <w:rFonts w:ascii="Arial" w:cs="Arial" w:eastAsia="Arial" w:hAnsi="Arial"/>
          <w:sz w:val="18"/>
          <w:szCs w:val="18"/>
          <w:color w:val="auto"/>
        </w:rPr>
      </w:pPr>
      <w:r>
        <w:rPr>
          <w:rFonts w:ascii="Arial" w:cs="Arial" w:eastAsia="Arial" w:hAnsi="Arial"/>
          <w:sz w:val="18"/>
          <w:szCs w:val="18"/>
          <w:color w:val="auto"/>
        </w:rPr>
        <w:t>a. The definition of “Facility Agreement” in the Registration Rights Agreement is hereby deleted in its entirety and the following is inserted in substitution thereof:</w:t>
      </w:r>
    </w:p>
    <w:p>
      <w:pPr>
        <w:spacing w:after="0" w:line="62"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Agreement</w:t>
      </w:r>
      <w:r>
        <w:rPr>
          <w:rFonts w:ascii="Arial" w:cs="Arial" w:eastAsia="Arial" w:hAnsi="Arial"/>
          <w:sz w:val="18"/>
          <w:szCs w:val="18"/>
          <w:color w:val="auto"/>
        </w:rPr>
        <w:t>” means the Facility Agreement between the parties hereto, dated as of July 1, 2013, as amended by the First Amendment to Facility Agreement and Registration Rights Agreement, dated as of February 28, 2014, as amended, modified, restated or supplemented from time to time.</w:t>
      </w:r>
    </w:p>
    <w:p>
      <w:pPr>
        <w:spacing w:after="0" w:line="181"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b. The date of delivery of the Amended and Restated Notes as provided in Section 5(a) shall be deemed an “Issuance Date” under the Registration Rights Agreement.</w:t>
      </w:r>
    </w:p>
    <w:p>
      <w:pPr>
        <w:sectPr>
          <w:pgSz w:w="11900" w:h="16838" w:orient="portrait"/>
          <w:cols w:equalWidth="0" w:num="1">
            <w:col w:w="11400"/>
          </w:cols>
          <w:pgMar w:left="240" w:top="274" w:right="259" w:bottom="1440" w:gutter="0" w:footer="0" w:header="0"/>
        </w:sectPr>
      </w:pPr>
    </w:p>
    <w:bookmarkStart w:id="244" w:name="page245"/>
    <w:bookmarkEnd w:id="244"/>
    <w:p>
      <w:pPr>
        <w:ind w:right="20" w:firstLine="464"/>
        <w:spacing w:after="0" w:line="297" w:lineRule="auto"/>
        <w:tabs>
          <w:tab w:leader="none" w:pos="636"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w:t>
      </w:r>
      <w:r>
        <w:rPr>
          <w:rFonts w:ascii="Arial" w:cs="Arial" w:eastAsia="Arial" w:hAnsi="Arial"/>
          <w:sz w:val="16"/>
          <w:szCs w:val="16"/>
          <w:color w:val="auto"/>
        </w:rPr>
        <w:t>. Borrower covenants and agrees to execute and deliver to Purchasers on the date of this Amendment, amended and restated Notes in the forms of Exhibit A attached hereto (“Amended and Restated Notes”), in substitution for and replacement of the Tranche 1 Notes and Tranche 3 Notes executed by Borrower, which Amended and Restated Notes shall not constitute payment, settlement or novation of the existing Tranche 1 Notes and Tranche 3 Notes. Upon execution of the Amended and Restated Notes, the Tranche 1 Notes and Tranche 3 Notes shall be deemed to be automatically cancelled. Lenders covenant and agree to return the original outstanding Tranche 1 Notes and Tranche 3 Notes to Borrower.</w:t>
      </w:r>
    </w:p>
    <w:p>
      <w:pPr>
        <w:spacing w:after="0" w:line="158" w:lineRule="exact"/>
        <w:rPr>
          <w:rFonts w:ascii="Arial" w:cs="Arial" w:eastAsia="Arial" w:hAnsi="Arial"/>
          <w:sz w:val="16"/>
          <w:szCs w:val="16"/>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the following conditions precedent:</w:t>
      </w:r>
    </w:p>
    <w:p>
      <w:pPr>
        <w:spacing w:after="0" w:line="225" w:lineRule="exact"/>
        <w:rPr>
          <w:rFonts w:ascii="Arial" w:cs="Arial" w:eastAsia="Arial" w:hAnsi="Arial"/>
          <w:sz w:val="18"/>
          <w:szCs w:val="18"/>
          <w:color w:val="auto"/>
        </w:rPr>
      </w:pPr>
    </w:p>
    <w:p>
      <w:pPr>
        <w:ind w:right="160" w:firstLine="921"/>
        <w:spacing w:after="0" w:line="277" w:lineRule="auto"/>
        <w:tabs>
          <w:tab w:leader="none" w:pos="1083" w:val="left"/>
        </w:tabs>
        <w:numPr>
          <w:ilvl w:val="2"/>
          <w:numId w:val="180"/>
        </w:numPr>
        <w:rPr>
          <w:rFonts w:ascii="Arial" w:cs="Arial" w:eastAsia="Arial" w:hAnsi="Arial"/>
          <w:sz w:val="18"/>
          <w:szCs w:val="18"/>
          <w:color w:val="auto"/>
        </w:rPr>
      </w:pPr>
      <w:r>
        <w:rPr>
          <w:rFonts w:ascii="Arial" w:cs="Arial" w:eastAsia="Arial" w:hAnsi="Arial"/>
          <w:sz w:val="18"/>
          <w:szCs w:val="18"/>
          <w:u w:val="single" w:color="auto"/>
          <w:color w:val="auto"/>
        </w:rPr>
        <w:t>Delivery of Documents to Purchasers</w:t>
      </w:r>
      <w:r>
        <w:rPr>
          <w:rFonts w:ascii="Arial" w:cs="Arial" w:eastAsia="Arial" w:hAnsi="Arial"/>
          <w:sz w:val="18"/>
          <w:szCs w:val="18"/>
          <w:color w:val="auto"/>
        </w:rPr>
        <w:t>. The following shall have been delivered to Purchasers, each duly executed and in form and substance satisfactory to Purchasers in their sole discretion:</w:t>
      </w:r>
    </w:p>
    <w:p>
      <w:pPr>
        <w:spacing w:after="0" w:line="62" w:lineRule="exact"/>
        <w:rPr>
          <w:rFonts w:ascii="Arial" w:cs="Arial" w:eastAsia="Arial" w:hAnsi="Arial"/>
          <w:sz w:val="18"/>
          <w:szCs w:val="18"/>
          <w:color w:val="auto"/>
        </w:rPr>
      </w:pPr>
    </w:p>
    <w:p>
      <w:pPr>
        <w:ind w:left="1040" w:hanging="137"/>
        <w:spacing w:after="0"/>
        <w:tabs>
          <w:tab w:leader="none" w:pos="10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this Amendment; and</w:t>
      </w:r>
    </w:p>
    <w:p>
      <w:pPr>
        <w:spacing w:after="0" w:line="117" w:lineRule="exact"/>
        <w:rPr>
          <w:rFonts w:ascii="Arial" w:cs="Arial" w:eastAsia="Arial" w:hAnsi="Arial"/>
          <w:sz w:val="18"/>
          <w:szCs w:val="18"/>
          <w:color w:val="auto"/>
        </w:rPr>
      </w:pPr>
    </w:p>
    <w:p>
      <w:pPr>
        <w:ind w:left="1100" w:hanging="197"/>
        <w:spacing w:after="0"/>
        <w:tabs>
          <w:tab w:leader="none" w:pos="11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Amended and Restated Notes.</w:t>
      </w:r>
    </w:p>
    <w:p>
      <w:pPr>
        <w:spacing w:after="0" w:line="225" w:lineRule="exact"/>
        <w:rPr>
          <w:rFonts w:ascii="Arial" w:cs="Arial" w:eastAsia="Arial" w:hAnsi="Arial"/>
          <w:sz w:val="18"/>
          <w:szCs w:val="18"/>
          <w:color w:val="auto"/>
        </w:rPr>
      </w:pPr>
    </w:p>
    <w:p>
      <w:pPr>
        <w:ind w:right="320" w:firstLine="921"/>
        <w:spacing w:after="0" w:line="277" w:lineRule="auto"/>
        <w:tabs>
          <w:tab w:leader="none" w:pos="1093" w:val="left"/>
        </w:tabs>
        <w:numPr>
          <w:ilvl w:val="2"/>
          <w:numId w:val="181"/>
        </w:numPr>
        <w:rPr>
          <w:rFonts w:ascii="Arial" w:cs="Arial" w:eastAsia="Arial" w:hAnsi="Arial"/>
          <w:sz w:val="18"/>
          <w:szCs w:val="18"/>
          <w:color w:val="auto"/>
        </w:rPr>
      </w:pPr>
      <w:r>
        <w:rPr>
          <w:rFonts w:ascii="Arial" w:cs="Arial" w:eastAsia="Arial" w:hAnsi="Arial"/>
          <w:sz w:val="18"/>
          <w:szCs w:val="18"/>
          <w:u w:val="single" w:color="auto"/>
          <w:color w:val="auto"/>
        </w:rPr>
        <w:t>Delivery of Documents to Borrower</w:t>
      </w:r>
      <w:r>
        <w:rPr>
          <w:rFonts w:ascii="Arial" w:cs="Arial" w:eastAsia="Arial" w:hAnsi="Arial"/>
          <w:sz w:val="18"/>
          <w:szCs w:val="18"/>
          <w:color w:val="auto"/>
        </w:rPr>
        <w:t>. The following shall have been delivered to Borrower, each duly executed and in form and substance satisfactory to Borrower in its sole discretion: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this Amendment.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Performance; No Default</w:t>
      </w:r>
      <w:r>
        <w:rPr>
          <w:rFonts w:ascii="Arial" w:cs="Arial" w:eastAsia="Arial" w:hAnsi="Arial"/>
          <w:sz w:val="18"/>
          <w:szCs w:val="18"/>
          <w:color w:val="auto"/>
        </w:rPr>
        <w:t>. Borrower shall have performed and complied with all agreements and conditions contained in the Facility Agreement and the other Transaction Documents to be performed by or complied with by Borrower prior to the date hereof in all material respects, and, after giving effect to this Amendment, no Event of Default shall exist or be created hereby.</w:t>
      </w:r>
    </w:p>
    <w:p>
      <w:pPr>
        <w:spacing w:after="0" w:line="181" w:lineRule="exact"/>
        <w:rPr>
          <w:sz w:val="20"/>
          <w:szCs w:val="20"/>
          <w:color w:val="auto"/>
        </w:rPr>
      </w:pPr>
    </w:p>
    <w:p>
      <w:pPr>
        <w:ind w:left="640" w:hanging="17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Borrower hereby represents and warrants to Purchasers as follows:</w:t>
      </w:r>
    </w:p>
    <w:p>
      <w:pPr>
        <w:spacing w:after="0" w:line="225" w:lineRule="exact"/>
        <w:rPr>
          <w:rFonts w:ascii="Arial" w:cs="Arial" w:eastAsia="Arial" w:hAnsi="Arial"/>
          <w:sz w:val="18"/>
          <w:szCs w:val="18"/>
          <w:color w:val="auto"/>
        </w:rPr>
      </w:pPr>
    </w:p>
    <w:p>
      <w:pPr>
        <w:ind w:right="20" w:firstLine="921"/>
        <w:spacing w:after="0" w:line="257" w:lineRule="auto"/>
        <w:tabs>
          <w:tab w:leader="none" w:pos="108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As of the date hereof, the representations and warranties of Borrower contained in the Transaction Documents are (i) in the case of representations and warranties qualified by “materiality,” “Material Adverse Effect” or similar language, true and correct in all respects and (ii) in the case of all other representations and warranties, true and correct in all material respects, in each case on and as of the date hereof, except to the extent that any such representation or warranty relates to a specific date, in which case such representation and warranty shall be true and correct in all respects or all material respects, as applicable, as of such earlier date;</w:t>
      </w:r>
    </w:p>
    <w:p>
      <w:pPr>
        <w:spacing w:after="0" w:line="188" w:lineRule="exact"/>
        <w:rPr>
          <w:rFonts w:ascii="Arial" w:cs="Arial" w:eastAsia="Arial" w:hAnsi="Arial"/>
          <w:sz w:val="18"/>
          <w:szCs w:val="18"/>
          <w:color w:val="auto"/>
        </w:rPr>
      </w:pPr>
    </w:p>
    <w:p>
      <w:pPr>
        <w:ind w:right="280" w:firstLine="921"/>
        <w:spacing w:after="0" w:line="264" w:lineRule="auto"/>
        <w:tabs>
          <w:tab w:leader="none" w:pos="109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execution, delivery and performance by Borrower of this Amendment and the Amended and Restated Notes (i) are within Borrower’s corporate powers, (ii) have been duly authorized by all necessary action pursuant to its Organizational Documents, (iii) require no further action by or in respect of, or filing with, any Government Authority, except for such</w:t>
      </w:r>
    </w:p>
    <w:p>
      <w:pPr>
        <w:sectPr>
          <w:pgSz w:w="11900" w:h="16838" w:orient="portrait"/>
          <w:cols w:equalWidth="0" w:num="1">
            <w:col w:w="11340"/>
          </w:cols>
          <w:pgMar w:left="240" w:top="274" w:right="319" w:bottom="1440" w:gutter="0" w:footer="0" w:header="0"/>
        </w:sectPr>
      </w:pPr>
    </w:p>
    <w:bookmarkStart w:id="245" w:name="page246"/>
    <w:bookmarkEnd w:id="24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registrations and filings in connection with the issuance of the shares of Common Stock pursuant to the Notes and (iv) do not violate, conflict with or cause a breach or a default under any provision of applicable law or regulation or of Borrower’s Organizational Documents or of any agreement, judgment, injunction, order, decree or other instrument binding upon Borrower, except to the extent such violation, conflict, breach or default would not individually or in the aggregate reasonably be expected to have a Material Adverse Effect;</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 This Amendment constitutes the valid and binding obligation of Borrower, enforceable against Borrower in accordance with its terms, except as enforceability may be limited by applicable bankruptcy, insolvency, or similar laws relating to the enforcement of creditor’s rights generally and by general equitable principles;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No Event of Default exists; and</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e. The shares of Common Stock issuable upon conversion of the Notes, have been duly authorized and when issued, delivered and paid for in accordance with the terms of the Notes, will have been validly issued and will be fully paid and nonassessable. There are no preemptive rights or other rights to subscribe for or to purchase, or any restriction upon the voting or transfer of any shares of Common Stock pursuant to the Borrower’s Organizational Documents or any agreements to which the Borrower or any of its Subsidiaries is a party or by which the Borrower or any of its Subsidiaries is bound.</w:t>
      </w:r>
    </w:p>
    <w:p>
      <w:pPr>
        <w:spacing w:after="0" w:line="154" w:lineRule="exact"/>
        <w:rPr>
          <w:sz w:val="20"/>
          <w:szCs w:val="20"/>
          <w:color w:val="auto"/>
        </w:rPr>
      </w:pPr>
    </w:p>
    <w:p>
      <w:pPr>
        <w:ind w:right="80" w:firstLine="464"/>
        <w:spacing w:after="0" w:line="271" w:lineRule="auto"/>
        <w:tabs>
          <w:tab w:leader="none" w:pos="63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No Further Amendments; Ratification of Liability</w:t>
      </w:r>
      <w:r>
        <w:rPr>
          <w:rFonts w:ascii="Arial" w:cs="Arial" w:eastAsia="Arial" w:hAnsi="Arial"/>
          <w:sz w:val="17"/>
          <w:szCs w:val="17"/>
          <w:color w:val="auto"/>
        </w:rPr>
        <w:t>. Except as amended hereby, the Facility Agreement and each of the other Transaction Documents shall remain in full force and effect in accordance with their respective terms. Borrower as debtor, grantor, pledgor, guarantor or assignor, or in any similar capacity in which it has granted Liens or acted as an accommodation party or guarantor, as the case may be, hereby ratifies, confirms and reaffirms its liabilities, its payment and performance obligations (contingent or otherwise) and its agreements under the Facility Agreement and the other Transaction Documents, all as amended by this Amendment, and the liens and security interests granted, created and perfected thereby. The Purchasers’ agreement to the terms of this Amendment or any other amendment of the Facility Agreement or any other Transaction Document shall not be deemed to establish or create a custom or course of dealing among Borrower, Purchasers, Assignees, or any of them. This Amendment, together with the other Transaction Documents, contains the entire agreement among Borrower, and Purchasers contemplated by this Amendment.</w:t>
      </w:r>
    </w:p>
    <w:p>
      <w:pPr>
        <w:spacing w:after="0" w:line="178" w:lineRule="exact"/>
        <w:rPr>
          <w:rFonts w:ascii="Arial" w:cs="Arial" w:eastAsia="Arial" w:hAnsi="Arial"/>
          <w:sz w:val="17"/>
          <w:szCs w:val="17"/>
          <w:color w:val="auto"/>
        </w:rPr>
      </w:pPr>
    </w:p>
    <w:p>
      <w:pPr>
        <w:ind w:right="80" w:firstLine="464"/>
        <w:spacing w:after="0" w:line="264" w:lineRule="auto"/>
        <w:tabs>
          <w:tab w:leader="none" w:pos="6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Purchaser Representation. The Purchasers hereby represent and warrant that the execution of this Amendment will not cause the Purchasers to own, or be treated as owning under the attribution rules of Section 871(h)(3)(C) of the Code, 10% or more of the total combined voting power of the stock of Borrower for purposes of Section 871(h)(3).</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xml:space="preserve"> The provisions of Article 6 of the Facility Agreement are incorporated herein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ind w:left="3060"/>
        <w:spacing w:after="0"/>
        <w:rPr>
          <w:rFonts w:ascii="Arial" w:cs="Arial" w:eastAsia="Arial" w:hAnsi="Arial"/>
          <w:sz w:val="17"/>
          <w:szCs w:val="17"/>
          <w:color w:val="auto"/>
        </w:rPr>
      </w:pPr>
      <w:r>
        <w:rPr>
          <w:rFonts w:ascii="Arial" w:cs="Arial" w:eastAsia="Arial" w:hAnsi="Arial"/>
          <w:sz w:val="18"/>
          <w:szCs w:val="18"/>
          <w:b w:val="1"/>
          <w:bCs w:val="1"/>
          <w:color w:val="auto"/>
        </w:rPr>
        <w:t>[Remainder of Page Intentionally Left Blank, signature page follows]</w:t>
      </w:r>
    </w:p>
    <w:p>
      <w:pPr>
        <w:sectPr>
          <w:pgSz w:w="11900" w:h="16838" w:orient="portrait"/>
          <w:cols w:equalWidth="0" w:num="1">
            <w:col w:w="11380"/>
          </w:cols>
          <w:pgMar w:left="240" w:top="274" w:right="2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set forth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PURCHASERS</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DEERFIELD PRIVATE DESIGN FUND II,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Deerfield Mgmt., L.P.,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J.E. Flynn Capital,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Clark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Clark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DEERFIELD PRIVATE DESIGN INTERNATIONAL II,</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Deerfield Mgmt., L.P.,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J.E. Flynn Capital,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Clark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Clark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960"/>
          </w:cols>
          <w:pgMar w:left="700" w:top="274" w:right="239" w:bottom="1440" w:gutter="0" w:footer="0" w:header="0"/>
        </w:sectPr>
      </w:pPr>
    </w:p>
    <w:bookmarkStart w:id="247" w:name="page248"/>
    <w:bookmarkEnd w:id="247"/>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Amended and Restated Notes</w:t>
      </w:r>
    </w:p>
    <w:p>
      <w:pPr>
        <w:sectPr>
          <w:pgSz w:w="11900" w:h="16838" w:orient="portrait"/>
          <w:cols w:equalWidth="0" w:num="1">
            <w:col w:w="9019"/>
          </w:cols>
          <w:pgMar w:left="1440" w:top="274" w:right="1440" w:bottom="1440" w:gutter="0" w:footer="0" w:header="0"/>
        </w:sectPr>
      </w:pPr>
    </w:p>
    <w:bookmarkStart w:id="248" w:name="page249"/>
    <w:bookmarkEnd w:id="248"/>
    <w:p>
      <w:pPr>
        <w:ind w:left="106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4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THIS NOTE IS BEING ISSUED WITH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THE FOLLOWING INFORMATION IS BEING PROVIDED PURSUANT TO TREASURY REGULATION SECTION 1.1275-3:</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PRICE: $</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AMOUNT OF OID: $</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DATE: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SENIOR SECURED CONVERTIBLE NOTE</w:t>
      </w:r>
    </w:p>
    <w:p>
      <w:pPr>
        <w:spacing w:after="0" w:line="256" w:lineRule="exact"/>
        <w:rPr>
          <w:sz w:val="20"/>
          <w:szCs w:val="20"/>
          <w:color w:val="auto"/>
        </w:rPr>
      </w:pPr>
    </w:p>
    <w:p>
      <w:pPr>
        <w:spacing w:after="0"/>
        <w:tabs>
          <w:tab w:leader="none" w:pos="9720" w:val="left"/>
          <w:tab w:leader="none" w:pos="11340" w:val="left"/>
        </w:tabs>
        <w:rPr>
          <w:sz w:val="20"/>
          <w:szCs w:val="20"/>
          <w:color w:val="auto"/>
        </w:rPr>
      </w:pPr>
      <w:r>
        <w:rPr>
          <w:rFonts w:ascii="Arial" w:cs="Arial" w:eastAsia="Arial" w:hAnsi="Arial"/>
          <w:sz w:val="18"/>
          <w:szCs w:val="18"/>
          <w:color w:val="auto"/>
        </w:rPr>
        <w:t>Issuance Date: [July 1] December 9, 2013</w:t>
      </w:r>
      <w:r>
        <w:rPr>
          <w:sz w:val="20"/>
          <w:szCs w:val="20"/>
          <w:color w:val="auto"/>
        </w:rPr>
        <w:tab/>
      </w:r>
      <w:r>
        <w:rPr>
          <w:rFonts w:ascii="Arial" w:cs="Arial" w:eastAsia="Arial" w:hAnsi="Arial"/>
          <w:sz w:val="18"/>
          <w:szCs w:val="18"/>
          <w:color w:val="auto"/>
        </w:rPr>
        <w:t>Principal: U.S.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FOR VALUE RECEIVED, MANNKIND CORPORATION, </w:t>
      </w: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promises to pay to</w:t>
      </w:r>
    </w:p>
    <w:p>
      <w:pPr>
        <w:spacing w:after="0" w:line="2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 or its registered assigns (the “</w:t>
      </w:r>
      <w:r>
        <w:rPr>
          <w:rFonts w:ascii="Arial" w:cs="Arial" w:eastAsia="Arial" w:hAnsi="Arial"/>
          <w:sz w:val="17"/>
          <w:szCs w:val="17"/>
          <w:b w:val="1"/>
          <w:bCs w:val="1"/>
          <w:color w:val="auto"/>
        </w:rPr>
        <w:t>Holder</w:t>
      </w:r>
      <w:r>
        <w:rPr>
          <w:rFonts w:ascii="Arial" w:cs="Arial" w:eastAsia="Arial" w:hAnsi="Arial"/>
          <w:sz w:val="17"/>
          <w:szCs w:val="17"/>
          <w:color w:val="auto"/>
        </w:rPr>
        <w:t>”) the principal amount of [ ] Dollars ($[ ]) (the “</w:t>
      </w:r>
      <w:r>
        <w:rPr>
          <w:rFonts w:ascii="Arial" w:cs="Arial" w:eastAsia="Arial" w:hAnsi="Arial"/>
          <w:sz w:val="17"/>
          <w:szCs w:val="17"/>
          <w:b w:val="1"/>
          <w:bCs w:val="1"/>
          <w:color w:val="auto"/>
        </w:rPr>
        <w:t>Principal</w:t>
      </w:r>
      <w:r>
        <w:rPr>
          <w:rFonts w:ascii="Arial" w:cs="Arial" w:eastAsia="Arial" w:hAnsi="Arial"/>
          <w:sz w:val="17"/>
          <w:szCs w:val="17"/>
          <w:color w:val="auto"/>
        </w:rPr>
        <w:t>”) pursuant to, and in accordance with, the terms of that certain Facility Agreement, dated as of July 1, 2013, as amended on February 28, 2014, by and among the Company and the Purchasers party thereto (together with all exhibits and schedules thereto and as may be amended, restated, modified and supplemented from time to time, the “</w:t>
      </w:r>
      <w:r>
        <w:rPr>
          <w:rFonts w:ascii="Arial" w:cs="Arial" w:eastAsia="Arial" w:hAnsi="Arial"/>
          <w:sz w:val="17"/>
          <w:szCs w:val="17"/>
          <w:b w:val="1"/>
          <w:bCs w:val="1"/>
          <w:color w:val="auto"/>
        </w:rPr>
        <w:t>Facility Agreement</w:t>
      </w:r>
      <w:r>
        <w:rPr>
          <w:rFonts w:ascii="Arial" w:cs="Arial" w:eastAsia="Arial" w:hAnsi="Arial"/>
          <w:sz w:val="17"/>
          <w:szCs w:val="17"/>
          <w:color w:val="auto"/>
        </w:rPr>
        <w:t>”). The Company hereby promises to pay accrued and unpaid Interest (as defined below) and premium, if any, on the Principal on the dates, at the rates and in the manner provided for in the Facility Agreement. This Senior Secured Convertible Note (including all Senior Secured Convertible Notes issued in exchange, transfer or replacement hereof, and as any of the foregoing may be amended, restated, supplemented or otherwise modified from time, this “</w:t>
      </w:r>
      <w:r>
        <w:rPr>
          <w:rFonts w:ascii="Arial" w:cs="Arial" w:eastAsia="Arial" w:hAnsi="Arial"/>
          <w:sz w:val="17"/>
          <w:szCs w:val="17"/>
          <w:b w:val="1"/>
          <w:bCs w:val="1"/>
          <w:color w:val="auto"/>
        </w:rPr>
        <w:t>Note</w:t>
      </w:r>
      <w:r>
        <w:rPr>
          <w:rFonts w:ascii="Arial" w:cs="Arial" w:eastAsia="Arial" w:hAnsi="Arial"/>
          <w:sz w:val="17"/>
          <w:szCs w:val="17"/>
          <w:color w:val="auto"/>
        </w:rPr>
        <w:t>”) is one of the Senior Secured Convertible Notes issued pursuant to the Facility</w:t>
      </w:r>
    </w:p>
    <w:p>
      <w:pPr>
        <w:sectPr>
          <w:pgSz w:w="11900" w:h="16838" w:orient="portrait"/>
          <w:cols w:equalWidth="0" w:num="1">
            <w:col w:w="11420"/>
          </w:cols>
          <w:pgMar w:left="240" w:top="270" w:right="239" w:bottom="1440" w:gutter="0" w:footer="0" w:header="0"/>
        </w:sectPr>
      </w:pPr>
    </w:p>
    <w:bookmarkStart w:id="249" w:name="page250"/>
    <w:bookmarkEnd w:id="24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(collectively, including Senior Secured Convertible Notes to be issued pursuant to the Facility Agreement in the future, all Senior Secured Convertible Notes issued in exchange, transfer or replacement thereof, as well as any of the foregoing may be amended, restated, supplemented or otherwise modified from time to time, the “</w:t>
      </w:r>
      <w:r>
        <w:rPr>
          <w:rFonts w:ascii="Arial" w:cs="Arial" w:eastAsia="Arial" w:hAnsi="Arial"/>
          <w:sz w:val="18"/>
          <w:szCs w:val="18"/>
          <w:b w:val="1"/>
          <w:bCs w:val="1"/>
          <w:color w:val="auto"/>
        </w:rPr>
        <w:t>Notes</w:t>
      </w:r>
      <w:r>
        <w:rPr>
          <w:rFonts w:ascii="Arial" w:cs="Arial" w:eastAsia="Arial" w:hAnsi="Arial"/>
          <w:sz w:val="18"/>
          <w:szCs w:val="18"/>
          <w:color w:val="auto"/>
        </w:rPr>
        <w:t>”). All capitalized terms used and not otherwise defined herein shall have the respective meanings set forth in the Facility Agreement.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as expressly provided in the Facility Agreement, the Company has no right, but under certain circumstances may have an obligation, to make payments of Principal prior to the Final Payment Date. At any time an Event of Default exists, the Principal of this Note, together with all accrued and unpaid Interest and any applicable premium due, if any, may be declared, or shall otherwise become, due and payable in the manner, at the price and with the effect provided in the Facility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Note, the following terms shall have the following meanings:</w:t>
      </w:r>
    </w:p>
    <w:p>
      <w:pPr>
        <w:spacing w:after="0" w:line="221"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or entity that, directly or indirectly through one or more intermediaries, controls or is controlled by or is under common 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Principal amount to be converted.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Commencement Date</w:t>
      </w:r>
      <w:r>
        <w:rPr>
          <w:rFonts w:ascii="Arial" w:cs="Arial" w:eastAsia="Arial" w:hAnsi="Arial"/>
          <w:sz w:val="16"/>
          <w:szCs w:val="16"/>
          <w:color w:val="auto"/>
        </w:rPr>
        <w:t>” means the eleventh full Trading Day following the public release by the Company of Phase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III Data for the Product.</w:t>
      </w:r>
    </w:p>
    <w:p>
      <w:pPr>
        <w:spacing w:after="0" w:line="20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Price</w:t>
      </w:r>
      <w:r>
        <w:rPr>
          <w:rFonts w:ascii="Arial" w:cs="Arial" w:eastAsia="Arial" w:hAnsi="Arial"/>
          <w:sz w:val="16"/>
          <w:szCs w:val="16"/>
          <w:color w:val="auto"/>
        </w:rPr>
        <w:t>” means, as of any Conversion Date the average of the Volume Weighted Average Prices per Share for the three</w:t>
      </w:r>
    </w:p>
    <w:p>
      <w:pPr>
        <w:spacing w:after="0" w:line="50" w:lineRule="exact"/>
        <w:rPr>
          <w:sz w:val="20"/>
          <w:szCs w:val="20"/>
          <w:color w:val="auto"/>
        </w:rPr>
      </w:pPr>
    </w:p>
    <w:p>
      <w:pPr>
        <w:ind w:right="60" w:firstLine="8"/>
        <w:spacing w:after="0" w:line="253" w:lineRule="auto"/>
        <w:tabs>
          <w:tab w:leader="none" w:pos="2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Trading Day period immediately preceding the Conversion Date (the “</w:t>
      </w:r>
      <w:r>
        <w:rPr>
          <w:rFonts w:ascii="Arial" w:cs="Arial" w:eastAsia="Arial" w:hAnsi="Arial"/>
          <w:sz w:val="18"/>
          <w:szCs w:val="18"/>
          <w:b w:val="1"/>
          <w:bCs w:val="1"/>
          <w:color w:val="auto"/>
        </w:rPr>
        <w:t>Measurement Period</w:t>
      </w:r>
      <w:r>
        <w:rPr>
          <w:rFonts w:ascii="Arial" w:cs="Arial" w:eastAsia="Arial" w:hAnsi="Arial"/>
          <w:sz w:val="18"/>
          <w:szCs w:val="18"/>
          <w:color w:val="auto"/>
        </w:rPr>
        <w:t>”), provided, that in the event that a stock split, stock combination, reclassification, payment of stock dividend, recapitalization or other similar transaction of such character that the Shares shall be changed into or become exchangeable for a larger or small number of shares (a “</w:t>
      </w:r>
      <w:r>
        <w:rPr>
          <w:rFonts w:ascii="Arial" w:cs="Arial" w:eastAsia="Arial" w:hAnsi="Arial"/>
          <w:sz w:val="18"/>
          <w:szCs w:val="18"/>
          <w:b w:val="1"/>
          <w:bCs w:val="1"/>
          <w:color w:val="auto"/>
        </w:rPr>
        <w:t>Stock Event</w:t>
      </w:r>
      <w:r>
        <w:rPr>
          <w:rFonts w:ascii="Arial" w:cs="Arial" w:eastAsia="Arial" w:hAnsi="Arial"/>
          <w:sz w:val="18"/>
          <w:szCs w:val="18"/>
          <w:color w:val="auto"/>
        </w:rPr>
        <w:t>”) is consummated during the Measurement Period, the Volume Weighted Average Price for all Trading Days during the Measurement Period prior to the effectiveness of the Stock Event shall be appropriately adjusted to reflect such Stock Event.</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w:t>
      </w:r>
      <w:r>
        <w:rPr>
          <w:rFonts w:ascii="Arial" w:cs="Arial" w:eastAsia="Arial" w:hAnsi="Arial"/>
          <w:sz w:val="16"/>
          <w:szCs w:val="16"/>
          <w:color w:val="auto"/>
        </w:rPr>
        <w:t>” means any interest (including any default interest) accrued on the Principal pursuant to the terms of this Note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Facility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50" w:name="page251"/>
    <w:bookmarkEnd w:id="250"/>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Issuance Date</w:t>
      </w:r>
      <w:r>
        <w:rPr>
          <w:rFonts w:ascii="Arial" w:cs="Arial" w:eastAsia="Arial" w:hAnsi="Arial"/>
          <w:sz w:val="18"/>
          <w:szCs w:val="18"/>
          <w:color w:val="auto"/>
        </w:rPr>
        <w:t>” means [July 1] [December 9], 2013, regardless of any exchange or replacement hereof.</w:t>
      </w:r>
    </w:p>
    <w:p>
      <w:pPr>
        <w:spacing w:after="0" w:line="225" w:lineRule="exact"/>
        <w:rPr>
          <w:sz w:val="20"/>
          <w:szCs w:val="20"/>
          <w:color w:val="auto"/>
        </w:rPr>
      </w:pPr>
    </w:p>
    <w:p>
      <w:pPr>
        <w:ind w:right="360" w:firstLine="1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Pharmaceutical Company</w:t>
      </w:r>
      <w:r>
        <w:rPr>
          <w:rFonts w:ascii="Arial" w:cs="Arial" w:eastAsia="Arial" w:hAnsi="Arial"/>
          <w:sz w:val="18"/>
          <w:szCs w:val="18"/>
          <w:color w:val="auto"/>
        </w:rPr>
        <w:t>” means any Person engaged in the pharmaceutical or biotechnology industry who, for the immediately preceding fiscal year, had total revenues in excess of $2,000,000,000 (or its equivalent in another currency).</w:t>
      </w:r>
    </w:p>
    <w:p>
      <w:pPr>
        <w:spacing w:after="0" w:line="162" w:lineRule="exact"/>
        <w:rPr>
          <w:sz w:val="20"/>
          <w:szCs w:val="20"/>
          <w:color w:val="auto"/>
        </w:rPr>
      </w:pPr>
    </w:p>
    <w:p>
      <w:pPr>
        <w:jc w:val="both"/>
        <w:ind w:right="60" w:firstLine="19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trading day and any security, (a) a failure by the Principal Market to open for trading during its entire regular trading session, (b) the occurrence or existence prior to 1:00 p.m., New York City time, on such day for such securities for more than one half-hour period in the aggregate during regular trading hours of any suspension or limitation imposed on trading (by reason of movements in price exceeding limits permitted by the relevant securities exchange or otherwise) in such securities or in any options, contracts or future contracts relating to such securities, or (c) to the extent “Volume Weighted Average Price” is determined in accordance with clause (b) of the definition thereof, the suspension of trading for the one-half hour period ending on the scheduled close of trading on such day (by reason of movements in price exceeding limits permitted by the stock exchange or otherwise) in such securities.</w:t>
      </w:r>
    </w:p>
    <w:p>
      <w:pPr>
        <w:spacing w:after="0" w:line="17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means the outstanding principal amount of this Note as of any date of determination.</w:t>
      </w:r>
    </w:p>
    <w:p>
      <w:pPr>
        <w:spacing w:after="0" w:line="225" w:lineRule="exact"/>
        <w:rPr>
          <w:sz w:val="20"/>
          <w:szCs w:val="20"/>
          <w:color w:val="auto"/>
        </w:rPr>
      </w:pPr>
    </w:p>
    <w:p>
      <w:pPr>
        <w:ind w:firstLine="19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Failure</w:t>
      </w:r>
      <w:r>
        <w:rPr>
          <w:rFonts w:ascii="Arial" w:cs="Arial" w:eastAsia="Arial" w:hAnsi="Arial"/>
          <w:sz w:val="17"/>
          <w:szCs w:val="17"/>
          <w:color w:val="auto"/>
        </w:rPr>
        <w:t>” means that (A) the Company fails to file with the SEC on or before the Filing Deadline (as defined in the Registration Rights Agreement) any Registration Statement required to be filed pursuant to Section 2(a) of the Registration Rights Agreement registering Conversion Shares, (B) the Company fails to use its best efforts to obtain effectiveness with the SEC, prior to the Registration Deadline (as defined in the Registration Rights Agreement), of any Registration Statement (as defined in the Registration Rights Agreement) that is required to be filed pursuant to Section 2(a) of the Registration Rights Agreement registering Conversion Shares, or fails to use its best efforts to keep such Registration Statement current and effective as required in Section 3 of the Registration Rights Agreement, (C) the Company fails to file any additional Registration Statements required to be filed pursuant to Section 2(a)(ii) of the Registration Rights Agreement registering Conversion Shares on or before the Additional Filing Deadline or fails to use its best efforts to cause such new Registration Statement to become effective on or before the Additional Registration Deadline, (D) any Registration Statement required to be filed under the Registration Rights Agreement registering Conversion Shares, after its initial effectiveness and during the Registration Period (as defined in the Registration Rights Agreement), lapses in effect or sales of any Conversion Shares constituting Registrable Securities (as defined in the Registration Rights Agreement) cannot otherwise be made thereunder (whether by reason of the Company’s failure to amend or supplement the prospectus included therein in accordance with the Registration Rights Agreement, the Company’s failure to file and to obtain effectiveness with the SEC of an additional Registration Statement registering Conversion Shares or amended Registration Statement required pursuant to Sections 2(a)(ii) or 3(b) of the Registration Rights Agreement, as applicable, or otherwise), other than in each case as permitted pursuant to Section 3(q) of the Registration Rights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51" w:name="page252"/>
    <w:bookmarkEnd w:id="25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Required Note Holders</w:t>
      </w:r>
      <w:r>
        <w:rPr>
          <w:rFonts w:ascii="Arial" w:cs="Arial" w:eastAsia="Arial" w:hAnsi="Arial"/>
          <w:sz w:val="18"/>
          <w:szCs w:val="18"/>
          <w:color w:val="auto"/>
        </w:rPr>
        <w:t>” means Holders of at least 51% in interest of the Notes.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Common Stock, $0.01 par value.</w:t>
      </w:r>
    </w:p>
    <w:p>
      <w:pPr>
        <w:spacing w:after="0" w:line="225" w:lineRule="exact"/>
        <w:rPr>
          <w:sz w:val="20"/>
          <w:szCs w:val="20"/>
          <w:color w:val="auto"/>
        </w:rPr>
      </w:pPr>
    </w:p>
    <w:p>
      <w:pPr>
        <w:ind w:right="240" w:firstLine="19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for any period on the Principal Market; provided that for purposes of the definition of “Conversion Shares”, Trading Day shall not include any Trading Day on which there is a Market Disruption Event. .</w:t>
      </w:r>
    </w:p>
    <w:p>
      <w:pPr>
        <w:spacing w:after="0" w:line="138" w:lineRule="exact"/>
        <w:rPr>
          <w:sz w:val="20"/>
          <w:szCs w:val="20"/>
          <w:color w:val="auto"/>
        </w:rPr>
      </w:pPr>
    </w:p>
    <w:p>
      <w:pPr>
        <w:ind w:firstLine="19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 Weighted Average Price</w:t>
      </w:r>
      <w:r>
        <w:rPr>
          <w:rFonts w:ascii="Arial" w:cs="Arial" w:eastAsia="Arial" w:hAnsi="Arial"/>
          <w:sz w:val="17"/>
          <w:szCs w:val="17"/>
          <w:color w:val="auto"/>
        </w:rPr>
        <w:t>” for any security as of any Trading Day means (a) the volume weighted average sale price of such security on the principal U.S. national or regional securities exchange on which such security is traded as reported by Bloomberg Financial Markets or an equivalent, reliable reporting service mutually acceptable to and hereinafter designated by the Required Note Holders and the Company (“</w:t>
      </w:r>
      <w:r>
        <w:rPr>
          <w:rFonts w:ascii="Arial" w:cs="Arial" w:eastAsia="Arial" w:hAnsi="Arial"/>
          <w:sz w:val="17"/>
          <w:szCs w:val="17"/>
          <w:b w:val="1"/>
          <w:bCs w:val="1"/>
          <w:color w:val="auto"/>
        </w:rPr>
        <w:t>Bloomberg</w:t>
      </w:r>
      <w:r>
        <w:rPr>
          <w:rFonts w:ascii="Arial" w:cs="Arial" w:eastAsia="Arial" w:hAnsi="Arial"/>
          <w:sz w:val="17"/>
          <w:szCs w:val="17"/>
          <w:color w:val="auto"/>
        </w:rPr>
        <w:t>”) or (b), if no volume weighted average sale price is reported for such security, then the closing price per share of such security, or, if no closing price per share is reported for such security by Bloomberg, the average of the last bid and last ask price (or if more than one in either case, the average of the average last bid and average last ask prices) on such Trading Day as reported in the composite transactions for the principal U.S. national or regional securities exchange on which such security is traded. If the security is not listed for trading on a U.S. national or regional securities exchange on the relevant Trading Day, then the Volume Weighted Average Price will be the average of the mid-point of the last bid and last ask prices of the security in the over-the-counter market on the relevant Trading Day as reported by the OTC Markets Group, Inc. or similar organization. If the Volume Weighted Average Price cannot be calculated for such security on such date in the manner provided above, the Volume Weighted Average Price shall be the fair market value as mutually determined by the Company and the Holders of a majority in interest of the Notes being converted for which the calculation of the Volume Weighted Average Price is required in order to determine the Conversion Price of such Notes. Volume Weighted Average Price will be determine without regard to after-hours trading or any other trading outside of the regular trading hours.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Conversion Rights</w:t>
      </w:r>
      <w:r>
        <w:rPr>
          <w:rFonts w:ascii="Arial" w:cs="Arial" w:eastAsia="Arial" w:hAnsi="Arial"/>
          <w:sz w:val="18"/>
          <w:szCs w:val="18"/>
          <w:color w:val="auto"/>
        </w:rPr>
        <w:t xml:space="preserve">. This Note may be converted into Shares on the terms and conditions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60" w:firstLine="1484"/>
        <w:spacing w:after="0" w:line="255" w:lineRule="auto"/>
        <w:rPr>
          <w:sz w:val="20"/>
          <w:szCs w:val="20"/>
          <w:color w:val="auto"/>
        </w:rPr>
      </w:pPr>
      <w:r>
        <w:rPr>
          <w:rFonts w:ascii="Arial" w:cs="Arial" w:eastAsia="Arial" w:hAnsi="Arial"/>
          <w:sz w:val="18"/>
          <w:szCs w:val="18"/>
          <w:u w:val="single" w:color="auto"/>
          <w:color w:val="auto"/>
        </w:rPr>
        <w:t>Conversion at Option of the Holder</w:t>
      </w:r>
      <w:r>
        <w:rPr>
          <w:rFonts w:ascii="Arial" w:cs="Arial" w:eastAsia="Arial" w:hAnsi="Arial"/>
          <w:sz w:val="18"/>
          <w:szCs w:val="18"/>
          <w:color w:val="auto"/>
        </w:rPr>
        <w:t>. On and after the Conversion Commencement Date and until the close of business on the second business day immediately prior to the Final Payment Date, the Holder shall be entitled to convert all or any part of the Principal into fully paid and nonassessable Shares (the “</w:t>
      </w:r>
      <w:r>
        <w:rPr>
          <w:rFonts w:ascii="Arial" w:cs="Arial" w:eastAsia="Arial" w:hAnsi="Arial"/>
          <w:sz w:val="18"/>
          <w:szCs w:val="18"/>
          <w:b w:val="1"/>
          <w:bCs w:val="1"/>
          <w:color w:val="auto"/>
        </w:rPr>
        <w:t>Conversion Shares</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at the Conversion Rate (as defined in </w:t>
      </w:r>
      <w:r>
        <w:rPr>
          <w:rFonts w:ascii="Arial" w:cs="Arial" w:eastAsia="Arial" w:hAnsi="Arial"/>
          <w:sz w:val="18"/>
          <w:szCs w:val="18"/>
          <w:u w:val="single" w:color="auto"/>
          <w:color w:val="auto"/>
        </w:rPr>
        <w:t>Section 2(b)</w:t>
      </w:r>
      <w:r>
        <w:rPr>
          <w:rFonts w:ascii="Arial" w:cs="Arial" w:eastAsia="Arial" w:hAnsi="Arial"/>
          <w:sz w:val="18"/>
          <w:szCs w:val="18"/>
          <w:color w:val="auto"/>
        </w:rPr>
        <w:t>); provided that, unless otherwise agreed to by the Company, the Holder shall not be entitled to convert any Principal if the Conversion Price is less than $5.00 per Share [or if the Tranche 3 Notes (as defined in the Facility Agreement) have not been converted in full]</w:t>
      </w:r>
      <w:r>
        <w:rPr>
          <w:rFonts w:ascii="Arial" w:cs="Arial" w:eastAsia="Arial" w:hAnsi="Arial"/>
          <w:sz w:val="15"/>
          <w:szCs w:val="15"/>
          <w:u w:val="single" w:color="auto"/>
          <w:color w:val="auto"/>
        </w:rPr>
        <w:t>1</w:t>
      </w:r>
      <w:r>
        <w:rPr>
          <w:rFonts w:ascii="Arial" w:cs="Arial" w:eastAsia="Arial" w:hAnsi="Arial"/>
          <w:sz w:val="18"/>
          <w:szCs w:val="18"/>
          <w:color w:val="auto"/>
        </w:rPr>
        <w:t>. The Company shall not issue any fraction of a Share upon any conversion. If the issuance would result in the issuance of a fraction of a Share, then the Company shall round such fraction of a Share up or down to the nearest whole share (with 0.5 rounded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8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220" w:hanging="212"/>
        <w:spacing w:after="0"/>
        <w:tabs>
          <w:tab w:leader="none" w:pos="220" w:val="left"/>
        </w:tabs>
        <w:numPr>
          <w:ilvl w:val="0"/>
          <w:numId w:val="185"/>
        </w:numPr>
        <w:rPr>
          <w:rFonts w:ascii="Arial" w:cs="Arial" w:eastAsia="Arial" w:hAnsi="Arial"/>
          <w:sz w:val="15"/>
          <w:szCs w:val="15"/>
          <w:u w:val="single" w:color="auto"/>
          <w:color w:val="auto"/>
        </w:rPr>
      </w:pPr>
      <w:r>
        <w:rPr>
          <w:rFonts w:ascii="Arial" w:cs="Arial" w:eastAsia="Arial" w:hAnsi="Arial"/>
          <w:sz w:val="18"/>
          <w:szCs w:val="18"/>
          <w:color w:val="auto"/>
        </w:rPr>
        <w:t>Include bracketed language in the Tranche 1 Notes only.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252" w:name="page253"/>
    <w:bookmarkEnd w:id="252"/>
    <w:p>
      <w:pPr>
        <w:ind w:right="20" w:firstLine="1484"/>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Rate</w:t>
      </w:r>
      <w:r>
        <w:rPr>
          <w:rFonts w:ascii="Arial" w:cs="Arial" w:eastAsia="Arial" w:hAnsi="Arial"/>
          <w:sz w:val="18"/>
          <w:szCs w:val="18"/>
          <w:color w:val="auto"/>
        </w:rPr>
        <w:t xml:space="preserve">. The number of Conversion Shares issuable upon a conversion of any portion of this Note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determined according to the following formula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-10160</wp:posOffset>
            </wp:positionV>
            <wp:extent cx="16097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0972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this Note shall be conducted in the following manner:</w:t>
      </w:r>
    </w:p>
    <w:p>
      <w:pPr>
        <w:spacing w:after="0" w:line="221" w:lineRule="exact"/>
        <w:rPr>
          <w:sz w:val="20"/>
          <w:szCs w:val="20"/>
          <w:color w:val="auto"/>
        </w:rPr>
      </w:pPr>
    </w:p>
    <w:p>
      <w:pPr>
        <w:ind w:right="40" w:firstLine="1940"/>
        <w:spacing w:after="0" w:line="289" w:lineRule="auto"/>
        <w:rPr>
          <w:sz w:val="20"/>
          <w:szCs w:val="20"/>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To convert a Conversion Amount into Conversion Shares on any date (the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(A) transmit by facsimile or electronic mail (or otherwise deliver), for receipt on or prior to 5:00 p.m. New York City time on such date, a copy of an executed conversion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Company (</w:t>
      </w:r>
      <w:r>
        <w:rPr>
          <w:rFonts w:ascii="Arial" w:cs="Arial" w:eastAsia="Arial" w:hAnsi="Arial"/>
          <w:sz w:val="16"/>
          <w:szCs w:val="16"/>
          <w:u w:val="single" w:color="auto"/>
          <w:color w:val="auto"/>
        </w:rPr>
        <w:t>Attention</w:t>
      </w:r>
      <w:r>
        <w:rPr>
          <w:rFonts w:ascii="Arial" w:cs="Arial" w:eastAsia="Arial" w:hAnsi="Arial"/>
          <w:sz w:val="16"/>
          <w:szCs w:val="16"/>
          <w:color w:val="auto"/>
        </w:rPr>
        <w:t xml:space="preserve">: Matthew Pfeffer, </w:t>
      </w:r>
      <w:r>
        <w:rPr>
          <w:rFonts w:ascii="Arial" w:cs="Arial" w:eastAsia="Arial" w:hAnsi="Arial"/>
          <w:sz w:val="16"/>
          <w:szCs w:val="16"/>
          <w:u w:val="single" w:color="auto"/>
          <w:color w:val="auto"/>
        </w:rPr>
        <w:t>Fax</w:t>
      </w:r>
      <w:r>
        <w:rPr>
          <w:rFonts w:ascii="Arial" w:cs="Arial" w:eastAsia="Arial" w:hAnsi="Arial"/>
          <w:sz w:val="16"/>
          <w:szCs w:val="16"/>
          <w:color w:val="auto"/>
        </w:rPr>
        <w:t>:</w:t>
      </w:r>
    </w:p>
    <w:p>
      <w:pPr>
        <w:spacing w:after="0" w:line="2" w:lineRule="exact"/>
        <w:rPr>
          <w:sz w:val="20"/>
          <w:szCs w:val="20"/>
          <w:color w:val="auto"/>
        </w:rPr>
      </w:pPr>
    </w:p>
    <w:p>
      <w:pPr>
        <w:ind w:right="20" w:firstLine="8"/>
        <w:spacing w:after="0" w:line="255" w:lineRule="auto"/>
        <w:tabs>
          <w:tab w:leader="none" w:pos="4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775-2099, </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mpfeffer@mannkindcorp.com), and (B) if required by </w:t>
      </w:r>
      <w:r>
        <w:rPr>
          <w:rFonts w:ascii="Arial" w:cs="Arial" w:eastAsia="Arial" w:hAnsi="Arial"/>
          <w:sz w:val="18"/>
          <w:szCs w:val="18"/>
          <w:u w:val="single" w:color="auto"/>
          <w:color w:val="auto"/>
        </w:rPr>
        <w:t>Section 2(c)(vi)</w:t>
      </w:r>
      <w:r>
        <w:rPr>
          <w:rFonts w:ascii="Arial" w:cs="Arial" w:eastAsia="Arial" w:hAnsi="Arial"/>
          <w:sz w:val="18"/>
          <w:szCs w:val="18"/>
          <w:color w:val="auto"/>
        </w:rPr>
        <w:t>, surrender to a common carrier for delivery to the Company, no later than three (3) Business Days after the Conversion Date, the original Note being converted (or an indemnification undertaking in customary form with respect to this Note in the case of its loss, theft or destruction).</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16"/>
          <w:szCs w:val="16"/>
          <w:u w:val="single" w:color="auto"/>
          <w:color w:val="auto"/>
        </w:rPr>
        <w:t>Company’s Response</w:t>
      </w:r>
      <w:r>
        <w:rPr>
          <w:rFonts w:ascii="Arial" w:cs="Arial" w:eastAsia="Arial" w:hAnsi="Arial"/>
          <w:sz w:val="16"/>
          <w:szCs w:val="16"/>
          <w:color w:val="auto"/>
        </w:rPr>
        <w:t>. Upon receipt or deemed receipt by the Company of a copy of a Conversion Notice, the Company (I)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immediately send, via facsimile, a confirmation of receipt of such Conversion Notice to the Holder and the Company’s designated transfer agent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w:t>
      </w:r>
      <w:r>
        <w:rPr>
          <w:rFonts w:ascii="Arial" w:cs="Arial" w:eastAsia="Arial" w:hAnsi="Arial"/>
          <w:sz w:val="16"/>
          <w:szCs w:val="16"/>
          <w:color w:val="auto"/>
        </w:rPr>
        <w:t>”), which confirmation shall constitute an instruction to the Transfer Agent to process such Conversion Notice in accordance with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and (II) on or before the second (2</w:t>
      </w:r>
      <w:r>
        <w:rPr>
          <w:rFonts w:ascii="Arial" w:cs="Arial" w:eastAsia="Arial" w:hAnsi="Arial"/>
          <w:sz w:val="13"/>
          <w:szCs w:val="13"/>
          <w:color w:val="auto"/>
        </w:rPr>
        <w:t>nd</w:t>
      </w:r>
      <w:r>
        <w:rPr>
          <w:rFonts w:ascii="Arial" w:cs="Arial" w:eastAsia="Arial" w:hAnsi="Arial"/>
          <w:sz w:val="16"/>
          <w:szCs w:val="16"/>
          <w:color w:val="auto"/>
        </w:rPr>
        <w:t>) Business Day following the date of receipt or deemed receipt by the Company of such Conversion Notice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 Delivery Date</w:t>
      </w:r>
      <w:r>
        <w:rPr>
          <w:rFonts w:ascii="Arial" w:cs="Arial" w:eastAsia="Arial" w:hAnsi="Arial"/>
          <w:sz w:val="16"/>
          <w:szCs w:val="16"/>
          <w:color w:val="auto"/>
        </w:rPr>
        <w:t>”) (A)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and provided that the Holder is eligible to receive Shares through DTC, credit such aggregate number of Conversion Shares to which the Holder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entitled to the Holder’s or its designee’s balance account with DTC through its Deposit Withdrawal Agent Commission system, or (B) if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foregoing shall not apply, issue and deliver to the address as specified in the Conversion Notice, a stock certificate, registered in the name of the Holder or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designee, for the number of Conversion Shares to which the Holder shall be entitled. If notwithstanding the provisions of </w:t>
      </w:r>
      <w:r>
        <w:rPr>
          <w:rFonts w:ascii="Arial" w:cs="Arial" w:eastAsia="Arial" w:hAnsi="Arial"/>
          <w:sz w:val="16"/>
          <w:szCs w:val="16"/>
          <w:u w:val="single" w:color="auto"/>
          <w:color w:val="auto"/>
        </w:rPr>
        <w:t>Section 2(c)(vi)</w:t>
      </w:r>
      <w:r>
        <w:rPr>
          <w:rFonts w:ascii="Arial" w:cs="Arial" w:eastAsia="Arial" w:hAnsi="Arial"/>
          <w:sz w:val="16"/>
          <w:szCs w:val="16"/>
          <w:color w:val="auto"/>
        </w:rPr>
        <w:t>, the Holder elects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physically surrender this Note for conversion and the Principal represented by this Note is greater than the Principal being converted, then the Company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soon as practicable and in no event later than three (3) Business Days after receipt of this Note (the “</w:t>
      </w:r>
      <w:r>
        <w:rPr>
          <w:rFonts w:ascii="Arial" w:cs="Arial" w:eastAsia="Arial" w:hAnsi="Arial"/>
          <w:sz w:val="16"/>
          <w:szCs w:val="16"/>
          <w:b w:val="1"/>
          <w:bCs w:val="1"/>
          <w:color w:val="auto"/>
        </w:rPr>
        <w:t>Note Delivery Date</w:t>
      </w:r>
      <w:r>
        <w:rPr>
          <w:rFonts w:ascii="Arial" w:cs="Arial" w:eastAsia="Arial" w:hAnsi="Arial"/>
          <w:sz w:val="16"/>
          <w:szCs w:val="16"/>
          <w:color w:val="auto"/>
        </w:rPr>
        <w:t>”) and at its own expense,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deliver to the Holder a new Note representing the Principal not converted and cancel this Note. The Conversion Shares will be freely transferable and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contain a legend restricting the resale or transferability of the Conversion Shares if the Unrestricted Conditions (as defined below) are met.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53" w:name="page254"/>
    <w:bookmarkEnd w:id="253"/>
    <w:p>
      <w:pPr>
        <w:ind w:firstLine="1940"/>
        <w:spacing w:after="0" w:line="28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Resolution</w:t>
      </w:r>
      <w:r>
        <w:rPr>
          <w:rFonts w:ascii="Arial" w:cs="Arial" w:eastAsia="Arial" w:hAnsi="Arial"/>
          <w:sz w:val="16"/>
          <w:szCs w:val="16"/>
          <w:color w:val="auto"/>
        </w:rPr>
        <w:t>. In the case of a dispute as to the determination of the Conversion Price or the arithmetic calculation of the Conversion Rate, the Company shall instruct the Transfer Agent to issue to the Holder the number of Conversion Shares that is not disputed and shall transmit an explanation of the disputed determinations or arithmetic calculations to the Holder via facsimile within two (2) Business Days of receipt or deemed receipt of the Holder’s Conversion Notice or other date of determination. If the Holder and the Company are unable to agree upon the determination of the Conversion Price or arithmetic calculation of the Conversion Rate within one (1) Business Day of such disputed determination or arithmetic calculation being transmitted to the Holder, then the Company shall promptly (and in any event within two (2) Business Days) submit via facsimile (A) the disputed determination of the Conversion Price to an independent, reputable investment banking firm agreed to by the Company and the Required Note Holders, or</w:t>
      </w:r>
    </w:p>
    <w:p>
      <w:pPr>
        <w:spacing w:after="0" w:line="3" w:lineRule="exact"/>
        <w:rPr>
          <w:sz w:val="20"/>
          <w:szCs w:val="20"/>
          <w:color w:val="auto"/>
        </w:rPr>
      </w:pPr>
    </w:p>
    <w:p>
      <w:pPr>
        <w:ind w:left="300" w:hanging="292"/>
        <w:spacing w:after="0"/>
        <w:tabs>
          <w:tab w:leader="none" w:pos="3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disputed arithmetic calculation of the Conversion Rate to the Company’s independent registered public accounting firm, as the case may be. The</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Company shall direct the investment bank or the accounting firm, as the case may be, to perform the determinations or calculations and notify the Company and the Holder of the results no later than two (2) Business Days from the time it receives the disputed determinations or calculations. Such investment bank’s or accounting firm’s determination or calculation, as the case may be, shall be binding upon all parties absent manifest error.</w:t>
      </w:r>
    </w:p>
    <w:p>
      <w:pPr>
        <w:spacing w:after="0" w:line="173" w:lineRule="exact"/>
        <w:rPr>
          <w:sz w:val="20"/>
          <w:szCs w:val="20"/>
          <w:color w:val="auto"/>
        </w:rPr>
      </w:pPr>
    </w:p>
    <w:p>
      <w:pPr>
        <w:ind w:right="160" w:firstLine="1940"/>
        <w:spacing w:after="0" w:line="257" w:lineRule="auto"/>
        <w:rPr>
          <w:sz w:val="20"/>
          <w:szCs w:val="20"/>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xml:space="preserve">. The person or persons entitled to receive the Conversion Shares issuable upon a conversion of this Note shall be treated for all purposes as the legal and record holder or holders of such Shares on the Conversion Date, or in the case of Conversion Shares the issuance of which is subject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that is subject to and being resolved pursuant to, and in compliance with the time periods and other provisions of, the dispute resolution provisions of </w:t>
      </w:r>
      <w:r>
        <w:rPr>
          <w:rFonts w:ascii="Arial" w:cs="Arial" w:eastAsia="Arial" w:hAnsi="Arial"/>
          <w:sz w:val="18"/>
          <w:szCs w:val="18"/>
          <w:u w:val="single" w:color="auto"/>
          <w:color w:val="auto"/>
        </w:rPr>
        <w:t>Section 2(c)(iii)</w:t>
      </w:r>
      <w:r>
        <w:rPr>
          <w:rFonts w:ascii="Arial" w:cs="Arial" w:eastAsia="Arial" w:hAnsi="Arial"/>
          <w:sz w:val="18"/>
          <w:szCs w:val="18"/>
          <w:color w:val="auto"/>
        </w:rPr>
        <w:t xml:space="preserve">, the first Business Day after the resolution of such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and the fees and expenses of such investment bank or accountant shall be paid by the Company.</w:t>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auto"/>
        </w:rPr>
        <w:t>Company’s Failure to Timely Convert.</w:t>
      </w:r>
    </w:p>
    <w:p>
      <w:pPr>
        <w:spacing w:after="0" w:line="225" w:lineRule="exact"/>
        <w:rPr>
          <w:sz w:val="20"/>
          <w:szCs w:val="20"/>
          <w:color w:val="auto"/>
        </w:rPr>
      </w:pPr>
    </w:p>
    <w:p>
      <w:pPr>
        <w:ind w:firstLine="2396"/>
        <w:spacing w:after="0" w:line="288" w:lineRule="auto"/>
        <w:rPr>
          <w:sz w:val="20"/>
          <w:szCs w:val="20"/>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If within three (3) Business Days after the Company’s receipt of the facsimile or electronic mail copy of a Conversion Notice or deemed receipt of a Conversion Notice the Company shall fail to issue and deliver a certificate to the Holder for, or credit the Holder’s or its designee’s balance account with DTC with, the number of Conversion Shares (free of any restrictive legend if the Unrestricted Conditions (as defined below) are met) to which the Holder is entitled upon the Holder’s conversion of any Conversion Amount (a “</w:t>
      </w:r>
      <w:r>
        <w:rPr>
          <w:rFonts w:ascii="Arial" w:cs="Arial" w:eastAsia="Arial" w:hAnsi="Arial"/>
          <w:sz w:val="16"/>
          <w:szCs w:val="16"/>
          <w:b w:val="1"/>
          <w:bCs w:val="1"/>
          <w:color w:val="auto"/>
        </w:rPr>
        <w:t>Delivery Failure</w:t>
      </w:r>
      <w:r>
        <w:rPr>
          <w:rFonts w:ascii="Arial" w:cs="Arial" w:eastAsia="Arial" w:hAnsi="Arial"/>
          <w:sz w:val="16"/>
          <w:szCs w:val="16"/>
          <w:color w:val="auto"/>
        </w:rPr>
        <w:t>”) then in addition to all other available remedies that the Holder may pursue hereunder and under the Facility Agreement, the Company shall pay additional damages to the Holder for each day after the Share Delivery Date such conversion is not timely effected in an amount equal to one percent (1%) of the product of (I) the number of Conversion Shares not issued to the Holder or its designee on or prior to the Share Delivery Date and to which the Holder is entitled and (II) the Volume Weighted Average Price of the Common Stock on the Share Delivery Date (such product is referred to herein as the “</w:t>
      </w:r>
      <w:r>
        <w:rPr>
          <w:rFonts w:ascii="Arial" w:cs="Arial" w:eastAsia="Arial" w:hAnsi="Arial"/>
          <w:sz w:val="16"/>
          <w:szCs w:val="16"/>
          <w:b w:val="1"/>
          <w:bCs w:val="1"/>
          <w:color w:val="auto"/>
        </w:rPr>
        <w:t>Share Product Amount</w:t>
      </w:r>
      <w:r>
        <w:rPr>
          <w:rFonts w:ascii="Arial" w:cs="Arial" w:eastAsia="Arial" w:hAnsi="Arial"/>
          <w:sz w:val="16"/>
          <w:szCs w:val="16"/>
          <w:color w:val="auto"/>
        </w:rPr>
        <w:t xml:space="preserve">”) Alternatively in lieu of the foregoing damages, subject to </w:t>
      </w:r>
      <w:r>
        <w:rPr>
          <w:rFonts w:ascii="Arial" w:cs="Arial" w:eastAsia="Arial" w:hAnsi="Arial"/>
          <w:sz w:val="16"/>
          <w:szCs w:val="16"/>
          <w:u w:val="single" w:color="auto"/>
          <w:color w:val="auto"/>
        </w:rPr>
        <w:t>Section 2(c)(iii)</w:t>
      </w:r>
      <w:r>
        <w:rPr>
          <w:rFonts w:ascii="Arial" w:cs="Arial" w:eastAsia="Arial" w:hAnsi="Arial"/>
          <w:sz w:val="16"/>
          <w:szCs w:val="16"/>
          <w:color w:val="auto"/>
        </w:rPr>
        <w:t>, at the written election of the Holder made in the Holder’s sole discretion, if, on or after the applicable Conversion Date, the Holder purchases (in an open market transaction or otherwise) shares of Common Stock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54" w:name="page255"/>
    <w:bookmarkEnd w:id="254"/>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in satisfaction of a sale by such Holder of Conversion Shares that such Holder anticipated receiving from the Company (such purchased shares, “</w:t>
      </w:r>
      <w:r>
        <w:rPr>
          <w:rFonts w:ascii="Arial" w:cs="Arial" w:eastAsia="Arial" w:hAnsi="Arial"/>
          <w:sz w:val="16"/>
          <w:szCs w:val="16"/>
          <w:b w:val="1"/>
          <w:bCs w:val="1"/>
          <w:i w:val="1"/>
          <w:iCs w:val="1"/>
          <w:color w:val="auto"/>
        </w:rPr>
        <w:t>Buy-In Shares</w:t>
      </w:r>
      <w:r>
        <w:rPr>
          <w:rFonts w:ascii="Arial" w:cs="Arial" w:eastAsia="Arial" w:hAnsi="Arial"/>
          <w:sz w:val="16"/>
          <w:szCs w:val="16"/>
          <w:color w:val="auto"/>
        </w:rPr>
        <w:t>”), the Company shall be obligated to promptly pay to such Holder (in addition to all other available remedies that the Holder may otherwise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107.5% of the amount by which (A) such Holder’s total purchase price (including brokerage commissions, if any) for such Buy-In Shares exceeds (B) the net proceeds received by such Holder from the sale of the number of shares equal to up to the number of Conversion Shares such Holder was entitled to receive but had not received on such Share Delivery Date. If the Company fails to pay the additional damages set forth in this Section 2(c)(v)(A) within five</w:t>
      </w:r>
    </w:p>
    <w:p>
      <w:pPr>
        <w:spacing w:after="0" w:line="2" w:lineRule="exact"/>
        <w:rPr>
          <w:sz w:val="20"/>
          <w:szCs w:val="20"/>
          <w:color w:val="auto"/>
        </w:rPr>
      </w:pPr>
    </w:p>
    <w:p>
      <w:pPr>
        <w:ind w:right="60" w:firstLine="8"/>
        <w:spacing w:after="0" w:line="254"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Business Days of the date incurred, then the Holder entitled to such payments shall have the right at any time, so long as the Company continues to fail to make such payments, to require the Company, upon written notice, to immediately issue, in lieu of such cash damages, the number of Shares equal to the quotient of (X) the aggregate amount of the damages payments described herein divided by (Y) the Conversion Price specified by the Holder in the Conversion Notice.</w:t>
      </w:r>
    </w:p>
    <w:p>
      <w:pPr>
        <w:spacing w:after="0" w:line="190" w:lineRule="exact"/>
        <w:rPr>
          <w:sz w:val="20"/>
          <w:szCs w:val="20"/>
          <w:color w:val="auto"/>
        </w:rPr>
      </w:pPr>
    </w:p>
    <w:p>
      <w:pPr>
        <w:ind w:left="2400"/>
        <w:spacing w:after="0"/>
        <w:rPr>
          <w:sz w:val="20"/>
          <w:szCs w:val="20"/>
          <w:color w:val="auto"/>
        </w:rPr>
      </w:pPr>
      <w:r>
        <w:rPr>
          <w:rFonts w:ascii="Arial" w:cs="Arial" w:eastAsia="Arial" w:hAnsi="Arial"/>
          <w:sz w:val="17"/>
          <w:szCs w:val="17"/>
          <w:u w:val="single" w:color="auto"/>
          <w:color w:val="auto"/>
        </w:rPr>
        <w:t>Void Conversion Notice</w:t>
      </w:r>
      <w:r>
        <w:rPr>
          <w:rFonts w:ascii="Arial" w:cs="Arial" w:eastAsia="Arial" w:hAnsi="Arial"/>
          <w:sz w:val="17"/>
          <w:szCs w:val="17"/>
          <w:color w:val="auto"/>
        </w:rPr>
        <w:t>. If for any reason the Holder has not received all of the Conversion Shares prior to the tenth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(10th) Business Day after the Share Delivery Date with respect to a conversion of this Note (a “</w:t>
      </w:r>
      <w:r>
        <w:rPr>
          <w:rFonts w:ascii="Arial" w:cs="Arial" w:eastAsia="Arial" w:hAnsi="Arial"/>
          <w:sz w:val="16"/>
          <w:szCs w:val="16"/>
          <w:b w:val="1"/>
          <w:bCs w:val="1"/>
          <w:color w:val="auto"/>
        </w:rPr>
        <w:t>Conversion Failure</w:t>
      </w:r>
      <w:r>
        <w:rPr>
          <w:rFonts w:ascii="Arial" w:cs="Arial" w:eastAsia="Arial" w:hAnsi="Arial"/>
          <w:sz w:val="16"/>
          <w:szCs w:val="16"/>
          <w:color w:val="auto"/>
        </w:rPr>
        <w:t>”), then the Holder, upon written notice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 “</w:t>
      </w:r>
      <w:r>
        <w:rPr>
          <w:rFonts w:ascii="Arial" w:cs="Arial" w:eastAsia="Arial" w:hAnsi="Arial"/>
          <w:sz w:val="16"/>
          <w:szCs w:val="16"/>
          <w:b w:val="1"/>
          <w:bCs w:val="1"/>
          <w:color w:val="auto"/>
        </w:rPr>
        <w:t>Void Conversion Notice</w:t>
      </w:r>
      <w:r>
        <w:rPr>
          <w:rFonts w:ascii="Arial" w:cs="Arial" w:eastAsia="Arial" w:hAnsi="Arial"/>
          <w:sz w:val="16"/>
          <w:szCs w:val="16"/>
          <w:color w:val="auto"/>
        </w:rPr>
        <w:t>”), may void its Conversion Notice with respect to, and retain or have returned, as the case may be, any portion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Note that has not been converted pursuant to the Holder’s Conversion Notice; </w:t>
      </w:r>
      <w:r>
        <w:rPr>
          <w:rFonts w:ascii="Arial" w:cs="Arial" w:eastAsia="Arial" w:hAnsi="Arial"/>
          <w:sz w:val="17"/>
          <w:szCs w:val="17"/>
          <w:u w:val="single" w:color="auto"/>
          <w:color w:val="auto"/>
        </w:rPr>
        <w:t>provided</w:t>
      </w:r>
      <w:r>
        <w:rPr>
          <w:rFonts w:ascii="Arial" w:cs="Arial" w:eastAsia="Arial" w:hAnsi="Arial"/>
          <w:sz w:val="17"/>
          <w:szCs w:val="17"/>
          <w:color w:val="auto"/>
        </w:rPr>
        <w:t>, that the voiding of the Holder’s Conversion Notice shall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affect the Company’s obligations to make any payments that have accrued prior to the date of such notice pursuant to </w:t>
      </w:r>
      <w:r>
        <w:rPr>
          <w:rFonts w:ascii="Arial" w:cs="Arial" w:eastAsia="Arial" w:hAnsi="Arial"/>
          <w:sz w:val="17"/>
          <w:szCs w:val="17"/>
          <w:u w:val="single" w:color="auto"/>
          <w:color w:val="auto"/>
        </w:rPr>
        <w:t>Section 2(c)(v)(A)</w:t>
      </w:r>
      <w:r>
        <w:rPr>
          <w:rFonts w:ascii="Arial" w:cs="Arial" w:eastAsia="Arial" w:hAnsi="Arial"/>
          <w:sz w:val="17"/>
          <w:szCs w:val="17"/>
          <w:color w:val="auto"/>
        </w:rPr>
        <w:t xml:space="preserve"> or otherwise.</w:t>
      </w:r>
    </w:p>
    <w:p>
      <w:pPr>
        <w:spacing w:after="0" w:line="222" w:lineRule="exact"/>
        <w:rPr>
          <w:sz w:val="20"/>
          <w:szCs w:val="20"/>
          <w:color w:val="auto"/>
        </w:rPr>
      </w:pPr>
    </w:p>
    <w:p>
      <w:pPr>
        <w:ind w:right="40" w:firstLine="1940"/>
        <w:spacing w:after="0" w:line="289" w:lineRule="auto"/>
        <w:rPr>
          <w:sz w:val="20"/>
          <w:szCs w:val="20"/>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or repayment of this Note in accordance with the terms hereof, the Holder shall not be required to physically surrender this Note to the Company unless all of the Principal is being converted or repaid. The Holder and the Company shall maintain records showing the Principal converted or repaid and the dates of such conversions or repayments or shall use such other method, reasonably satisfactory to the Holder and the Company, so as not to require physical surrender of this Note upon any such partial conversion or repayment. Notwithstanding the foregoing, if this Note is converted or repaid as aforesaid, the Holder may not transfer this Note unless the Holder first physically surrenders this Note to the Company, whereupon the Company will forthwith issue and deliver upon the order of the Holder a new Note of like tenor, registered as the Holder may request, representing in the aggregate the remaining Principal represented by this Note. The Holder and any assignee, by acceptance of this Note, acknowledge and agree that, by reason of the provisions of this paragraph, following conversion or repayment of any portion of this Note, the Principal of this Note may be less than the principal amount stated on the face hereof.</w:t>
      </w:r>
    </w:p>
    <w:p>
      <w:pPr>
        <w:spacing w:after="0" w:line="167" w:lineRule="exact"/>
        <w:rPr>
          <w:sz w:val="20"/>
          <w:szCs w:val="20"/>
          <w:color w:val="auto"/>
        </w:rPr>
      </w:pPr>
    </w:p>
    <w:p>
      <w:pPr>
        <w:jc w:val="both"/>
        <w:ind w:right="80" w:firstLine="1484"/>
        <w:spacing w:after="0" w:line="312" w:lineRule="auto"/>
        <w:rPr>
          <w:sz w:val="20"/>
          <w:szCs w:val="20"/>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shall pay any and all taxes (excluding income taxes, franchise taxes or other taxes levied on gross earnings, profits or the like of the Holder) that may be payable with respect to the issuance and delivery of Conversion Shares upon the conversion of this Note, unless the tax is due because the Holder requests any Conversion Shares to be issued in a name other than the Holder’s name, in which case the Holder will pay that tax.</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55" w:name="page256"/>
    <w:bookmarkEnd w:id="255"/>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w:t>
      </w:r>
    </w:p>
    <w:p>
      <w:pPr>
        <w:spacing w:after="0" w:line="225" w:lineRule="exact"/>
        <w:rPr>
          <w:sz w:val="20"/>
          <w:szCs w:val="20"/>
          <w:color w:val="auto"/>
        </w:rPr>
      </w:pPr>
    </w:p>
    <w:p>
      <w:pPr>
        <w:ind w:right="20" w:firstLine="1940"/>
        <w:spacing w:after="0" w:line="257" w:lineRule="auto"/>
        <w:rPr>
          <w:sz w:val="20"/>
          <w:szCs w:val="20"/>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The Holder understands that this Note and until such time as the Conversion Shares have been registered under the Securities Act as contemplated by the Registration Rights Agreement or otherwise may be sold pursuant to Rule 144 under the Securities Act or an exemption from registration under the Securities Act without any restriction as to the number of securities as of a particular date that can then be immediately sold, the Conversion Shares, as applicable, may bear a restrictive legend in substantially the following form (and a stop-transfer order may be placed against transfer of the certificates for such securities):</w:t>
      </w:r>
    </w:p>
    <w:p>
      <w:pPr>
        <w:spacing w:after="0" w:line="8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right="20" w:firstLine="1940"/>
        <w:spacing w:after="0" w:line="267" w:lineRule="auto"/>
        <w:rPr>
          <w:sz w:val="20"/>
          <w:szCs w:val="20"/>
          <w:color w:val="auto"/>
        </w:rPr>
      </w:pPr>
      <w:r>
        <w:rPr>
          <w:rFonts w:ascii="Arial" w:cs="Arial" w:eastAsia="Arial" w:hAnsi="Arial"/>
          <w:sz w:val="17"/>
          <w:szCs w:val="17"/>
          <w:u w:val="single" w:color="auto"/>
          <w:color w:val="auto"/>
        </w:rPr>
        <w:t>Removal of Restrictive Legends</w:t>
      </w:r>
      <w:r>
        <w:rPr>
          <w:rFonts w:ascii="Arial" w:cs="Arial" w:eastAsia="Arial" w:hAnsi="Arial"/>
          <w:sz w:val="17"/>
          <w:szCs w:val="17"/>
          <w:color w:val="auto"/>
        </w:rPr>
        <w:t>. The certificates evidencing the Conversion Shares shall not contain any legend restricting the transfer thereof (including the legend set forth above in subsection 2(e)(i)): (A) while a registration statement (including a Registration Statement, as defined in the Registration Rights Agreement) covering the resale of such security by the Holder is effective under the Securities Act, (B) following any sale of such Conversion Shares pursuant to Rule 144, or (C) if such Conversion Shares are eligible for sale under rule 144(b)(1) and the Holder thereof is not, and has not been during the preceding three months, an affiliate (as such term is defined for purposes of Rule 144 under the Securities Act) (the “</w:t>
      </w:r>
      <w:r>
        <w:rPr>
          <w:rFonts w:ascii="Arial" w:cs="Arial" w:eastAsia="Arial" w:hAnsi="Arial"/>
          <w:sz w:val="17"/>
          <w:szCs w:val="17"/>
          <w:b w:val="1"/>
          <w:bCs w:val="1"/>
          <w:color w:val="auto"/>
        </w:rPr>
        <w:t>Unrestricted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The Holder agrees that the removal of the restrictive legend from the Conversion Shares in accordance with the immediately preceding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sentence is predicated upon the Company’s reliance that (i) the Holder will dispose of such shares pursuant to the registration requirements of the Securities Act, including any applicable prospectus delivery requirements, or for its own account in compliance with Rule 144, and that if such securities are sold pursuant to a registration statement, they will be sold in compliance with the plan of distribution set forth therein, and (ii) if, prior to the disposition of any such Conversion Shares, the Company notifies the Holder that the Unrestricted Conditions have no longer been met, the Holder will agree to the placement of said restrictive legend on the certificates for such Conversion Shares until the Unrestricted Conditions have once again been met. Promptly following the Effective Date (as defined below) or such other time as any of the Unrestricted Conditions have been satisfied, the Company shall cause its counsel to issue a legal opinion or other instruction to the Transfer Agent (if required by the Transfer Agent) to effect the issuance of the Conversion Shares without a restrictive legend or, in the case of Conversion Shares that have previously been issued, the removal of the legend thereunder. If the Unrestricted Conditions are met at the time of issuance of the Conversion Shares, then the Conversion Shares shall be issued free of all legends. The Company agrees that following the Effective Date or at such time as the Unrestricted Conditions are met or such legend is otherwise no longer required under this </w:t>
      </w:r>
      <w:r>
        <w:rPr>
          <w:rFonts w:ascii="Arial" w:cs="Arial" w:eastAsia="Arial" w:hAnsi="Arial"/>
          <w:sz w:val="17"/>
          <w:szCs w:val="17"/>
          <w:u w:val="single" w:color="auto"/>
          <w:color w:val="auto"/>
        </w:rPr>
        <w:t>Section 2(e)</w:t>
      </w:r>
      <w:r>
        <w:rPr>
          <w:rFonts w:ascii="Arial" w:cs="Arial" w:eastAsia="Arial" w:hAnsi="Arial"/>
          <w:sz w:val="17"/>
          <w:szCs w:val="17"/>
          <w:color w:val="auto"/>
        </w:rPr>
        <w:t>, it will, no later than four (4) Trading Days following the delivery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56" w:name="page257"/>
    <w:bookmarkEnd w:id="256"/>
    <w:p>
      <w:pPr>
        <w:ind w:right="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Unlegended Shares Delivery Deadline</w:t>
      </w:r>
      <w:r>
        <w:rPr>
          <w:rFonts w:ascii="Arial" w:cs="Arial" w:eastAsia="Arial" w:hAnsi="Arial"/>
          <w:sz w:val="18"/>
          <w:szCs w:val="18"/>
          <w:color w:val="auto"/>
        </w:rPr>
        <w:t>”) by the Holder to the Company or the Transfer Agent of any certificate representing Conversion Shares, as applicable, issued with a restrictive legend (such fourth Trading Day, the “</w:t>
      </w:r>
      <w:r>
        <w:rPr>
          <w:rFonts w:ascii="Arial" w:cs="Arial" w:eastAsia="Arial" w:hAnsi="Arial"/>
          <w:sz w:val="18"/>
          <w:szCs w:val="18"/>
          <w:b w:val="1"/>
          <w:bCs w:val="1"/>
          <w:color w:val="auto"/>
        </w:rPr>
        <w:t>Legend Removal Date</w:t>
      </w:r>
      <w:r>
        <w:rPr>
          <w:rFonts w:ascii="Arial" w:cs="Arial" w:eastAsia="Arial" w:hAnsi="Arial"/>
          <w:sz w:val="18"/>
          <w:szCs w:val="18"/>
          <w:color w:val="auto"/>
        </w:rPr>
        <w:t>”), deliver or cause to be delivered to such Holder a certificate (or electronic transfer) representing such shares that is free from all restrictive and other legends. For purposes hereof, “</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the date that the Registration Statement that the Company is required to file pursuant to the Registration Rights Agreement has been declared effective by the SEC.</w:t>
      </w:r>
    </w:p>
    <w:p>
      <w:pPr>
        <w:spacing w:after="0" w:line="188" w:lineRule="exact"/>
        <w:rPr>
          <w:sz w:val="20"/>
          <w:szCs w:val="20"/>
          <w:color w:val="auto"/>
        </w:rPr>
      </w:pPr>
    </w:p>
    <w:p>
      <w:pPr>
        <w:ind w:right="60" w:firstLine="1940"/>
        <w:spacing w:after="0" w:line="279" w:lineRule="auto"/>
        <w:rPr>
          <w:sz w:val="20"/>
          <w:szCs w:val="20"/>
          <w:color w:val="auto"/>
        </w:rPr>
      </w:pPr>
      <w:r>
        <w:rPr>
          <w:rFonts w:ascii="Arial" w:cs="Arial" w:eastAsia="Arial" w:hAnsi="Arial"/>
          <w:sz w:val="17"/>
          <w:szCs w:val="17"/>
          <w:u w:val="single" w:color="auto"/>
          <w:color w:val="auto"/>
        </w:rPr>
        <w:t>Sale of Unlegended Shares</w:t>
      </w:r>
      <w:r>
        <w:rPr>
          <w:rFonts w:ascii="Arial" w:cs="Arial" w:eastAsia="Arial" w:hAnsi="Arial"/>
          <w:sz w:val="17"/>
          <w:szCs w:val="17"/>
          <w:color w:val="auto"/>
        </w:rPr>
        <w:t xml:space="preserve">. Holder agrees that the removal of the restrictive legend from any certificates representing securities as set forth in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above is predicated upon the Company’s reliance that the Holder will sell any Conversion Shares pursuant to either the registration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Limitations on Conversions</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83" w:lineRule="auto"/>
        <w:rPr>
          <w:sz w:val="20"/>
          <w:szCs w:val="20"/>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herein to the contrary, the Company shall not issue to the Holder, and the Holder may not acquire, a number of Shares upon conversion of this Note or otherwise issue any shares of Common Stock pursuant hereto or the Facility Agreement to the extent that, upon such conversion, the number of Shares then beneficially owned by the Holder and its Affiliates and any other persons or entities whose beneficial ownership of Common Stock would be aggregated with the Holder’s for purposes of Section 13(d) of the Exchange Act (including shares held by any “group” of which the Holder is a member, but excluding shares beneficially owned by virtue of the ownership of securities or rights to acquire securities that have limitations on the right to convert, exercise or purchase similar to the limitation set forth herein) would exceed 9.985% of the total number of shares of Common Stock then issued and outstanding (the “</w:t>
      </w:r>
      <w:r>
        <w:rPr>
          <w:rFonts w:ascii="Arial" w:cs="Arial" w:eastAsia="Arial" w:hAnsi="Arial"/>
          <w:sz w:val="16"/>
          <w:szCs w:val="16"/>
          <w:b w:val="1"/>
          <w:bCs w:val="1"/>
          <w:color w:val="auto"/>
        </w:rPr>
        <w:t>9.985% Cap</w:t>
      </w:r>
      <w:r>
        <w:rPr>
          <w:rFonts w:ascii="Arial" w:cs="Arial" w:eastAsia="Arial" w:hAnsi="Arial"/>
          <w:sz w:val="16"/>
          <w:szCs w:val="16"/>
          <w:color w:val="auto"/>
        </w:rPr>
        <w:t>”), provided, however, that the 9.985% Cap shall only apply to the extent that the Common Stock is deemed to constitute an “equity security” pursuant to Rule 13d-1(i) promulgated under the Exchange Act, and provided, further, that if the Holder and its Affiliates and any other persons or entities whose beneficial ownership of Common Stock would be aggregated with the Holder’s for purposes of Section 13(d) of the Exchange Act beneficially own on the Issuance Date greater than 9.985% of the shares of Common Stock then outstanding, then the</w:t>
      </w:r>
    </w:p>
    <w:p>
      <w:pPr>
        <w:spacing w:after="0" w:line="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9.985% Cap shall not apply to such Holder unless and until the beneficial ownership of the Holder and its Affiliates and any other persons or entities whose beneficial ownership of Common Stock would be aggregated with the Holder’s for purposes of Section 13(d) of the Exchange Act subsequently decreases to below 9.985%</w:t>
      </w:r>
      <w:r>
        <w:rPr>
          <w:rFonts w:ascii="Arial" w:cs="Arial" w:eastAsia="Arial" w:hAnsi="Arial"/>
          <w:sz w:val="15"/>
          <w:szCs w:val="15"/>
          <w:color w:val="auto"/>
        </w:rPr>
        <w:t>.</w:t>
      </w:r>
      <w:r>
        <w:rPr>
          <w:rFonts w:ascii="Arial" w:cs="Arial" w:eastAsia="Arial" w:hAnsi="Arial"/>
          <w:sz w:val="18"/>
          <w:szCs w:val="18"/>
          <w:color w:val="auto"/>
        </w:rPr>
        <w:t xml:space="preserve"> For purposes hereof, “group” has the meaning set forth in Section 13(d) of the Exchange Act and applicable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the percentage held by the Holder shall be determined in a manner consistent with the provisions of Section 13(d) of the Exchange Act. Upon the written request of the Holder, the Company shall, within two (2) Trading Days, confirm orally and in writing to the Holder the number of Shares then outstanding.</w:t>
      </w:r>
    </w:p>
    <w:p>
      <w:pPr>
        <w:spacing w:after="0" w:line="194" w:lineRule="exact"/>
        <w:rPr>
          <w:sz w:val="20"/>
          <w:szCs w:val="20"/>
          <w:color w:val="auto"/>
        </w:rPr>
      </w:pPr>
    </w:p>
    <w:p>
      <w:pPr>
        <w:ind w:right="620" w:firstLine="1940"/>
        <w:spacing w:after="0" w:line="277" w:lineRule="auto"/>
        <w:rPr>
          <w:sz w:val="20"/>
          <w:szCs w:val="20"/>
          <w:color w:val="auto"/>
        </w:rPr>
      </w:pPr>
      <w:r>
        <w:rPr>
          <w:rFonts w:ascii="Arial" w:cs="Arial" w:eastAsia="Arial" w:hAnsi="Arial"/>
          <w:sz w:val="18"/>
          <w:szCs w:val="18"/>
          <w:u w:val="single" w:color="auto"/>
          <w:color w:val="auto"/>
        </w:rPr>
        <w:t>Principal Market Regulation</w:t>
      </w:r>
      <w:r>
        <w:rPr>
          <w:rFonts w:ascii="Arial" w:cs="Arial" w:eastAsia="Arial" w:hAnsi="Arial"/>
          <w:sz w:val="18"/>
          <w:szCs w:val="18"/>
          <w:color w:val="auto"/>
        </w:rPr>
        <w:t>. The Company shall not issue any Shares upon conversion of this Note (including pursuant to Section 2(c)(v)(A) hereof) if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57" w:name="page258"/>
    <w:bookmarkEnd w:id="257"/>
    <w:p>
      <w:pPr>
        <w:ind w:right="2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such Shares together with any previous issuances of Shares under the Notes would exceed 57,885,577 (the “</w:t>
      </w:r>
      <w:r>
        <w:rPr>
          <w:rFonts w:ascii="Arial" w:cs="Arial" w:eastAsia="Arial" w:hAnsi="Arial"/>
          <w:sz w:val="18"/>
          <w:szCs w:val="18"/>
          <w:b w:val="1"/>
          <w:bCs w:val="1"/>
          <w:color w:val="auto"/>
        </w:rPr>
        <w:t>Exchange Cap</w:t>
      </w:r>
      <w:r>
        <w:rPr>
          <w:rFonts w:ascii="Arial" w:cs="Arial" w:eastAsia="Arial" w:hAnsi="Arial"/>
          <w:sz w:val="18"/>
          <w:szCs w:val="18"/>
          <w:color w:val="auto"/>
        </w:rPr>
        <w:t>”), except that such limitation shall not apply in the event that the Company obtains the approval of its stockholders as required by the applicable rules of The Nasdaq Global Market and any other Principal Market for issuances of Shares in excess of such amount.</w:t>
      </w:r>
    </w:p>
    <w:p>
      <w:pPr>
        <w:spacing w:after="0" w:line="180" w:lineRule="exact"/>
        <w:rPr>
          <w:sz w:val="20"/>
          <w:szCs w:val="20"/>
          <w:color w:val="auto"/>
        </w:rPr>
      </w:pPr>
    </w:p>
    <w:p>
      <w:pPr>
        <w:ind w:firstLine="1940"/>
        <w:spacing w:after="0" w:line="284" w:lineRule="auto"/>
        <w:rPr>
          <w:sz w:val="20"/>
          <w:szCs w:val="20"/>
          <w:color w:val="auto"/>
        </w:rPr>
      </w:pPr>
      <w:r>
        <w:rPr>
          <w:rFonts w:ascii="Arial" w:cs="Arial" w:eastAsia="Arial" w:hAnsi="Arial"/>
          <w:sz w:val="16"/>
          <w:szCs w:val="16"/>
          <w:u w:val="single" w:color="auto"/>
          <w:color w:val="auto"/>
        </w:rPr>
        <w:t>Applicable Limits on Conversion of the Note</w:t>
      </w:r>
      <w:r>
        <w:rPr>
          <w:rFonts w:ascii="Arial" w:cs="Arial" w:eastAsia="Arial" w:hAnsi="Arial"/>
          <w:sz w:val="16"/>
          <w:szCs w:val="16"/>
          <w:color w:val="auto"/>
        </w:rPr>
        <w:t>. Notwithstanding anything to the contrary herein, (A) unless otherwise agreed to by the Company, this Note shall not be convertible, and the Company shall not issue Shares upon conversion of this Note, as a Conversion Price less than $5.00 per Share, [and unless the Tranche 3 Notes have been converted in full]</w:t>
      </w:r>
      <w:r>
        <w:rPr>
          <w:rFonts w:ascii="Arial" w:cs="Arial" w:eastAsia="Arial" w:hAnsi="Arial"/>
          <w:sz w:val="13"/>
          <w:szCs w:val="13"/>
          <w:u w:val="single" w:color="auto"/>
          <w:color w:val="auto"/>
        </w:rPr>
        <w:t>2</w:t>
      </w:r>
      <w:r>
        <w:rPr>
          <w:rFonts w:ascii="Arial" w:cs="Arial" w:eastAsia="Arial" w:hAnsi="Arial"/>
          <w:sz w:val="16"/>
          <w:szCs w:val="16"/>
          <w:color w:val="auto"/>
        </w:rPr>
        <w:t>, (B) this Note shall not be convertible, and the Company shall not issue Shares upon conversion of this Note, if the number of shares that would otherwise be issuable upon such conversion, together with all shares previously issued upon conversion of all Notes or issuable upon conversion of any other Notes converted on the same Conversion Date, exceeds 30 million shares (subject to appropriate adjustment to reflect any Stock Event), and (C) this Note shall not be convertible, and the Company shall not issue Shares upon conversion of this Note, if the number of shares that would otherwise be issuable upon such conversion, together with any shares issuable upon conversion of any other Notes converted on the same Conversion Date, exceeds the then Applicable Limit. For purposes herein, “Applicable Limit” shall initially mean (x) 30 million Shares (subject to appropriate adjustment to reflect any Stock Event) for all conversions of Notes at a “Conversion Price” of $3.33 (subject to appropriate adjustment to reflect any Stock Event) or less, (y) 15 million Shares (subject to appropriate adjustment to reflect any Stock Event) for all conversions of Notes at a “Conversion Price” of $6.67 (subject to appropriate adjustment to reflect any Stock Event) or more, and (z) $100 million of “Conversion Amounts” for all Note conversions at a “Conversion Price” of between $3.33 and $6.67 (subject to appropriate adjustment to reflect any Stock Event); provided, however, that, after each Conversion Date, the Applicable Limit under all three clauses (regardless of which clause such conversion relates to) shall be reduced by an amount equal to the Applicable Limit immediately preceding such conversion multiplied by a fraction, the numerator of which is the number of Shares actually converted on such date (in the case of clauses (x) and (y)) or the applicable “Conversion Amount” for all shares actually converted on such date (in the case of clause (z)) and the denominator of which is the Applicable Limit in respect of the clause under which such conversion falls immediately prior to such conversion. For purposes of illustration: (a) If 15 million shares are converted under any Notes at $3.00 per share, the Applicable Limit shall be reduced by one-half to 15 million, 7.5 million and $50 million, respectively; (b) If an additional $10 million are then converted under any Notes at $5.00 per Share, each Applicable Limit shall then be further reduced by 20% to 12 million, 6 million and $40 million, respectively. As an additional illustration, if 10 million shares are converted under any Notes at $8.00 per share, each Applicable Limit shall be reduced by two-thirds to 10 million, 5 million and $33,333,333, respectively; and (b) if an additional 500,000 shares are then converted under any Notes at $5.00 per share, each Applicable Limit shall be further reduced by 7.5% to $9,250,000, $4,625,000 and $30,833,333,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8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1" w:lineRule="exact"/>
        <w:rPr>
          <w:sz w:val="20"/>
          <w:szCs w:val="20"/>
          <w:color w:val="auto"/>
        </w:rPr>
      </w:pPr>
    </w:p>
    <w:p>
      <w:pPr>
        <w:ind w:left="220" w:hanging="212"/>
        <w:spacing w:after="0"/>
        <w:tabs>
          <w:tab w:leader="none" w:pos="220" w:val="left"/>
        </w:tabs>
        <w:numPr>
          <w:ilvl w:val="0"/>
          <w:numId w:val="189"/>
        </w:numPr>
        <w:rPr>
          <w:rFonts w:ascii="Arial" w:cs="Arial" w:eastAsia="Arial" w:hAnsi="Arial"/>
          <w:sz w:val="15"/>
          <w:szCs w:val="15"/>
          <w:u w:val="single" w:color="auto"/>
          <w:color w:val="auto"/>
        </w:rPr>
      </w:pPr>
      <w:r>
        <w:rPr>
          <w:rFonts w:ascii="Arial" w:cs="Arial" w:eastAsia="Arial" w:hAnsi="Arial"/>
          <w:sz w:val="18"/>
          <w:szCs w:val="18"/>
          <w:color w:val="auto"/>
        </w:rPr>
        <w:t>Include bracketed language in the Tranche 1 Notes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58" w:name="page259"/>
    <w:bookmarkEnd w:id="258"/>
    <w:p>
      <w:pPr>
        <w:ind w:right="80" w:firstLine="913"/>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Failures</w:t>
      </w:r>
      <w:r>
        <w:rPr>
          <w:rFonts w:ascii="Arial" w:cs="Arial" w:eastAsia="Arial" w:hAnsi="Arial"/>
          <w:sz w:val="16"/>
          <w:szCs w:val="16"/>
          <w:color w:val="auto"/>
        </w:rPr>
        <w:t>. Upon any Registration Failure, in addition to all other available remedies that the Holder may pursue hereunder and under the Facility Agreement and the Registration Rights Agreement, the Company shall pay additional damages to the Holder for each 30-day period (prorated for any partial period) after the date of such Registration Failure in an amount in cash equal to one percent (1%) of such Holder’s original principal amount of this Note on the date of such Registration Failure. Such payments shall accrue until the earlier of (i) such time as the Registration Failure has been cured and</w:t>
      </w:r>
    </w:p>
    <w:p>
      <w:pPr>
        <w:spacing w:after="0" w:line="2" w:lineRule="exact"/>
        <w:rPr>
          <w:sz w:val="20"/>
          <w:szCs w:val="20"/>
          <w:color w:val="auto"/>
        </w:rPr>
      </w:pPr>
    </w:p>
    <w:p>
      <w:pPr>
        <w:ind w:right="140" w:firstLine="8"/>
        <w:spacing w:after="0" w:line="273" w:lineRule="auto"/>
        <w:tabs>
          <w:tab w:leader="none" w:pos="26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date on which all of the Conversion Shares may be disposed of for such Holder’s own account without restriction under Rule 144 (including, without limitation, volume restrictions and without the need for the availability of current public information under Rule 144), assuming that the Holder is not, and has not been during the preceding three months, an affiliate (as such term is defined for purposes of Rule 144 under the Securities Act) of the Company. All such payments that accrue under this Section (4) shall be payable no later than five business days following such date of accrual.</w:t>
      </w:r>
    </w:p>
    <w:p>
      <w:pPr>
        <w:spacing w:after="0" w:line="17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Except as required by law, the Holder shall have no voting rights with respect to any of the Conversion Shares until the Conversion Date relating to the conversion of this Note upon which such Conversion Shares are issuable (or in the case of Conversion Shares the issuance of which is subject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dispute that is subject to and being resolved pursuant to, and in compliance with the time periods and other provisions of, the dispute resolution provisions of </w:t>
      </w:r>
      <w:r>
        <w:rPr>
          <w:rFonts w:ascii="Arial" w:cs="Arial" w:eastAsia="Arial" w:hAnsi="Arial"/>
          <w:sz w:val="17"/>
          <w:szCs w:val="17"/>
          <w:u w:val="single" w:color="auto"/>
          <w:color w:val="auto"/>
        </w:rPr>
        <w:t>Section 2(c)(iii)</w:t>
      </w:r>
      <w:r>
        <w:rPr>
          <w:rFonts w:ascii="Arial" w:cs="Arial" w:eastAsia="Arial" w:hAnsi="Arial"/>
          <w:sz w:val="17"/>
          <w:szCs w:val="17"/>
          <w:color w:val="auto"/>
        </w:rPr>
        <w:t xml:space="preserve">, the first Business Day after the resolution of such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dispute).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Amendment; Waiver</w:t>
      </w:r>
      <w:r>
        <w:rPr>
          <w:rFonts w:ascii="Arial" w:cs="Arial" w:eastAsia="Arial" w:hAnsi="Arial"/>
          <w:sz w:val="16"/>
          <w:szCs w:val="16"/>
          <w:color w:val="auto"/>
        </w:rPr>
        <w:t>. The terms and provisions of this Note shall not be amended or waived except in a writing signed by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the Facility Agreement, at law or in equity (including a decree of specific performance and/or other injunctive relief). No remedy contained herein shall be deemed a waiver of compliance with the provisions giving rise to such remedy, and nothing herein shall limit the Holder’s right to pursue actual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69"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u w:val="single" w:color="auto"/>
          <w:color w:val="auto"/>
        </w:rPr>
        <w:t>Specific Shall Not Limit General; Construction</w:t>
      </w:r>
      <w:r>
        <w:rPr>
          <w:rFonts w:ascii="Arial" w:cs="Arial" w:eastAsia="Arial" w:hAnsi="Arial"/>
          <w:sz w:val="18"/>
          <w:szCs w:val="18"/>
          <w:color w:val="auto"/>
        </w:rPr>
        <w:t>. No specific provision contained in this Note shall limit or modify any more general provision contained herein. This Note shall be deemed to be jointly drafted by the Company and all purchasers of Notes pursuant to the Facility Agreement and shall not be construed against any Person as the drafter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9" w:name="page260"/>
    <w:bookmarkEnd w:id="259"/>
    <w:p>
      <w:pPr>
        <w:jc w:val="both"/>
        <w:ind w:right="260" w:firstLine="913"/>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Section 6.1 of the Facility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160" w:firstLine="1484"/>
        <w:spacing w:after="0" w:line="259" w:lineRule="auto"/>
        <w:rPr>
          <w:sz w:val="20"/>
          <w:szCs w:val="20"/>
          <w:color w:val="auto"/>
        </w:rPr>
      </w:pPr>
      <w:r>
        <w:rPr>
          <w:rFonts w:ascii="Arial" w:cs="Arial" w:eastAsia="Arial" w:hAnsi="Arial"/>
          <w:sz w:val="18"/>
          <w:szCs w:val="18"/>
          <w:u w:val="single" w:color="auto"/>
          <w:color w:val="auto"/>
        </w:rPr>
        <w:t>Registration or Exemption Required</w:t>
      </w:r>
      <w:r>
        <w:rPr>
          <w:rFonts w:ascii="Arial" w:cs="Arial" w:eastAsia="Arial" w:hAnsi="Arial"/>
          <w:sz w:val="18"/>
          <w:szCs w:val="18"/>
          <w:color w:val="auto"/>
        </w:rPr>
        <w:t>. This Note has been issued in a transaction exempt from the registration requirements of the Securities Act by virtue of Regulation D. None of the Note or the Conversion Shares may be pledged, transferred, sold, assigned, hypothecated or otherwise disposed of except pursuant to an effective registration statement or an exemption to the registration requirements of the Securities Act and applicable state laws including, without limitation, a so-called “4(1) and a half” transaction.</w:t>
      </w:r>
    </w:p>
    <w:p>
      <w:pPr>
        <w:spacing w:after="0" w:line="187"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the Holder may sell, transfer, assign, pledge, hypothecate or otherwise dispose of this Note, in whole or in part; provided that (i) the Holder shall deliver a written notice to Company, substantially in the form of the Assignment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indicating the Person or Persons to whom the Note shall be assigned and the respective principal amount of the Note to be assigned to each assignee, (ii) if such transfer is being effected as a so-called “4(1) and a half” transaction or pursuant to Rule 144A, any such transferee Person shall make the representations and agree to the representations set forth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hereto and shall agree to comply with the provisions of Section 2(c)(iii) hereof, (iii) except in the case of any assignment or transfer pursuant to an effective registration statement covering the disposition of the Note or pursuant to Rule 144, the Holder shall deliver to the Company a legal opinion reasonably acceptable to the Company which, in the case of a so-called “4(1) and a half” transaction shall be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(iv) the transferee shall have complied with Section 2.5(d) of the Facility Agreement, and (v) unless an Event of Default shall have occurred and is continuing, no assignment shall be permitted to any (A) Major Pharmaceutical Company and any (B) entity principally engaged in the business of selling insulin or insulin delivery products (an “</w:t>
      </w:r>
      <w:r>
        <w:rPr>
          <w:rFonts w:ascii="Arial" w:cs="Arial" w:eastAsia="Arial" w:hAnsi="Arial"/>
          <w:sz w:val="16"/>
          <w:szCs w:val="16"/>
          <w:b w:val="1"/>
          <w:bCs w:val="1"/>
          <w:color w:val="auto"/>
        </w:rPr>
        <w:t>Applicable Entity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entities that own, directly or indirectly, equity interests in an Applicable Entity as part of a brokerage, insurance business, pension fund (or other benefit fund), investment banking, investment management, investment advisory, lobbying, or publishing business, or (2) any non-profit research or non-profit enterprise, shall not constitute an Applicable Entity, and (v) the Holder shall comply with all additional assignment provisions set forth in Section 6.5 of the Facility Agreement. The Company shall effect the assignment within three (3) business days (the “</w:t>
      </w:r>
      <w:r>
        <w:rPr>
          <w:rFonts w:ascii="Arial" w:cs="Arial" w:eastAsia="Arial" w:hAnsi="Arial"/>
          <w:sz w:val="16"/>
          <w:szCs w:val="16"/>
          <w:b w:val="1"/>
          <w:bCs w:val="1"/>
          <w:color w:val="auto"/>
        </w:rPr>
        <w:t>Transfer Delivery Period</w:t>
      </w:r>
      <w:r>
        <w:rPr>
          <w:rFonts w:ascii="Arial" w:cs="Arial" w:eastAsia="Arial" w:hAnsi="Arial"/>
          <w:sz w:val="16"/>
          <w:szCs w:val="16"/>
          <w:color w:val="auto"/>
        </w:rPr>
        <w:t>”), and shall deliver to the assignee(s) designated by Holder a Note or Notes of like tenor and terms for the appropriate principal amount. This Note and the rights evidenced hereby shall inure to the benefit of and be binding upon the successors and assigns of the Holder. The provisions of this Note are intended to be for the benefit of all Holders from time to time of this Note, and shall be enforceable by any such Holder. For avoidance of doubt, in the event Holder notifies the Company that such sale or transfer is a so called “4(1) and a half” transaction, the parties hereto agree that a legal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0" w:name="page261"/>
    <w:bookmarkEnd w:id="260"/>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opinion from outside counsel for the Holder delivered to counsel for the Company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shall be the only requirement to satisfy an exemption from registration under the Securities Act to effectuate such “4(1) and half” transaction.</w:t>
      </w:r>
    </w:p>
    <w:p>
      <w:pPr>
        <w:spacing w:after="0" w:line="14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u w:val="single" w:color="auto"/>
          <w:color w:val="auto"/>
        </w:rPr>
        <w:t>Payment of Collection, Enforcement and Other Costs</w:t>
      </w:r>
      <w:r>
        <w:rPr>
          <w:rFonts w:ascii="Arial" w:cs="Arial" w:eastAsia="Arial" w:hAnsi="Arial"/>
          <w:sz w:val="17"/>
          <w:szCs w:val="17"/>
          <w:color w:val="auto"/>
        </w:rPr>
        <w:t>. If (a) this Note is placed in the hands of an attorney for collection or enforcement or is collected or enforced through any legal proceeding; or (b) an attorney is retained to represent the Holder in any bankruptcy, reorganization, receivership of the Company or other proceedings affecting Company creditors’ rights and involving a claim under this Note, then the Company shall pay the costs incurred by the Holder for such collection, enforcement or action, including reasonable attorneys’ fees and disbursements.</w:t>
      </w:r>
    </w:p>
    <w:p>
      <w:pPr>
        <w:spacing w:after="0" w:line="171"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Interest and other amounts at any time owed under, or on account of, this Note have been paid in full or converted into Shares in accordance with the terms hereof, this Note shall automatically be deemed cancelled, shall be surrendered to the Company for cancellation and shall not be reissued.</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u w:val="single" w:color="auto"/>
          <w:color w:val="auto"/>
        </w:rPr>
        <w:t>Registered Note</w:t>
      </w:r>
      <w:r>
        <w:rPr>
          <w:rFonts w:ascii="Arial" w:cs="Arial" w:eastAsia="Arial" w:hAnsi="Arial"/>
          <w:sz w:val="18"/>
          <w:szCs w:val="18"/>
          <w:color w:val="auto"/>
        </w:rPr>
        <w:t>. This Note may be transferred only upon notation of such transfer on the Register, and no assignment thereof shall be effective until recorded therein.</w:t>
      </w:r>
    </w:p>
    <w:p>
      <w:pPr>
        <w:spacing w:after="0" w:line="17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u w:val="single" w:color="auto"/>
          <w:color w:val="auto"/>
        </w:rPr>
        <w:t>Waiver of Notice</w:t>
      </w:r>
      <w:r>
        <w:rPr>
          <w:rFonts w:ascii="Arial" w:cs="Arial" w:eastAsia="Arial" w:hAnsi="Arial"/>
          <w:sz w:val="17"/>
          <w:szCs w:val="17"/>
          <w:color w:val="auto"/>
        </w:rPr>
        <w:t>. To the extent permitted by law, the Company hereby waives demand, notice, presentment, protest and all other demands and notices in connection with the delivery, acceptance, performance, default or enforcement of this Note and the Facility Agreement.</w:t>
      </w:r>
    </w:p>
    <w:p>
      <w:pPr>
        <w:spacing w:after="0" w:line="147"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Note shall be governed by the laws of the State of New York applicable to contracts made and to be performed in such State. All legal proceedings concerning the interpretation and enforcement of this Note shall be commenced exclusively in the state and federal courts sitting in The City of New York. The Company hereby and each Holder (by its acceptance of this Note) irrevocably submits to the exclusive jurisdiction of such courts for the adjudication of any dispute hereunder or in connection herewith or with any transaction contemplated hereby, and hereby irrevocably waives, and agrees not to assert in any suit, action or other proceeding, any claim that it is not personally subject to the jurisdiction of any such court, that such suit, action or other proceeding is improper or is an inconvenient venue for such proceeding. The Company hereby and each Holder (by its acceptance of this Note) irrevocably waives personal service of process and consents to process being served in any such suit, action or other proceeding by mailing a copy thereof via registered or certified mail or overnight delivery (with evidence of delivery) to such person at the address in effect for notices to it under Section 6.1 of the Facility Agreement and agrees that such service shall constitute good and sufficient service of process and notice thereof. Nothing contained herein shall be deemed to limit in any way any right to serve process in any other manner permitted by law. EACH OF THE COMPANY AND THE HOLDER (BY ACCEPTANCE HEREOF) IRREVOCABLY WAIVES THE RIGHT TO A TRIAL BY JURY IN ANY ACTION OR PROCEEDING BROUGHT TO ENFORCE ANY PROVISION OF THIS NOTE OR ANY OTHER TRANSACTION DOCUMENT.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61" w:name="page262"/>
    <w:bookmarkEnd w:id="261"/>
    <w:p>
      <w:pPr>
        <w:ind w:firstLine="913"/>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Interpretative Matters</w:t>
      </w:r>
      <w:r>
        <w:rPr>
          <w:rFonts w:ascii="Arial" w:cs="Arial" w:eastAsia="Arial" w:hAnsi="Arial"/>
          <w:sz w:val="18"/>
          <w:szCs w:val="18"/>
          <w:color w:val="auto"/>
        </w:rPr>
        <w:t>. Unless the context otherwise requires, (a) all references to Sections or Exhibits are to Sections or Exhibits contained in or attached to this Note, (b) each accounting term not otherwise defined in this Note has the meaning assigned to it in accordance with GAAP, (c) words in the singular or plural include the singular and plural and pronouns stated in either the masculine, the feminine or neuter gender shall include the masculine, feminine and neuter and (d) the use of the word “including” in this Note shall be by way of example rather than limitation. If a stock split, stock dividend, stock combination or other similar event occurs during any period over which an average price is being determined, then an appropriate adjustment will be made to such average to reflect such event.</w:t>
      </w:r>
    </w:p>
    <w:p>
      <w:pPr>
        <w:spacing w:after="0" w:line="193" w:lineRule="exact"/>
        <w:rPr>
          <w:sz w:val="20"/>
          <w:szCs w:val="20"/>
          <w:color w:val="auto"/>
        </w:rPr>
      </w:pPr>
    </w:p>
    <w:p>
      <w:pPr>
        <w:jc w:val="both"/>
        <w:ind w:right="80" w:firstLine="913"/>
        <w:spacing w:after="0" w:line="255" w:lineRule="auto"/>
        <w:rPr>
          <w:sz w:val="20"/>
          <w:szCs w:val="20"/>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A facsimile, telecopy, PDF or other reproduction of this Note may be delivered by the Company, and an executed copy of this Note may be delivered by the Company by facsimile, e-mail or other similar electronic transmission device pursuant to which the signature of or on behalf of the Company can be seen, and such execution and delivery shall be considered valid, binding and effective for all purposes. The Company hereby agrees that it shall not raise the execution of facsimile, PDF or other reproduction of this Note, or the fact that any signature was transmitted by facsimile, e-mail or other similar electronic transmission device, as a defense to the Company’s execution of this Note. Notwithstanding the foregoing, the Company shall be required to deliver an originally executed Note to the Holder.</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duly executed as of the date first set forth above.</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759"/>
          </w:cols>
          <w:pgMar w:left="700" w:top="274" w:right="1440" w:bottom="1440" w:gutter="0" w:footer="0" w:header="0"/>
        </w:sectPr>
      </w:pPr>
    </w:p>
    <w:bookmarkStart w:id="263" w:name="page264"/>
    <w:bookmarkEnd w:id="26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Reference is made to the Senior Secured Convertible Note (the “</w:t>
      </w:r>
      <w:r>
        <w:rPr>
          <w:rFonts w:ascii="Arial" w:cs="Arial" w:eastAsia="Arial" w:hAnsi="Arial"/>
          <w:sz w:val="18"/>
          <w:szCs w:val="18"/>
          <w:b w:val="1"/>
          <w:bCs w:val="1"/>
          <w:color w:val="auto"/>
        </w:rPr>
        <w:t>Note</w:t>
      </w:r>
      <w:r>
        <w:rPr>
          <w:rFonts w:ascii="Arial" w:cs="Arial" w:eastAsia="Arial" w:hAnsi="Arial"/>
          <w:sz w:val="18"/>
          <w:szCs w:val="18"/>
          <w:color w:val="auto"/>
        </w:rPr>
        <w:t xml:space="preserve">”) of </w:t>
      </w:r>
      <w:r>
        <w:rPr>
          <w:rFonts w:ascii="Arial" w:cs="Arial" w:eastAsia="Arial" w:hAnsi="Arial"/>
          <w:sz w:val="18"/>
          <w:szCs w:val="18"/>
          <w:b w:val="1"/>
          <w:bCs w:val="1"/>
          <w:color w:val="auto"/>
        </w:rPr>
        <w:t>MANNKIND CORPORATION</w:t>
      </w:r>
      <w:r>
        <w:rPr>
          <w:rFonts w:ascii="Arial" w:cs="Arial" w:eastAsia="Arial" w:hAnsi="Arial"/>
          <w:sz w:val="18"/>
          <w:szCs w:val="18"/>
          <w:color w:val="auto"/>
        </w:rPr>
        <w:t>, a Delaware corporation (the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 the original principal amount of $[ ]. In accordance with and pursuant to the Note, the undersigned hereby elects to convert the Conversion Amount (as defined in the Note) of the Note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Company, as of the date specified below.</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-10160</wp:posOffset>
            </wp:positionV>
            <wp:extent cx="571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Conversion Amount to be converted at the Conversion Price (as defined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18694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Principal, applicable thereto,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14605</wp:posOffset>
            </wp:positionV>
            <wp:extent cx="43135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57886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14605</wp:posOffset>
            </wp:positionV>
            <wp:extent cx="4330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2261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14605</wp:posOffset>
            </wp:positionV>
            <wp:extent cx="57283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wp:posOffset>
            </wp:positionV>
            <wp:extent cx="20580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wp:posOffset>
            </wp:positionV>
            <wp:extent cx="20580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14605</wp:posOffset>
            </wp:positionV>
            <wp:extent cx="20580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5298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Participant Number and Name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370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14605</wp:posOffset>
            </wp:positionV>
            <wp:extent cx="42367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hereby acknowledges this Conversion Notice and hereby directs [TRANSFER AGENT] to issue the above indicated number of shares of Common Stock.</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by the registered holder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desiring to transfer the Note)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of the attached Senior Secured Convertible Note (the “</w:t>
      </w:r>
      <w:r>
        <w:rPr>
          <w:rFonts w:ascii="Arial" w:cs="Arial" w:eastAsia="Arial" w:hAnsi="Arial"/>
          <w:sz w:val="16"/>
          <w:szCs w:val="16"/>
          <w:b w:val="1"/>
          <w:bCs w:val="1"/>
          <w:color w:val="auto"/>
        </w:rPr>
        <w:t>Note</w:t>
      </w:r>
      <w:r>
        <w:rPr>
          <w:rFonts w:ascii="Arial" w:cs="Arial" w:eastAsia="Arial" w:hAnsi="Arial"/>
          <w:sz w:val="16"/>
          <w:szCs w:val="16"/>
          <w:color w:val="auto"/>
        </w:rPr>
        <w:t>”) hereby sells, assigns and transfers unto the</w:t>
      </w:r>
    </w:p>
    <w:p>
      <w:pPr>
        <w:spacing w:after="0" w:line="50"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person or persons below named the right to receive the principal amount of $ from Mannkind Corporation, a Delaware corporation, evidenced by the attached Note and does hereby irrevocably constitute and appoint attorney to transfer the said Note on the books of the Company, with full power of</w:t>
      </w:r>
    </w:p>
    <w:p>
      <w:pPr>
        <w:spacing w:after="0"/>
        <w:rPr>
          <w:sz w:val="20"/>
          <w:szCs w:val="20"/>
          <w:color w:val="auto"/>
        </w:rPr>
      </w:pPr>
      <w:r>
        <w:rPr>
          <w:rFonts w:ascii="Arial" w:cs="Arial" w:eastAsia="Arial" w:hAnsi="Arial"/>
          <w:sz w:val="18"/>
          <w:szCs w:val="18"/>
          <w:color w:val="auto"/>
        </w:rPr>
        <w:t>substitution in the premises.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3036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Fill in for new registration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 of assignee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 number)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 to the foregoing Assignment must correspond to the name as written upon the face of the attached Note in every particular, without alteration or enlargement or any change whatsoever.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INVESTOR REPRESENTATION LETTER]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left="960" w:hanging="952"/>
        <w:spacing w:after="0"/>
        <w:tabs>
          <w:tab w:leader="none" w:pos="9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280" w:firstLine="585"/>
        <w:spacing w:after="0" w:line="258" w:lineRule="auto"/>
        <w:rPr>
          <w:sz w:val="20"/>
          <w:szCs w:val="20"/>
          <w:color w:val="auto"/>
        </w:rPr>
      </w:pPr>
      <w:r>
        <w:rPr>
          <w:rFonts w:ascii="Arial" w:cs="Arial" w:eastAsia="Arial" w:hAnsi="Arial"/>
          <w:sz w:val="18"/>
          <w:szCs w:val="18"/>
          <w:color w:val="auto"/>
        </w:rPr>
        <w:t>(“ ”) has agreed to purchase $ principal amount of Senior Secured Convertible Note (the “Note”) of [ ] (the “Company”) from [ ] (“[ ]”). We understand that the Note is a “restricted security.” We represent and warrant that is a sophisticated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institutional investor that would qualify as an “Accredited Investor” as defined in Rule 501 of Regulation D under the Securities Act of 1933, as amended (the “Securities Act”).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represents and warrants as of the date hereof as follows:</w:t>
      </w:r>
    </w:p>
    <w:p>
      <w:pPr>
        <w:spacing w:after="0" w:line="117" w:lineRule="exact"/>
        <w:rPr>
          <w:sz w:val="20"/>
          <w:szCs w:val="20"/>
          <w:color w:val="auto"/>
        </w:rPr>
      </w:pPr>
    </w:p>
    <w:p>
      <w:pPr>
        <w:jc w:val="right"/>
        <w:ind w:left="460" w:firstLine="4"/>
        <w:spacing w:after="0" w:line="286" w:lineRule="auto"/>
        <w:tabs>
          <w:tab w:leader="none" w:pos="6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That it is acquiring the Note and the shares of common stock, $0.01 par value per share underlying such Note (the “Conversion Shares”) solely for its account for investment and not with a view to or for sale or distribution of said Note or Conversion Shares or any part thereof in violation of applicable securities laws, except pursuant to sales registered or exempted under the Securities Act; provided, however, that by making the representations herein, does not agree, or make any representation or warranty, to hold any of the securities for any minimum or other specific term and reserves the right</w:t>
      </w:r>
    </w:p>
    <w:p>
      <w:pPr>
        <w:spacing w:after="0" w:line="2" w:lineRule="exact"/>
        <w:rPr>
          <w:sz w:val="20"/>
          <w:szCs w:val="20"/>
          <w:color w:val="auto"/>
        </w:rPr>
      </w:pPr>
    </w:p>
    <w:p>
      <w:pPr>
        <w:jc w:val="both"/>
        <w:ind w:left="460" w:right="160"/>
        <w:spacing w:after="0" w:line="375" w:lineRule="auto"/>
        <w:rPr>
          <w:sz w:val="20"/>
          <w:szCs w:val="20"/>
          <w:color w:val="auto"/>
        </w:rPr>
      </w:pPr>
      <w:r>
        <w:rPr>
          <w:rFonts w:ascii="Arial" w:cs="Arial" w:eastAsia="Arial" w:hAnsi="Arial"/>
          <w:sz w:val="16"/>
          <w:szCs w:val="16"/>
          <w:color w:val="auto"/>
        </w:rPr>
        <w:t>to dispose of the securities at any time in accordance with or pursuant to a registration statement or an exemption under the Securities Act. does not presently have any agreement or understanding, directly or indirectly, with any Person to distribute the Note or the Conversion Shares in violation of applicable securities laws. As used in this Agreement,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460" w:right="100"/>
        <w:spacing w:after="0" w:line="308" w:lineRule="auto"/>
        <w:rPr>
          <w:sz w:val="20"/>
          <w:szCs w:val="20"/>
          <w:color w:val="auto"/>
        </w:rPr>
      </w:pPr>
      <w:r>
        <w:rPr>
          <w:rFonts w:ascii="Arial" w:cs="Arial" w:eastAsia="Arial" w:hAnsi="Arial"/>
          <w:sz w:val="17"/>
          <w:szCs w:val="17"/>
          <w:color w:val="auto"/>
        </w:rPr>
        <w:t>corporation, a trust, an unincorporated organization and a government or any department or agency thereof. also represents that the entire legal and beneficial interests of the Note and Conversion Shares is acquiring is being acquired for, and will be held for, its account only;</w:t>
      </w:r>
    </w:p>
    <w:p>
      <w:pPr>
        <w:spacing w:after="0" w:line="38" w:lineRule="exact"/>
        <w:rPr>
          <w:sz w:val="20"/>
          <w:szCs w:val="20"/>
          <w:color w:val="auto"/>
        </w:rPr>
      </w:pPr>
    </w:p>
    <w:p>
      <w:pPr>
        <w:ind w:left="1220" w:hanging="756"/>
        <w:spacing w:after="0"/>
        <w:tabs>
          <w:tab w:leader="none" w:pos="12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understands that the Notes and the Conversion Shares have not been registered under the Securities Act in reliance on specific exemptions</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from the registration requirements of United States federal and state securities laws and in reliance in part upon the truth and accuracy of, and such</w:t>
      </w:r>
    </w:p>
    <w:p>
      <w:pPr>
        <w:spacing w:after="0" w:line="248" w:lineRule="exact"/>
        <w:rPr>
          <w:sz w:val="20"/>
          <w:szCs w:val="20"/>
          <w:color w:val="auto"/>
        </w:rPr>
      </w:pPr>
    </w:p>
    <w:p>
      <w:pPr>
        <w:ind w:left="460" w:right="320" w:firstLine="540"/>
        <w:spacing w:after="0" w:line="277" w:lineRule="auto"/>
        <w:rPr>
          <w:sz w:val="20"/>
          <w:szCs w:val="20"/>
          <w:color w:val="auto"/>
        </w:rPr>
      </w:pPr>
      <w:r>
        <w:rPr>
          <w:rFonts w:ascii="Arial" w:cs="Arial" w:eastAsia="Arial" w:hAnsi="Arial"/>
          <w:sz w:val="18"/>
          <w:szCs w:val="18"/>
          <w:color w:val="auto"/>
        </w:rPr>
        <w:t>’s compliance with, the representations, warranties, agreements, acknowledgments and understandings of set forth herein in order to determine the availability of such exemptions and the eligibility of to acquire the securities.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 That the Note and the Conversion Shares must be held indefinitely unless they are subsequently registered under the Securities Act or an exemption</w:t>
      </w:r>
    </w:p>
    <w:p>
      <w:pPr>
        <w:spacing w:after="0" w:line="46"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from such registration is available. recognizes that the Company has no obligation to register the Note, or to comply with any exemption from such registration;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67" w:name="page268"/>
    <w:bookmarkEnd w:id="267"/>
    <w:p>
      <w:pPr>
        <w:ind w:firstLine="4"/>
        <w:spacing w:after="0" w:line="264"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neither the Note nor the Conversion Shares may be sold pursuant to Rule 144 adopted under the Securities Act unless certain conditions are met, including, among other things, the existence of a public market for the shares, the availability of certain current public information about the Company, the resale following the required holding period under Rule 144;</w:t>
      </w:r>
    </w:p>
    <w:p>
      <w:pPr>
        <w:spacing w:after="0" w:line="73" w:lineRule="exact"/>
        <w:rPr>
          <w:rFonts w:ascii="Arial" w:cs="Arial" w:eastAsia="Arial" w:hAnsi="Arial"/>
          <w:sz w:val="18"/>
          <w:szCs w:val="18"/>
          <w:color w:val="auto"/>
        </w:rPr>
      </w:pPr>
    </w:p>
    <w:p>
      <w:pPr>
        <w:ind w:left="180" w:hanging="176"/>
        <w:spacing w:after="0"/>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It is an “accredited investor” as defined in Regulation D promulgated under the Securities Act;</w:t>
      </w:r>
    </w:p>
    <w:p>
      <w:pPr>
        <w:spacing w:after="0" w:line="1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20"/>
          </w:cols>
          <w:pgMar w:left="700" w:top="274" w:right="579" w:bottom="1440" w:gutter="0" w:footer="0" w:header="0"/>
        </w:sectPr>
      </w:pPr>
    </w:p>
    <w:bookmarkStart w:id="268" w:name="page269"/>
    <w:bookmarkEnd w:id="2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 That it will not make any disposition of all or any part of the Note or Conversion Shares in any event unless and until:</w:t>
      </w:r>
    </w:p>
    <w:p>
      <w:pPr>
        <w:spacing w:after="0" w:line="11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(i) The Company shall have received a letter secured by from the Securities and Exchange Commission stating that no action will be recommended to the Securities and Exchange Commission with respect to the proposed disposition;</w:t>
      </w:r>
    </w:p>
    <w:p>
      <w:pPr>
        <w:spacing w:after="0" w:line="62" w:lineRule="exact"/>
        <w:rPr>
          <w:sz w:val="20"/>
          <w:szCs w:val="20"/>
          <w:color w:val="auto"/>
        </w:rPr>
      </w:pPr>
    </w:p>
    <w:p>
      <w:pPr>
        <w:ind w:left="920" w:right="260" w:firstLine="1"/>
        <w:spacing w:after="0" w:line="277" w:lineRule="auto"/>
        <w:tabs>
          <w:tab w:leader="none" w:pos="11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said registration statement; or</w:t>
      </w:r>
    </w:p>
    <w:p>
      <w:pPr>
        <w:spacing w:after="0" w:line="62" w:lineRule="exact"/>
        <w:rPr>
          <w:rFonts w:ascii="Arial" w:cs="Arial" w:eastAsia="Arial" w:hAnsi="Arial"/>
          <w:sz w:val="18"/>
          <w:szCs w:val="18"/>
          <w:color w:val="auto"/>
        </w:rPr>
      </w:pPr>
    </w:p>
    <w:p>
      <w:pPr>
        <w:ind w:left="920" w:right="420" w:firstLine="1"/>
        <w:spacing w:after="0" w:line="342" w:lineRule="auto"/>
        <w:tabs>
          <w:tab w:leader="none" w:pos="18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shall have notified the Company of the proposed disposition and, in the case of a sale or transfer in a so called “4(1) and a half” transaction, shall have furnished counsel to the Company with an opinion of counsel, reasonably satisfactory to counsel to the Company.</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acknowledge that the Company will place stop orders with respect to the Note and the Conversion Shares, and if a registration statement is not effective, the Conversion Shares shall bear the following restrictive legend:</w:t>
      </w:r>
    </w:p>
    <w:p>
      <w:pPr>
        <w:spacing w:after="0" w:line="62"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At any time and from time to time after the date hereof, shall, without further consideration, execute and deliver to [ ] or the Company such other instruments or documents and shall take such other actions as they may reasonably request to carry out the transactions contemplated hereby.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69" w:name="page270"/>
    <w:bookmarkEnd w:id="26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OPINION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left="960" w:hanging="952"/>
        <w:spacing w:after="0"/>
        <w:tabs>
          <w:tab w:leader="none" w:pos="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Mannkind Corporation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 (“[ ]”) intends to transfer its Senior Secured Convertible Note in the principal amount of $ (the “Note”) of the Company to (“ ”) without registration under the Securities Act of 1933, as amended (the “Securities Act”). In connection herewith, we have examined such documents and issues of law as we have deemed relevant.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and subject to the foregoing, we are of the opinion that the transfer of the Note by to may be effected without registration under the Securities Act, provided, however, that the Note to be transferred to contain a legend restricting its transferability pursuant to the Securities Act and that transfer of the Note is subject to a stop order.</w:t>
      </w:r>
    </w:p>
    <w:p>
      <w:pPr>
        <w:spacing w:after="0" w:line="181"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color w:val="auto"/>
        </w:rPr>
        <w:t>The foregoing opinion is furnished only to</w:t>
      </w:r>
      <w:r>
        <w:rPr>
          <w:sz w:val="20"/>
          <w:szCs w:val="20"/>
          <w:color w:val="auto"/>
        </w:rPr>
        <w:tab/>
      </w:r>
      <w:r>
        <w:rPr>
          <w:rFonts w:ascii="Arial" w:cs="Arial" w:eastAsia="Arial" w:hAnsi="Arial"/>
          <w:sz w:val="16"/>
          <w:szCs w:val="16"/>
          <w:color w:val="auto"/>
        </w:rPr>
        <w:t>and may not be used, circulated, quoted or otherwise referred to or relied upon by you for any purposes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purpose for which furnished or by any other person for any purpose, without our prior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0" w:right="31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Tranche B Note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74"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NOTE MAY BE ISSUED WITH ORIGINAL ISSUE DISCOUNT (“OID”) FOR U.S. FEDERAL INCOME TAX PURPOSES. THE ISSUE PRICE OF THIS NOTE SHALL BE MUTUALLY DETERMINED BY THE ORIGINAL HOLDER AND THE COMPANY IN GOOD FAITH AND IN ACCORDANCE WITH THE APPLICABLE PROVISIONS OF SECTIONS 1271 THROUGH 1275 OF THE U.S. INTERNAL REVENUE CODE. THE ISSUE PRICE, AMOUNT OF OID, ISSUE DATE AND YIELD TO MATURITY WITH RESPECT TO THIS NOTE MAY BE OBTAINED BY WRITING TO THE BORROWER AT THE FOLLOWING ADDRESS: 28903 NORTH AVENUE PAINE; VALENCIA, CALIFORNIA 91355; ATTENTION: MATTHEW PFEFFER FAX NUMBER: (661) 775-2099.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9520" w:type="dxa"/>
            <w:vAlign w:val="bottom"/>
            <w:gridSpan w:val="5"/>
          </w:tcPr>
          <w:p>
            <w:pPr>
              <w:ind w:left="2640"/>
              <w:spacing w:after="0"/>
              <w:rPr>
                <w:sz w:val="20"/>
                <w:szCs w:val="20"/>
                <w:color w:val="auto"/>
              </w:rPr>
            </w:pPr>
            <w:r>
              <w:rPr>
                <w:rFonts w:ascii="Arial" w:cs="Arial" w:eastAsia="Arial" w:hAnsi="Arial"/>
                <w:sz w:val="18"/>
                <w:szCs w:val="18"/>
                <w:b w:val="1"/>
                <w:bCs w:val="1"/>
                <w:color w:val="auto"/>
              </w:rPr>
              <w:t>TRANCHE B SENIOR SECURED NOTE</w:t>
            </w:r>
          </w:p>
        </w:tc>
        <w:tc>
          <w:tcPr>
            <w:tcW w:w="460" w:type="dxa"/>
            <w:vAlign w:val="bottom"/>
          </w:tcPr>
          <w:p>
            <w:pPr>
              <w:spacing w:after="0"/>
              <w:rPr>
                <w:sz w:val="17"/>
                <w:szCs w:val="17"/>
                <w:color w:val="auto"/>
              </w:rPr>
            </w:pPr>
          </w:p>
        </w:tc>
      </w:tr>
      <w:tr>
        <w:trPr>
          <w:trHeight w:val="480"/>
        </w:trPr>
        <w:tc>
          <w:tcPr>
            <w:tcW w:w="1440" w:type="dxa"/>
            <w:vAlign w:val="bottom"/>
          </w:tcPr>
          <w:p>
            <w:pPr>
              <w:spacing w:after="0"/>
              <w:rPr>
                <w:sz w:val="20"/>
                <w:szCs w:val="20"/>
                <w:color w:val="auto"/>
              </w:rPr>
            </w:pPr>
            <w:r>
              <w:rPr>
                <w:rFonts w:ascii="Arial" w:cs="Arial" w:eastAsia="Arial" w:hAnsi="Arial"/>
                <w:sz w:val="18"/>
                <w:szCs w:val="18"/>
                <w:color w:val="auto"/>
              </w:rPr>
              <w:t>Issuance Date: [</w:t>
            </w:r>
          </w:p>
        </w:tc>
        <w:tc>
          <w:tcPr>
            <w:tcW w:w="2640" w:type="dxa"/>
            <w:vAlign w:val="bottom"/>
          </w:tcPr>
          <w:p>
            <w:pPr>
              <w:jc w:val="right"/>
              <w:ind w:right="1770"/>
              <w:spacing w:after="0"/>
              <w:rPr>
                <w:sz w:val="20"/>
                <w:szCs w:val="20"/>
                <w:color w:val="auto"/>
              </w:rPr>
            </w:pPr>
            <w:r>
              <w:rPr>
                <w:rFonts w:ascii="Arial" w:cs="Arial" w:eastAsia="Arial" w:hAnsi="Arial"/>
                <w:sz w:val="18"/>
                <w:szCs w:val="18"/>
                <w:color w:val="auto"/>
              </w:rPr>
              <w:t>], 2014</w:t>
            </w:r>
          </w:p>
        </w:tc>
        <w:tc>
          <w:tcPr>
            <w:tcW w:w="8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20" w:type="dxa"/>
            <w:vAlign w:val="bottom"/>
          </w:tcPr>
          <w:p>
            <w:pPr>
              <w:ind w:left="2220"/>
              <w:spacing w:after="0"/>
              <w:rPr>
                <w:sz w:val="20"/>
                <w:szCs w:val="20"/>
                <w:color w:val="auto"/>
              </w:rPr>
            </w:pPr>
            <w:r>
              <w:rPr>
                <w:rFonts w:ascii="Arial" w:cs="Arial" w:eastAsia="Arial" w:hAnsi="Arial"/>
                <w:sz w:val="18"/>
                <w:szCs w:val="18"/>
                <w:color w:val="auto"/>
              </w:rPr>
              <w:t>Principal: U.S.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10960" w:type="dxa"/>
            <w:vAlign w:val="bottom"/>
            <w:gridSpan w:val="6"/>
          </w:tcPr>
          <w:p>
            <w:pPr>
              <w:ind w:left="460"/>
              <w:spacing w:after="0"/>
              <w:rPr>
                <w:sz w:val="20"/>
                <w:szCs w:val="20"/>
                <w:color w:val="auto"/>
              </w:rPr>
            </w:pPr>
            <w:r>
              <w:rPr>
                <w:rFonts w:ascii="Arial" w:cs="Arial" w:eastAsia="Arial" w:hAnsi="Arial"/>
                <w:sz w:val="18"/>
                <w:szCs w:val="18"/>
                <w:b w:val="1"/>
                <w:bCs w:val="1"/>
                <w:color w:val="auto"/>
              </w:rPr>
              <w:t xml:space="preserve">FOR VALUE RECEIVED, MANNKIND CORPORATION, </w:t>
            </w:r>
            <w:r>
              <w:rPr>
                <w:rFonts w:ascii="Arial" w:cs="Arial" w:eastAsia="Arial" w:hAnsi="Arial"/>
                <w:sz w:val="18"/>
                <w:szCs w:val="18"/>
                <w:color w:val="auto"/>
              </w:rPr>
              <w:t>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promises to pay to [</w:t>
            </w:r>
          </w:p>
        </w:tc>
        <w:tc>
          <w:tcPr>
            <w:tcW w:w="460" w:type="dxa"/>
            <w:vAlign w:val="bottom"/>
          </w:tcPr>
          <w:p>
            <w:pPr>
              <w:jc w:val="right"/>
              <w:spacing w:after="0"/>
              <w:rPr>
                <w:sz w:val="20"/>
                <w:szCs w:val="20"/>
                <w:color w:val="auto"/>
              </w:rPr>
            </w:pPr>
            <w:r>
              <w:rPr>
                <w:rFonts w:ascii="Arial" w:cs="Arial" w:eastAsia="Arial" w:hAnsi="Arial"/>
                <w:sz w:val="18"/>
                <w:szCs w:val="18"/>
                <w:color w:val="auto"/>
              </w:rPr>
              <w:t>], or</w:t>
            </w:r>
          </w:p>
        </w:tc>
      </w:tr>
      <w:tr>
        <w:trPr>
          <w:trHeight w:val="234"/>
        </w:trPr>
        <w:tc>
          <w:tcPr>
            <w:tcW w:w="4920" w:type="dxa"/>
            <w:vAlign w:val="bottom"/>
            <w:gridSpan w:val="3"/>
          </w:tcPr>
          <w:p>
            <w:pPr>
              <w:spacing w:after="0"/>
              <w:rPr>
                <w:sz w:val="20"/>
                <w:szCs w:val="20"/>
                <w:color w:val="auto"/>
              </w:rPr>
            </w:pPr>
            <w:r>
              <w:rPr>
                <w:rFonts w:ascii="Arial" w:cs="Arial" w:eastAsia="Arial" w:hAnsi="Arial"/>
                <w:sz w:val="18"/>
                <w:szCs w:val="18"/>
                <w:color w:val="auto"/>
              </w:rPr>
              <w:t>its registered assigns (the “</w:t>
            </w:r>
            <w:r>
              <w:rPr>
                <w:rFonts w:ascii="Arial" w:cs="Arial" w:eastAsia="Arial" w:hAnsi="Arial"/>
                <w:sz w:val="18"/>
                <w:szCs w:val="18"/>
                <w:b w:val="1"/>
                <w:bCs w:val="1"/>
                <w:color w:val="auto"/>
              </w:rPr>
              <w:t>Holder</w:t>
            </w:r>
            <w:r>
              <w:rPr>
                <w:rFonts w:ascii="Arial" w:cs="Arial" w:eastAsia="Arial" w:hAnsi="Arial"/>
                <w:sz w:val="18"/>
                <w:szCs w:val="18"/>
                <w:color w:val="auto"/>
              </w:rPr>
              <w:t>”) the principal amount of [</w:t>
            </w:r>
          </w:p>
        </w:tc>
        <w:tc>
          <w:tcPr>
            <w:tcW w:w="1600" w:type="dxa"/>
            <w:vAlign w:val="bottom"/>
          </w:tcPr>
          <w:p>
            <w:pPr>
              <w:ind w:left="440"/>
              <w:spacing w:after="0"/>
              <w:rPr>
                <w:sz w:val="20"/>
                <w:szCs w:val="20"/>
                <w:color w:val="auto"/>
              </w:rPr>
            </w:pPr>
            <w:r>
              <w:rPr>
                <w:rFonts w:ascii="Arial" w:cs="Arial" w:eastAsia="Arial" w:hAnsi="Arial"/>
                <w:sz w:val="18"/>
                <w:szCs w:val="18"/>
                <w:color w:val="auto"/>
              </w:rPr>
              <w:t>] Dollars ($[</w:t>
            </w:r>
          </w:p>
        </w:tc>
        <w:tc>
          <w:tcPr>
            <w:tcW w:w="4900" w:type="dxa"/>
            <w:vAlign w:val="bottom"/>
            <w:gridSpan w:val="3"/>
          </w:tcPr>
          <w:p>
            <w:pPr>
              <w:jc w:val="right"/>
              <w:ind w:right="210"/>
              <w:spacing w:after="0"/>
              <w:rPr>
                <w:sz w:val="20"/>
                <w:szCs w:val="20"/>
                <w:color w:val="auto"/>
              </w:rPr>
            </w:pPr>
            <w:r>
              <w:rPr>
                <w:rFonts w:ascii="Arial" w:cs="Arial" w:eastAsia="Arial" w:hAnsi="Arial"/>
                <w:sz w:val="18"/>
                <w:szCs w:val="18"/>
                <w:color w:val="auto"/>
                <w:w w:val="97"/>
              </w:rPr>
              <w:t>]) (the “</w:t>
            </w:r>
            <w:r>
              <w:rPr>
                <w:rFonts w:ascii="Arial" w:cs="Arial" w:eastAsia="Arial" w:hAnsi="Arial"/>
                <w:sz w:val="18"/>
                <w:szCs w:val="18"/>
                <w:b w:val="1"/>
                <w:bCs w:val="1"/>
                <w:color w:val="auto"/>
                <w:w w:val="97"/>
              </w:rPr>
              <w:t>Principal</w:t>
            </w:r>
            <w:r>
              <w:rPr>
                <w:rFonts w:ascii="Arial" w:cs="Arial" w:eastAsia="Arial" w:hAnsi="Arial"/>
                <w:sz w:val="18"/>
                <w:szCs w:val="18"/>
                <w:color w:val="auto"/>
                <w:w w:val="97"/>
              </w:rPr>
              <w:t>”) pursuant to, and in accordance with, the</w:t>
            </w:r>
          </w:p>
        </w:tc>
      </w:tr>
    </w:tbl>
    <w:p>
      <w:pPr>
        <w:ind w:right="40"/>
        <w:spacing w:after="0" w:line="288" w:lineRule="auto"/>
        <w:rPr>
          <w:sz w:val="20"/>
          <w:szCs w:val="20"/>
          <w:color w:val="auto"/>
        </w:rPr>
      </w:pPr>
      <w:r>
        <w:rPr>
          <w:rFonts w:ascii="Arial" w:cs="Arial" w:eastAsia="Arial" w:hAnsi="Arial"/>
          <w:sz w:val="16"/>
          <w:szCs w:val="16"/>
          <w:color w:val="auto"/>
        </w:rPr>
        <w:t>terms of that certain Facility Agreement, dated as of July 1, 2013, as amended on February 28, 2014, by and among the Company and the Purchasers party thereto (together with all exhibits and schedules thereto and as may be amended, restated, modified and supplemented from time to time, the “</w:t>
      </w:r>
      <w:r>
        <w:rPr>
          <w:rFonts w:ascii="Arial" w:cs="Arial" w:eastAsia="Arial" w:hAnsi="Arial"/>
          <w:sz w:val="16"/>
          <w:szCs w:val="16"/>
          <w:b w:val="1"/>
          <w:bCs w:val="1"/>
          <w:color w:val="auto"/>
        </w:rPr>
        <w:t>Facility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 Company hereby promises to pay accrued and unpaid Interest (as defined below) and premium, if any, on the Principal on the dates, at the</w:t>
      </w:r>
      <w:r>
        <w:rPr>
          <w:rFonts w:ascii="Arial" w:cs="Arial" w:eastAsia="Arial" w:hAnsi="Arial"/>
          <w:sz w:val="16"/>
          <w:szCs w:val="16"/>
          <w:b w:val="1"/>
          <w:bCs w:val="1"/>
          <w:color w:val="auto"/>
        </w:rPr>
        <w:t xml:space="preserve"> </w:t>
      </w:r>
      <w:r>
        <w:rPr>
          <w:rFonts w:ascii="Arial" w:cs="Arial" w:eastAsia="Arial" w:hAnsi="Arial"/>
          <w:sz w:val="16"/>
          <w:szCs w:val="16"/>
          <w:color w:val="auto"/>
        </w:rPr>
        <w:t>rates and in the manner provided for in the Facility Agreement. This Tranche B Senior Secured Note (including all Tranche B Senior Secured Notes issued in exchange, transfer or replacement hereof, and as any of the foregoing may be amended, restated, supplemented or otherwise modified from time, this “</w:t>
      </w:r>
      <w:r>
        <w:rPr>
          <w:rFonts w:ascii="Arial" w:cs="Arial" w:eastAsia="Arial" w:hAnsi="Arial"/>
          <w:sz w:val="16"/>
          <w:szCs w:val="16"/>
          <w:b w:val="1"/>
          <w:bCs w:val="1"/>
          <w:color w:val="auto"/>
        </w:rPr>
        <w:t>Note</w:t>
      </w:r>
      <w:r>
        <w:rPr>
          <w:rFonts w:ascii="Arial" w:cs="Arial" w:eastAsia="Arial" w:hAnsi="Arial"/>
          <w:sz w:val="16"/>
          <w:szCs w:val="16"/>
          <w:color w:val="auto"/>
        </w:rPr>
        <w:t>”) is one of the Tranche B Senior Secured Notes issued pursuant to the Facility Agreement (collectively, including Tranche B Senior Secured Notes to be issued pursuant to the Facility Agreement in the future, all Tranche B Senior Secured Notes issued in exchange, transfer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272" w:name="page273"/>
    <w:bookmarkEnd w:id="272"/>
    <w:p>
      <w:pPr>
        <w:ind w:right="400"/>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replacement thereof, as well as any of the foregoing may be amended, restated, supplemented or otherwise modified from time to time, the “</w:t>
      </w:r>
      <w:r>
        <w:rPr>
          <w:rFonts w:ascii="Arial" w:cs="Arial" w:eastAsia="Arial" w:hAnsi="Arial"/>
          <w:sz w:val="17"/>
          <w:szCs w:val="17"/>
          <w:b w:val="1"/>
          <w:bCs w:val="1"/>
          <w:color w:val="auto"/>
        </w:rPr>
        <w:t>Notes</w:t>
      </w:r>
      <w:r>
        <w:rPr>
          <w:rFonts w:ascii="Arial" w:cs="Arial" w:eastAsia="Arial" w:hAnsi="Arial"/>
          <w:sz w:val="17"/>
          <w:szCs w:val="17"/>
          <w:color w:val="auto"/>
        </w:rPr>
        <w:t>”). All capitalized terms used and not otherwise defined herein shall have the respective meanings set forth in the Facility Agreement.</w:t>
      </w:r>
    </w:p>
    <w:p>
      <w:pPr>
        <w:spacing w:after="0" w:line="1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as expressly provided in the Facility Agreement, the Company has no right, but under certain circumstances may have an obligation, to make payments of Principal prior to the Final Payment Date. At any time an Event of Default exists, the Principal of this Note, together with all accrued and unpaid Interest and any applicable premium due, if any, may be declared, or shall otherwise become, due and payable in the manner, at the price and with the effect provided in the Facility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Note, the following terms shall have the following meanings:</w:t>
      </w:r>
    </w:p>
    <w:p>
      <w:pPr>
        <w:spacing w:after="0" w:line="221" w:lineRule="exact"/>
        <w:rPr>
          <w:sz w:val="20"/>
          <w:szCs w:val="20"/>
          <w:color w:val="auto"/>
        </w:rPr>
      </w:pPr>
    </w:p>
    <w:p>
      <w:pPr>
        <w:ind w:firstLine="19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or entity that, directly or indirectly through one or more intermediaries, controls or is controlled by or is under common 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w:t>
      </w:r>
      <w:r>
        <w:rPr>
          <w:rFonts w:ascii="Arial" w:cs="Arial" w:eastAsia="Arial" w:hAnsi="Arial"/>
          <w:sz w:val="16"/>
          <w:szCs w:val="16"/>
          <w:color w:val="auto"/>
        </w:rPr>
        <w:t>” means any interest (including any default interest) accrued on the Principal pursuant to the terms of this Note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Facility Agreement.</w:t>
      </w:r>
    </w:p>
    <w:p>
      <w:pPr>
        <w:spacing w:after="0" w:line="207" w:lineRule="exact"/>
        <w:rPr>
          <w:sz w:val="20"/>
          <w:szCs w:val="20"/>
          <w:color w:val="auto"/>
        </w:rPr>
      </w:pPr>
    </w:p>
    <w:p>
      <w:pPr>
        <w:ind w:left="1940"/>
        <w:spacing w:after="0"/>
        <w:tabs>
          <w:tab w:leader="none" w:pos="4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Date</w:t>
      </w:r>
      <w:r>
        <w:rPr>
          <w:rFonts w:ascii="Arial" w:cs="Arial" w:eastAsia="Arial" w:hAnsi="Arial"/>
          <w:sz w:val="18"/>
          <w:szCs w:val="18"/>
          <w:color w:val="auto"/>
        </w:rPr>
        <w:t>” means [</w:t>
      </w:r>
      <w:r>
        <w:rPr>
          <w:sz w:val="20"/>
          <w:szCs w:val="20"/>
          <w:color w:val="auto"/>
        </w:rPr>
        <w:tab/>
      </w:r>
      <w:r>
        <w:rPr>
          <w:rFonts w:ascii="Arial" w:cs="Arial" w:eastAsia="Arial" w:hAnsi="Arial"/>
          <w:sz w:val="16"/>
          <w:szCs w:val="16"/>
          <w:color w:val="auto"/>
        </w:rPr>
        <w:t>], 2014, regardless of any exchange or replacement hereof.</w:t>
      </w:r>
    </w:p>
    <w:p>
      <w:pPr>
        <w:spacing w:after="0" w:line="225" w:lineRule="exact"/>
        <w:rPr>
          <w:sz w:val="20"/>
          <w:szCs w:val="20"/>
          <w:color w:val="auto"/>
        </w:rPr>
      </w:pPr>
    </w:p>
    <w:p>
      <w:pPr>
        <w:ind w:right="360" w:firstLine="1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Pharmaceutical Company</w:t>
      </w:r>
      <w:r>
        <w:rPr>
          <w:rFonts w:ascii="Arial" w:cs="Arial" w:eastAsia="Arial" w:hAnsi="Arial"/>
          <w:sz w:val="18"/>
          <w:szCs w:val="18"/>
          <w:color w:val="auto"/>
        </w:rPr>
        <w:t>” means any Person engaged in the pharmaceutical or biotechnology industry who, for the immediately preceding fiscal year, had total revenues in excess of $2,000,000,000 (or its equivalent in another currency).</w:t>
      </w:r>
    </w:p>
    <w:p>
      <w:pPr>
        <w:spacing w:after="0" w:line="16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means the outstanding principal amount of this Note as of any date of determination.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Book-Entry and Legends</w:t>
      </w:r>
      <w:r>
        <w:rPr>
          <w:rFonts w:ascii="Arial" w:cs="Arial" w:eastAsia="Arial" w:hAnsi="Arial"/>
          <w:sz w:val="18"/>
          <w:szCs w:val="18"/>
          <w:color w:val="auto"/>
        </w:rPr>
        <w:t>.</w:t>
      </w:r>
    </w:p>
    <w:p>
      <w:pPr>
        <w:spacing w:after="0" w:line="225"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Book-Entry</w:t>
      </w:r>
      <w:r>
        <w:rPr>
          <w:rFonts w:ascii="Arial" w:cs="Arial" w:eastAsia="Arial" w:hAnsi="Arial"/>
          <w:sz w:val="18"/>
          <w:szCs w:val="18"/>
          <w:color w:val="auto"/>
        </w:rPr>
        <w:t>. Notwithstanding anything to the contrary set forth herein, upon repayment of this Note in accordance with the terms hereof, the Holder shall not be required to physically surrender this Note to the Company unless all of the Principal is being repaid. The Holder and the Company shall maintain records showing the Principal repaid and the dates of such repayments or shall use such other method, reasonably satisfactory to the Holder and the Company, so as not to require physical surrender of this Note upon any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273" w:name="page274"/>
    <w:bookmarkEnd w:id="273"/>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 repayment. Notwithstanding the foregoing, if this Note is repaid as aforesaid, the Holder may not transfer this Note unless the Holder first physically surrenders this Note to the Company, whereupon the Company will forthwith issue and deliver upon the order of the Holder a new Note of like tenor, registered as the Holder may request, representing in the aggregate the remaining Principal represented by this Note. The Holder and any assignee, by acceptance of this Note, acknowledge and agree that, by reason of the provisions of this paragraph, following repayment of any portion of this Note, the Principal of this Note may be less than the principal amount stated on the face hereof.</w:t>
      </w:r>
    </w:p>
    <w:p>
      <w:pPr>
        <w:spacing w:after="0" w:line="188"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Holder understands that this Note may bear a restrictive legend in substantially the following form (and a stop-transfer order may be placed against transfer of the certificates for such securities):</w:t>
      </w:r>
    </w:p>
    <w:p>
      <w:pPr>
        <w:spacing w:after="0" w:line="62"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6"/>
          <w:szCs w:val="16"/>
          <w:u w:val="single" w:color="auto"/>
          <w:color w:val="auto"/>
        </w:rPr>
        <w:t>Amendment; Waiver</w:t>
      </w:r>
      <w:r>
        <w:rPr>
          <w:rFonts w:ascii="Arial" w:cs="Arial" w:eastAsia="Arial" w:hAnsi="Arial"/>
          <w:sz w:val="16"/>
          <w:szCs w:val="16"/>
          <w:color w:val="auto"/>
        </w:rPr>
        <w:t>. The terms and provisions of this Note shall not be amended or waived except in a writing signed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Holder.</w:t>
      </w:r>
    </w:p>
    <w:p>
      <w:pPr>
        <w:spacing w:after="0" w:line="211" w:lineRule="exact"/>
        <w:rPr>
          <w:sz w:val="20"/>
          <w:szCs w:val="20"/>
          <w:color w:val="auto"/>
        </w:rPr>
      </w:pPr>
    </w:p>
    <w:p>
      <w:pPr>
        <w:ind w:right="20" w:firstLine="1484"/>
        <w:spacing w:after="0" w:line="288" w:lineRule="auto"/>
        <w:rPr>
          <w:sz w:val="20"/>
          <w:szCs w:val="20"/>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the Facility Agreement, at law or in equity (including a decree of specific performance and/or other injunctive relief). No remedy contained herein shall be deemed a waiver of compliance with the provisions giving rise to such remedy, and nothing herein shall limit the Holder’s right to pursue actual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69" w:lineRule="exact"/>
        <w:rPr>
          <w:sz w:val="20"/>
          <w:szCs w:val="20"/>
          <w:color w:val="auto"/>
        </w:rPr>
      </w:pPr>
    </w:p>
    <w:p>
      <w:pPr>
        <w:ind w:right="220" w:firstLine="1484"/>
        <w:spacing w:after="0" w:line="264" w:lineRule="auto"/>
        <w:rPr>
          <w:sz w:val="20"/>
          <w:szCs w:val="20"/>
          <w:color w:val="auto"/>
        </w:rPr>
      </w:pPr>
      <w:r>
        <w:rPr>
          <w:rFonts w:ascii="Arial" w:cs="Arial" w:eastAsia="Arial" w:hAnsi="Arial"/>
          <w:sz w:val="18"/>
          <w:szCs w:val="18"/>
          <w:u w:val="single" w:color="auto"/>
          <w:color w:val="auto"/>
        </w:rPr>
        <w:t>Specific Shall Not Limit General; Construction</w:t>
      </w:r>
      <w:r>
        <w:rPr>
          <w:rFonts w:ascii="Arial" w:cs="Arial" w:eastAsia="Arial" w:hAnsi="Arial"/>
          <w:sz w:val="18"/>
          <w:szCs w:val="18"/>
          <w:color w:val="auto"/>
        </w:rPr>
        <w:t>. No specific provision contained in this Note shall limit or modify any more general provision contained herein. This Note shall be deemed to be jointly drafted by the Company and all purchasers of Notes pursuant to the Facility Agreement and shall not be construed against any Person as the drafter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74" w:name="page275"/>
    <w:bookmarkEnd w:id="274"/>
    <w:p>
      <w:pPr>
        <w:ind w:right="60" w:firstLine="1484"/>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sz w:val="20"/>
          <w:szCs w:val="20"/>
          <w:color w:val="auto"/>
        </w:rPr>
      </w:pPr>
    </w:p>
    <w:p>
      <w:pPr>
        <w:ind w:right="640" w:firstLine="1484"/>
        <w:spacing w:after="0" w:line="277" w:lineRule="auto"/>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Section 6.1 of the Facility Agreement.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20" w:firstLine="1940"/>
        <w:spacing w:after="0" w:line="259" w:lineRule="auto"/>
        <w:rPr>
          <w:sz w:val="20"/>
          <w:szCs w:val="20"/>
          <w:color w:val="auto"/>
        </w:rPr>
      </w:pPr>
      <w:r>
        <w:rPr>
          <w:rFonts w:ascii="Arial" w:cs="Arial" w:eastAsia="Arial" w:hAnsi="Arial"/>
          <w:sz w:val="18"/>
          <w:szCs w:val="18"/>
          <w:u w:val="single" w:color="auto"/>
          <w:color w:val="auto"/>
        </w:rPr>
        <w:t>Registration or Exemption Required</w:t>
      </w:r>
      <w:r>
        <w:rPr>
          <w:rFonts w:ascii="Arial" w:cs="Arial" w:eastAsia="Arial" w:hAnsi="Arial"/>
          <w:sz w:val="18"/>
          <w:szCs w:val="18"/>
          <w:color w:val="auto"/>
        </w:rPr>
        <w:t>. This Note has been issued in a transaction exempt from the registration requirements of the Securities Act by virtue of Regulation D. This Note may not be pledged, transferred, sold, assigned, hypothecated or otherwise disposed of except pursuant to an effective registration statement or an exemption to the registration requirements of the Securities Act and applicable state laws including, without limitation, a so-called “4(1) and a half” transaction.</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8(a)</w:t>
      </w:r>
      <w:r>
        <w:rPr>
          <w:rFonts w:ascii="Arial" w:cs="Arial" w:eastAsia="Arial" w:hAnsi="Arial"/>
          <w:sz w:val="16"/>
          <w:szCs w:val="16"/>
          <w:color w:val="auto"/>
        </w:rPr>
        <w:t>, the Holder may sell, transfer, assign, pledge, hypothecate or otherwise dispose of this Note,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whole or in part; provided that (i) the Holder shall deliver a written notice to Company, substantially in the form of the Assignment attached hereto as </w:t>
      </w:r>
      <w:r>
        <w:rPr>
          <w:rFonts w:ascii="Arial" w:cs="Arial" w:eastAsia="Arial" w:hAnsi="Arial"/>
          <w:sz w:val="16"/>
          <w:szCs w:val="16"/>
          <w:u w:val="single" w:color="auto"/>
          <w:color w:val="auto"/>
        </w:rPr>
        <w:t>Exhibit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 indicating the Person or Persons to whom the Note shall be assigned and the respective principal amount of the Note to be assigned to each assignee, (ii)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transfer is being effected as a so-called “4(1) and a half” transaction or pursuant to Rule 144A, any such transferee Person shall make the representations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agree to the representations set forth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(iii) except in the case of any assignment or transfer pursuant to an effective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covering the disposition of the Note or pursuant to Rule 144, the Holder shall deliver to the Company a legal opinion reasonably acceptable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Company which, in the case of a so-called “4(1) and a half” transaction shall be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(iv) the transferee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complied with Section 2.5(d) of the Facility Agreement, and (v) unless an Event of Default shall have occurred and is continuing, no assignment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to any (A) Major Pharmaceutical Company and any (B) entity principally engaged in the business of selling insulin or insulin delivery products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Entity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(1) entities that own, directly or indirectly, equity interests in an Applicable Entity as part of a brokerage,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insurance business, pension fund (or other benefit fund), investment banking, investment management, investment advisory, lobbying, or publishing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(2) any non-profit research or non-profit enterprise, shall not constitute an Applicable Entity, and (v) the Holder shall comply with all additional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assignment provisions set forth in Section 6.5 of the Facility Agreement. The Company shall effect the assignment within three (3) business days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Delivery Period</w:t>
      </w:r>
      <w:r>
        <w:rPr>
          <w:rFonts w:ascii="Arial" w:cs="Arial" w:eastAsia="Arial" w:hAnsi="Arial"/>
          <w:sz w:val="16"/>
          <w:szCs w:val="16"/>
          <w:color w:val="auto"/>
        </w:rPr>
        <w:t>”), and shall deliver to the assignee(s) designated by Holder a Note or Notes of like tenor and terms for the appropriate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This Note and the rights evidenced hereby shall inure to the benefit of and be binding upon the successors and assigns of the Holder. The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Note are intended to be for the benefit of all Holders from time to time of this Note, and shall be enforceable by any such Holder. For avoidance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 in the event Holder notifies the Company that such sale or transfer is a so called “4(1) and a half” transaction, the parties hereto agree that a legal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275" w:name="page276"/>
    <w:bookmarkEnd w:id="275"/>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from outside counsel for the Holder delivered to counsel for the Company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shall be the only requirement to satisfy an exemption from registration under the Securities Act to effectuate such “4(1) and half” transaction.</w:t>
      </w:r>
    </w:p>
    <w:p>
      <w:pPr>
        <w:spacing w:after="0" w:line="14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u w:val="single" w:color="auto"/>
          <w:color w:val="auto"/>
        </w:rPr>
        <w:t>Payment of Collection, Enforcement and Other Costs</w:t>
      </w:r>
      <w:r>
        <w:rPr>
          <w:rFonts w:ascii="Arial" w:cs="Arial" w:eastAsia="Arial" w:hAnsi="Arial"/>
          <w:sz w:val="17"/>
          <w:szCs w:val="17"/>
          <w:color w:val="auto"/>
        </w:rPr>
        <w:t>. If (a) this Note is placed in the hands of an attorney for collection or enforcement or is collected or enforced through any legal proceeding; or (b) an attorney is retained to represent the Holder in any bankruptcy, reorganization, receivership of the Company or other proceedings affecting Company creditors’ rights and involving a claim under this Note, then the Company shall pay the costs incurred by the Holder for such collection, enforcement or action, including reasonable attorneys’ fees and disbursements.</w:t>
      </w:r>
    </w:p>
    <w:p>
      <w:pPr>
        <w:spacing w:after="0" w:line="17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Interest and other amounts at any time owed under, or on account of, this Note have been paid in full in accordance with the terms hereof, this Note shall automatically be deemed cancelled, shall be surrendered to the Company for cancellation and shall not be reissued.</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u w:val="single" w:color="auto"/>
          <w:color w:val="auto"/>
        </w:rPr>
        <w:t>Registered Note</w:t>
      </w:r>
      <w:r>
        <w:rPr>
          <w:rFonts w:ascii="Arial" w:cs="Arial" w:eastAsia="Arial" w:hAnsi="Arial"/>
          <w:sz w:val="18"/>
          <w:szCs w:val="18"/>
          <w:color w:val="auto"/>
        </w:rPr>
        <w:t>. This Note may be transferred only upon notation of such transfer on the Register, and no assignment thereof shall be effective until recorded therein.</w:t>
      </w:r>
    </w:p>
    <w:p>
      <w:pPr>
        <w:spacing w:after="0" w:line="17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u w:val="single" w:color="auto"/>
          <w:color w:val="auto"/>
        </w:rPr>
        <w:t>Waiver of Notice</w:t>
      </w:r>
      <w:r>
        <w:rPr>
          <w:rFonts w:ascii="Arial" w:cs="Arial" w:eastAsia="Arial" w:hAnsi="Arial"/>
          <w:sz w:val="17"/>
          <w:szCs w:val="17"/>
          <w:color w:val="auto"/>
        </w:rPr>
        <w:t>. To the extent permitted by law, the Company hereby waives demand, notice, presentment, protest and all other demands and notices in connection with the delivery, acceptance, performance, default or enforcement of this Note and the Facility Agreement.</w:t>
      </w:r>
    </w:p>
    <w:p>
      <w:pPr>
        <w:spacing w:after="0" w:line="147"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Note shall be governed by the laws of the State of New York applicable to contracts made and to be performed in such State. All legal proceedings concerning the interpretation and enforcement of this Note shall be commenced exclusively in the state and federal courts sitting in The City of New York. The Company hereby and each Holder (by its acceptance of this Note) irrevocably submits to the exclusive jurisdiction of such courts for the adjudication of any dispute hereunder or in connection herewith or with any transaction contemplated hereby, and hereby irrevocably waives, and agrees not to assert in any suit, action or other proceeding, any claim that it is not personally subject to the jurisdiction of any such court, that such suit, action or other proceeding is improper or is an inconvenient venue for such proceeding. The Company hereby and each Holder (by its acceptance of this Note) irrevocably waives personal service of process and consents to process being served in any such suit, action or other proceeding by mailing a copy thereof via registered or certified mail or overnight delivery (with evidence of delivery) to such person at the address in effect for notices to it under Section 6.1 of the Facility Agreement and agrees that such service shall constitute good and sufficient service of process and notice thereof. Nothing contained herein shall be deemed to limit in any way any right to serve process in any other manner permitted by law. EACH OF THE COMPANY AND THE HOLDER (BY ACCEPTANCE HEREOF) IRREVOCABLY WAIVES THE RIGHT TO A TRIAL BY JURY IN ANY ACTION OR PROCEEDING BROUGHT TO ENFORCE ANY PROVISION OF THIS NOTE OR ANY OTHER TRANSACTION DOCUMENT.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76" w:name="page277"/>
    <w:bookmarkEnd w:id="276"/>
    <w:p>
      <w:pPr>
        <w:ind w:firstLine="913"/>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Interpretative Matters</w:t>
      </w:r>
      <w:r>
        <w:rPr>
          <w:rFonts w:ascii="Arial" w:cs="Arial" w:eastAsia="Arial" w:hAnsi="Arial"/>
          <w:sz w:val="18"/>
          <w:szCs w:val="18"/>
          <w:color w:val="auto"/>
        </w:rPr>
        <w:t>. Unless the context otherwise requires, (a) all references to Sections or Exhibits are to Sections or Exhibits contained in or attached to this Note, (b) each accounting term not otherwise defined in this Note has the meaning assigned to it in accordance with GAAP, (c) words in the singular or plural include the singular and plural and pronouns stated in either the masculine, the feminine or neuter gender shall include the masculine, feminine and neuter and (d) the use of the word “including” in this Note shall be by way of example rather than limitation. If a stock split, stock dividend, stock combination or other similar event occurs during any period over which an average price is being determined, then an appropriate adjustment will be made to such average to reflect such event.</w:t>
      </w:r>
    </w:p>
    <w:p>
      <w:pPr>
        <w:spacing w:after="0" w:line="193" w:lineRule="exact"/>
        <w:rPr>
          <w:sz w:val="20"/>
          <w:szCs w:val="20"/>
          <w:color w:val="auto"/>
        </w:rPr>
      </w:pPr>
    </w:p>
    <w:p>
      <w:pPr>
        <w:jc w:val="both"/>
        <w:ind w:right="80" w:firstLine="913"/>
        <w:spacing w:after="0" w:line="255" w:lineRule="auto"/>
        <w:rPr>
          <w:sz w:val="20"/>
          <w:szCs w:val="20"/>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A facsimile, telecopy, PDF or other reproduction of this Note may be delivered by the Company, and an executed copy of this Note may be delivered by the Company by facsimile, e-mail or other similar electronic transmission device pursuant to which the signature of or on behalf of the Company can be seen, and such execution and delivery shall be considered valid, binding and effective for all purposes. The Company hereby agrees that it shall not raise the execution of facsimile, PDF or other reproduction of this Note, or the fact that any signature was transmitted by facsimile, e-mail or other similar electronic transmission device, as a defense to the Company’s execution of this Note. Notwithstanding the foregoing, the Company shall be required to deliver an originally executed Note to the Holder.</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274" w:right="33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 as of the date first set forth above.</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759"/>
          </w:cols>
          <w:pgMar w:left="700" w:top="274" w:right="1440" w:bottom="1440" w:gutter="0" w:footer="0" w:header="0"/>
        </w:sectPr>
      </w:pPr>
    </w:p>
    <w:bookmarkStart w:id="278" w:name="page279"/>
    <w:bookmarkEnd w:id="27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be executed by the registered holder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desiring to transfer the Note)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of the attached Tranche B Senior Secured Note (the “</w:t>
      </w:r>
      <w:r>
        <w:rPr>
          <w:rFonts w:ascii="Arial" w:cs="Arial" w:eastAsia="Arial" w:hAnsi="Arial"/>
          <w:sz w:val="16"/>
          <w:szCs w:val="16"/>
          <w:b w:val="1"/>
          <w:bCs w:val="1"/>
          <w:color w:val="auto"/>
        </w:rPr>
        <w:t>Note</w:t>
      </w:r>
      <w:r>
        <w:rPr>
          <w:rFonts w:ascii="Arial" w:cs="Arial" w:eastAsia="Arial" w:hAnsi="Arial"/>
          <w:sz w:val="16"/>
          <w:szCs w:val="16"/>
          <w:color w:val="auto"/>
        </w:rPr>
        <w:t>”) hereby sells, assigns and transfers unto the</w:t>
      </w:r>
    </w:p>
    <w:p>
      <w:pPr>
        <w:spacing w:after="0" w:line="50"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person or persons below named the right to receive the principal amount of $ from MannKind Corporation, a Delaware corporation, evidenced by the attached Note and does hereby irrevocably constitute and appoint attorney to transfer the said Note on the books of the Company, with full power of</w:t>
      </w:r>
    </w:p>
    <w:p>
      <w:pPr>
        <w:spacing w:after="0"/>
        <w:rPr>
          <w:sz w:val="20"/>
          <w:szCs w:val="20"/>
          <w:color w:val="auto"/>
        </w:rPr>
      </w:pPr>
      <w:r>
        <w:rPr>
          <w:rFonts w:ascii="Arial" w:cs="Arial" w:eastAsia="Arial" w:hAnsi="Arial"/>
          <w:sz w:val="18"/>
          <w:szCs w:val="18"/>
          <w:color w:val="auto"/>
        </w:rPr>
        <w:t>substitution in the premises.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13036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Fill in for new registration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 of assignee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 number)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signature to the foregoing Assignment must correspond to the name as written upon the face of the attached Note in every particular, without alteration or enlargement or any change whatsoever.</w:t>
      </w:r>
    </w:p>
    <w:p>
      <w:pPr>
        <w:sectPr>
          <w:pgSz w:w="11900" w:h="16838" w:orient="portrait"/>
          <w:cols w:equalWidth="0" w:num="1">
            <w:col w:w="11400"/>
          </w:cols>
          <w:pgMar w:left="240" w:top="270" w:right="25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INVESTOR REPRESENTATION LETTER]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left="960" w:hanging="952"/>
        <w:spacing w:after="0"/>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360" w:firstLine="585"/>
        <w:spacing w:after="0" w:line="258" w:lineRule="auto"/>
        <w:rPr>
          <w:sz w:val="20"/>
          <w:szCs w:val="20"/>
          <w:color w:val="auto"/>
        </w:rPr>
      </w:pPr>
      <w:r>
        <w:rPr>
          <w:rFonts w:ascii="Arial" w:cs="Arial" w:eastAsia="Arial" w:hAnsi="Arial"/>
          <w:sz w:val="18"/>
          <w:szCs w:val="18"/>
          <w:color w:val="auto"/>
        </w:rPr>
        <w:t>(“ ”) has agreed to purchase $ principal amount of Tranche B Senior Secured Note (the “Note”) of [ ] (the “Company”) from [ ] (“[ ]”). We understand that the Note is a “restricted security.” We represent and warrant that is a sophisticated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institutional investor that would qualify as an “Accredited Investor” as defined in Rule 501 of Regulation D under the Securities Act of 1933, as amended (the “Securities Act”).</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represents and warrants as of the date hereof as follows:</w:t>
      </w:r>
    </w:p>
    <w:p>
      <w:pPr>
        <w:spacing w:after="0" w:line="117" w:lineRule="exact"/>
        <w:rPr>
          <w:sz w:val="20"/>
          <w:szCs w:val="20"/>
          <w:color w:val="auto"/>
        </w:rPr>
      </w:pPr>
    </w:p>
    <w:p>
      <w:pPr>
        <w:jc w:val="both"/>
        <w:ind w:left="460" w:right="60" w:firstLine="4"/>
        <w:spacing w:after="0" w:line="291" w:lineRule="auto"/>
        <w:tabs>
          <w:tab w:leader="none" w:pos="6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That it is acquiring the Note solely for its account for investment and not with a view to or for sale or distribution of said Note or any part thereof in violation of applicable securities laws, except pursuant to sales registered or exempted under the Securities Act; provided, however, that by making the</w:t>
      </w:r>
    </w:p>
    <w:p>
      <w:pPr>
        <w:ind w:left="460" w:right="100"/>
        <w:spacing w:after="0" w:line="281" w:lineRule="auto"/>
        <w:rPr>
          <w:sz w:val="20"/>
          <w:szCs w:val="20"/>
          <w:color w:val="auto"/>
        </w:rPr>
      </w:pPr>
      <w:r>
        <w:rPr>
          <w:rFonts w:ascii="Arial" w:cs="Arial" w:eastAsia="Arial" w:hAnsi="Arial"/>
          <w:sz w:val="16"/>
          <w:szCs w:val="16"/>
          <w:color w:val="auto"/>
        </w:rPr>
        <w:t>representations herein, does not agree, or make any representation or warranty, to hold any of the securities for any minimum or other specific term and reserves the right to dispose of the securities at any time in accordance with or pursuant to a registration statement or an exemption under the</w:t>
      </w:r>
    </w:p>
    <w:p>
      <w:pPr>
        <w:spacing w:after="0" w:line="1" w:lineRule="exact"/>
        <w:rPr>
          <w:sz w:val="20"/>
          <w:szCs w:val="20"/>
          <w:color w:val="auto"/>
        </w:rPr>
      </w:pPr>
    </w:p>
    <w:p>
      <w:pPr>
        <w:ind w:left="460" w:right="360"/>
        <w:spacing w:after="0" w:line="562" w:lineRule="auto"/>
        <w:rPr>
          <w:sz w:val="20"/>
          <w:szCs w:val="20"/>
          <w:color w:val="auto"/>
        </w:rPr>
      </w:pPr>
      <w:r>
        <w:rPr>
          <w:rFonts w:ascii="Arial" w:cs="Arial" w:eastAsia="Arial" w:hAnsi="Arial"/>
          <w:sz w:val="16"/>
          <w:szCs w:val="16"/>
          <w:color w:val="auto"/>
        </w:rPr>
        <w:t>Securities Act. does not presently have any agreement or understanding, directly or indirectly, with any Person to distribute the Note in violation of applicable securities laws. As used in this Agreement,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venture, a corporation, a trust, an unincorporated organization and a government or any department or agency thereof. also represents that the entire legal and beneficial interests of the Note is acquiring is being acquired for, and will be held for, its account only;</w:t>
      </w:r>
    </w:p>
    <w:p>
      <w:pPr>
        <w:ind w:left="1180" w:hanging="716"/>
        <w:spacing w:after="0" w:line="181" w:lineRule="auto"/>
        <w:tabs>
          <w:tab w:leader="none" w:pos="1180" w:val="left"/>
        </w:tabs>
        <w:numPr>
          <w:ilvl w:val="0"/>
          <w:numId w:val="199"/>
        </w:numPr>
        <w:rPr>
          <w:rFonts w:ascii="Arial" w:cs="Arial" w:eastAsia="Arial" w:hAnsi="Arial"/>
          <w:sz w:val="9"/>
          <w:szCs w:val="9"/>
          <w:color w:val="auto"/>
        </w:rPr>
      </w:pPr>
      <w:r>
        <w:rPr>
          <w:rFonts w:ascii="Arial" w:cs="Arial" w:eastAsia="Arial" w:hAnsi="Arial"/>
          <w:sz w:val="9"/>
          <w:szCs w:val="9"/>
          <w:color w:val="auto"/>
        </w:rPr>
        <w:t>understands that the Notes have not been registered under the Securities Act in reliance on specific exemptions from the registration</w:t>
      </w:r>
    </w:p>
    <w:p>
      <w:pPr>
        <w:spacing w:after="0" w:line="20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requirements of United States federal and state securities laws and in reliance in part upon the truth and accuracy of, and such ’s compliance with, the representations, warranties, agreements, acknowledgments and understandings of set forth herein in order to determine the availability of such exemptions and the eligibility of to acquire the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 That the Note must be held indefinitely unless they are subsequently registered under the Securities Act or an exemption from such registration is</w:t>
      </w:r>
    </w:p>
    <w:p>
      <w:pPr>
        <w:spacing w:after="0" w:line="46" w:lineRule="exact"/>
        <w:rPr>
          <w:sz w:val="20"/>
          <w:szCs w:val="20"/>
          <w:color w:val="auto"/>
        </w:rPr>
      </w:pPr>
    </w:p>
    <w:p>
      <w:pPr>
        <w:ind w:left="460"/>
        <w:spacing w:after="0"/>
        <w:tabs>
          <w:tab w:leader="none" w:pos="1760" w:val="left"/>
        </w:tabs>
        <w:rPr>
          <w:sz w:val="20"/>
          <w:szCs w:val="20"/>
          <w:color w:val="auto"/>
        </w:rPr>
      </w:pPr>
      <w:r>
        <w:rPr>
          <w:rFonts w:ascii="Arial" w:cs="Arial" w:eastAsia="Arial" w:hAnsi="Arial"/>
          <w:sz w:val="17"/>
          <w:szCs w:val="17"/>
          <w:color w:val="auto"/>
        </w:rPr>
        <w:t>available.</w:t>
      </w:r>
      <w:r>
        <w:rPr>
          <w:sz w:val="20"/>
          <w:szCs w:val="20"/>
          <w:color w:val="auto"/>
        </w:rPr>
        <w:tab/>
      </w:r>
      <w:r>
        <w:rPr>
          <w:rFonts w:ascii="Arial" w:cs="Arial" w:eastAsia="Arial" w:hAnsi="Arial"/>
          <w:sz w:val="17"/>
          <w:szCs w:val="17"/>
          <w:color w:val="auto"/>
        </w:rPr>
        <w:t>recognizes that the Company has no obligation to register the Note, or to comply with any exemption from such registration;</w:t>
      </w:r>
    </w:p>
    <w:p>
      <w:pPr>
        <w:spacing w:after="0" w:line="114" w:lineRule="exact"/>
        <w:rPr>
          <w:sz w:val="20"/>
          <w:szCs w:val="20"/>
          <w:color w:val="auto"/>
        </w:rPr>
      </w:pPr>
    </w:p>
    <w:p>
      <w:pPr>
        <w:ind w:left="460" w:right="40" w:firstLine="4"/>
        <w:spacing w:after="0" w:line="264" w:lineRule="auto"/>
        <w:tabs>
          <w:tab w:leader="none" w:pos="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That the Note may not be sold pursuant to Rule 144 adopted under the Securities Act unless certain conditions are met, including, among other things, the existence of a public market for the shares, the availability of certain current public information about the Company, the resale following the required holding period under Rule 144;</w:t>
      </w:r>
    </w:p>
    <w:p>
      <w:pPr>
        <w:sectPr>
          <w:pgSz w:w="11900" w:h="16838" w:orient="portrait"/>
          <w:cols w:equalWidth="0" w:num="1">
            <w:col w:w="11400"/>
          </w:cols>
          <w:pgMar w:left="240" w:top="270" w:right="259" w:bottom="1440" w:gutter="0" w:footer="0" w:header="0"/>
        </w:sectPr>
      </w:pPr>
    </w:p>
    <w:bookmarkStart w:id="280" w:name="page281"/>
    <w:bookmarkEnd w:id="280"/>
    <w:p>
      <w:pPr>
        <w:ind w:left="640" w:hanging="17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an “accredited investor” as defined in Regulation D promulgated under the Securities Act;</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That it will not make any disposition of all or any part of the Note in any event unless and until:</w:t>
      </w:r>
    </w:p>
    <w:p>
      <w:pPr>
        <w:spacing w:after="0" w:line="11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(i) The Company shall have received a letter secured by from the Securities and Exchange Commission stating that no action will be recommended to the Securities and Exchange Commission with respect to the proposed disposition;</w:t>
      </w:r>
    </w:p>
    <w:p>
      <w:pPr>
        <w:spacing w:after="0" w:line="62" w:lineRule="exact"/>
        <w:rPr>
          <w:sz w:val="20"/>
          <w:szCs w:val="20"/>
          <w:color w:val="auto"/>
        </w:rPr>
      </w:pPr>
    </w:p>
    <w:p>
      <w:pPr>
        <w:ind w:left="920" w:right="260" w:firstLine="1"/>
        <w:spacing w:after="0" w:line="277" w:lineRule="auto"/>
        <w:tabs>
          <w:tab w:leader="none" w:pos="11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said registration statement; or</w:t>
      </w:r>
    </w:p>
    <w:p>
      <w:pPr>
        <w:spacing w:after="0" w:line="62" w:lineRule="exact"/>
        <w:rPr>
          <w:rFonts w:ascii="Arial" w:cs="Arial" w:eastAsia="Arial" w:hAnsi="Arial"/>
          <w:sz w:val="18"/>
          <w:szCs w:val="18"/>
          <w:color w:val="auto"/>
        </w:rPr>
      </w:pPr>
    </w:p>
    <w:p>
      <w:pPr>
        <w:ind w:left="920" w:right="420" w:firstLine="1"/>
        <w:spacing w:after="0" w:line="342" w:lineRule="auto"/>
        <w:tabs>
          <w:tab w:leader="none" w:pos="18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shall have notified the Company of the proposed disposition and, in the case of a sale or transfer in a so called “4(1) and a half” transaction, shall have furnished counsel to the Company with an opinion of counsel, reasonably satisfactory to counsel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 the Company will place stop orders with respect to the Note shall bear the following restrictive legend:</w:t>
      </w:r>
    </w:p>
    <w:p>
      <w:pPr>
        <w:spacing w:after="0" w:line="11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At any time and from time to time after the date hereof, shall, without further consideration, execute and deliver to [ ] or the Company such other instruments or documents and shall take such other actions as they may reasonably request to carry out the transactions contemplated hereby.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274" w:right="239" w:bottom="1440" w:gutter="0" w:footer="0" w:header="0"/>
        </w:sectPr>
      </w:pPr>
    </w:p>
    <w:bookmarkStart w:id="281" w:name="page282"/>
    <w:bookmarkEnd w:id="28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OPINION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left="960" w:hanging="952"/>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Mannkind Corporation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 (“[ ]”) intends to transfer its Tranche B Senior Secured Note in the principal amount of $ (the “Note”) of the Company to (“ ”) without registration under the Securities Act of 1933, as amended (the “Securities Act”). In connection herewith, we have examined such documents and issues of law as we have deemed relevant.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and subject to the foregoing, we are of the opinion that the transfer of the Note by to may be effected without registration under the Securities Act, provided, however, that the Note to be transferred to contain a legend restricting its transferability pursuant to the Securities Act and that transfer of the Note is subject to a stop order.</w:t>
      </w:r>
    </w:p>
    <w:p>
      <w:pPr>
        <w:spacing w:after="0" w:line="181" w:lineRule="exact"/>
        <w:rPr>
          <w:sz w:val="20"/>
          <w:szCs w:val="20"/>
          <w:color w:val="auto"/>
        </w:rPr>
      </w:pPr>
    </w:p>
    <w:p>
      <w:pPr>
        <w:spacing w:after="0"/>
        <w:tabs>
          <w:tab w:leader="none" w:pos="3680" w:val="left"/>
        </w:tabs>
        <w:rPr>
          <w:sz w:val="20"/>
          <w:szCs w:val="20"/>
          <w:color w:val="auto"/>
        </w:rPr>
      </w:pPr>
      <w:r>
        <w:rPr>
          <w:rFonts w:ascii="Arial" w:cs="Arial" w:eastAsia="Arial" w:hAnsi="Arial"/>
          <w:sz w:val="18"/>
          <w:szCs w:val="18"/>
          <w:color w:val="auto"/>
        </w:rPr>
        <w:t>The foregoing opinion is furnished only to</w:t>
      </w:r>
      <w:r>
        <w:rPr>
          <w:sz w:val="20"/>
          <w:szCs w:val="20"/>
          <w:color w:val="auto"/>
        </w:rPr>
        <w:tab/>
      </w:r>
      <w:r>
        <w:rPr>
          <w:rFonts w:ascii="Arial" w:cs="Arial" w:eastAsia="Arial" w:hAnsi="Arial"/>
          <w:sz w:val="16"/>
          <w:szCs w:val="16"/>
          <w:color w:val="auto"/>
        </w:rPr>
        <w:t>and may not be used, circulated, quoted or otherwise referred to or relied upon by you for any purposes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purpose for which furnished or by any other person for any purpose, without our prior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340"/>
          </w:cols>
          <w:pgMar w:left="240" w:top="270" w:right="31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333-183679 and 333-190040 on Form S-3 and Registration Statement Nos. 333-117811, 333-127876, 333-137332, 333-149049, 333-160225, 333-176409, 333-182457 and 333-188790 on Form S-8 of our reports dated March 3, 2014, relating to the consolidated financial statements of MannKind Corporation and subsidiaries (a development stage company) (“MannKind Corporation”) (which report expresses an unqualified opinion and includes an explanatory paragraph relating to the Company’s ability to continue as a going concern), and the effectiveness of MannKind Corporation’s internal control over financial reporting, appearing in the Annual Report on Form 10-K of MannKind Corporation for the year ended December 31, 2013.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ectPr>
          <w:pgSz w:w="11900" w:h="16838" w:orient="portrait"/>
          <w:cols w:equalWidth="0" w:num="1">
            <w:col w:w="11420"/>
          </w:cols>
          <w:pgMar w:left="240" w:top="125"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420" w:hanging="184"/>
        <w:spacing w:after="0"/>
        <w:tabs>
          <w:tab w:leader="none" w:pos="4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440" w:firstLine="236"/>
        <w:spacing w:after="0" w:line="342" w:lineRule="auto"/>
        <w:tabs>
          <w:tab w:leader="none" w:pos="40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6"/>
        <w:spacing w:after="0" w:line="277" w:lineRule="auto"/>
        <w:tabs>
          <w:tab w:leader="none" w:pos="4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6"/>
        <w:spacing w:after="0" w:line="264" w:lineRule="auto"/>
        <w:tabs>
          <w:tab w:leader="none" w:pos="4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0"/>
        <w:spacing w:after="0" w:line="264" w:lineRule="auto"/>
        <w:tabs>
          <w:tab w:leader="none" w:pos="70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0"/>
        <w:spacing w:after="0" w:line="264" w:lineRule="auto"/>
        <w:tabs>
          <w:tab w:leader="none" w:pos="71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40" w:firstLine="220"/>
        <w:spacing w:after="0" w:line="308" w:lineRule="auto"/>
        <w:tabs>
          <w:tab w:leader="none" w:pos="708" w:val="left"/>
        </w:tabs>
        <w:numPr>
          <w:ilvl w:val="1"/>
          <w:numId w:val="2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60" w:firstLine="220"/>
        <w:spacing w:after="0" w:line="264" w:lineRule="auto"/>
        <w:tabs>
          <w:tab w:leader="none" w:pos="71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6"/>
        <w:spacing w:after="0" w:line="308" w:lineRule="auto"/>
        <w:tabs>
          <w:tab w:leader="none" w:pos="40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0"/>
        <w:spacing w:after="0" w:line="277" w:lineRule="auto"/>
        <w:tabs>
          <w:tab w:leader="none" w:pos="70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0"/>
        <w:spacing w:after="0" w:line="277" w:lineRule="auto"/>
        <w:tabs>
          <w:tab w:leader="none" w:pos="71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Alfred E. 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121"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420" w:hanging="184"/>
        <w:spacing w:after="0"/>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440" w:firstLine="236"/>
        <w:spacing w:after="0" w:line="342" w:lineRule="auto"/>
        <w:tabs>
          <w:tab w:leader="none" w:pos="40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6"/>
        <w:spacing w:after="0" w:line="277" w:lineRule="auto"/>
        <w:tabs>
          <w:tab w:leader="none" w:pos="4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6"/>
        <w:spacing w:after="0" w:line="264" w:lineRule="auto"/>
        <w:tabs>
          <w:tab w:leader="none" w:pos="4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0"/>
        <w:spacing w:after="0" w:line="264" w:lineRule="auto"/>
        <w:tabs>
          <w:tab w:leader="none" w:pos="70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0"/>
        <w:spacing w:after="0" w:line="264" w:lineRule="auto"/>
        <w:tabs>
          <w:tab w:leader="none" w:pos="71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40" w:firstLine="220"/>
        <w:spacing w:after="0" w:line="308" w:lineRule="auto"/>
        <w:tabs>
          <w:tab w:leader="none" w:pos="708"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60" w:firstLine="220"/>
        <w:spacing w:after="0" w:line="264" w:lineRule="auto"/>
        <w:tabs>
          <w:tab w:leader="none" w:pos="71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6"/>
        <w:spacing w:after="0" w:line="308" w:lineRule="auto"/>
        <w:tabs>
          <w:tab w:leader="none" w:pos="40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0"/>
        <w:spacing w:after="0" w:line="277" w:lineRule="auto"/>
        <w:tabs>
          <w:tab w:leader="none" w:pos="70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0"/>
        <w:spacing w:after="0" w:line="277" w:lineRule="auto"/>
        <w:tabs>
          <w:tab w:leader="none" w:pos="71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Matthew J. Pfeffer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2014</w:t>
      </w:r>
    </w:p>
    <w:p>
      <w:pPr>
        <w:sectPr>
          <w:pgSz w:w="11900" w:h="16838" w:orient="portrait"/>
          <w:cols w:equalWidth="0" w:num="1">
            <w:col w:w="11420"/>
          </w:cols>
          <w:pgMar w:left="240" w:top="121"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229" w:lineRule="exact"/>
        <w:rPr>
          <w:sz w:val="20"/>
          <w:szCs w:val="20"/>
          <w:color w:val="auto"/>
        </w:rPr>
      </w:pPr>
    </w:p>
    <w:p>
      <w:pPr>
        <w:jc w:val="both"/>
        <w:ind w:right="60" w:firstLine="228"/>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57" w:lineRule="exact"/>
        <w:rPr>
          <w:sz w:val="20"/>
          <w:szCs w:val="20"/>
          <w:color w:val="auto"/>
        </w:rPr>
      </w:pPr>
    </w:p>
    <w:p>
      <w:pPr>
        <w:ind w:left="240" w:right="380" w:firstLine="220"/>
        <w:spacing w:after="0" w:line="277" w:lineRule="auto"/>
        <w:tabs>
          <w:tab w:leader="none" w:pos="64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2013, to which this Certification is attached as Exhibit 32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240" w:right="540" w:firstLine="220"/>
        <w:spacing w:after="0" w:line="277" w:lineRule="auto"/>
        <w:tabs>
          <w:tab w:leader="none" w:pos="64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3rd day of March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Alfred E. Mann</w:t>
            </w: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 Matthew J. Pfeffer</w:t>
            </w:r>
          </w:p>
        </w:tc>
      </w:tr>
      <w:tr>
        <w:trPr>
          <w:trHeight w:val="210"/>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00" w:type="dxa"/>
            <w:vAlign w:val="bottom"/>
          </w:tcPr>
          <w:p>
            <w:pPr>
              <w:spacing w:after="0"/>
              <w:rPr>
                <w:sz w:val="18"/>
                <w:szCs w:val="18"/>
                <w:color w:val="auto"/>
              </w:rPr>
            </w:pPr>
          </w:p>
        </w:tc>
        <w:tc>
          <w:tcPr>
            <w:tcW w:w="5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Matthew J. Pfeffer</w:t>
            </w: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8865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98" w:lineRule="exact"/>
        <w:rPr>
          <w:sz w:val="20"/>
          <w:szCs w:val="20"/>
          <w:color w:val="auto"/>
        </w:rPr>
      </w:pPr>
    </w:p>
    <w:p>
      <w:pPr>
        <w:ind w:left="460" w:right="120" w:hanging="452"/>
        <w:spacing w:after="0" w:line="259" w:lineRule="auto"/>
        <w:tabs>
          <w:tab w:leader="none" w:pos="46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lvl w:ilvl="1">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1)"/>
      <w:numFmt w:val="lowerRoman"/>
      <w:start w:val="2"/>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1)"/>
      <w:numFmt w:val="decimal"/>
      <w:start w:val="1"/>
    </w:lvl>
  </w:abstractNum>
  <w:abstractNum w:abstractNumId="26">
    <w:nsid w:val="6C80EC70"/>
    <w:multiLevelType w:val="hybridMultilevel"/>
    <w:lvl w:ilvl="0">
      <w:lvlJc w:val="left"/>
      <w:lvlText w:val="(%1)"/>
      <w:numFmt w:val="decimal"/>
      <w:start w:val="4"/>
    </w:lvl>
  </w:abstractNum>
  <w:abstractNum w:abstractNumId="27">
    <w:nsid w:val="379E21B5"/>
    <w:multiLevelType w:val="hybridMultilevel"/>
    <w:lvl w:ilvl="0">
      <w:lvlJc w:val="left"/>
      <w:lvlText w:val="(%1)"/>
      <w:numFmt w:val="lowerLetter"/>
      <w:start w:val="1"/>
    </w:lvl>
  </w:abstractNum>
  <w:abstractNum w:abstractNumId="28">
    <w:nsid w:val="69E373"/>
    <w:multiLevelType w:val="hybridMultilevel"/>
    <w:lvl w:ilvl="0">
      <w:lvlJc w:val="left"/>
      <w:lvlText w:val="(%1)"/>
      <w:numFmt w:val="decimal"/>
      <w:start w:val="3"/>
    </w:lvl>
  </w:abstractNum>
  <w:abstractNum w:abstractNumId="29">
    <w:nsid w:val="2C27173B"/>
    <w:multiLevelType w:val="hybridMultilevel"/>
    <w:lvl w:ilvl="0">
      <w:lvlJc w:val="left"/>
      <w:lvlText w:val="(%1)"/>
      <w:numFmt w:val="lowerLetter"/>
      <w:start w:val="2"/>
    </w:lvl>
  </w:abstractNum>
  <w:abstractNum w:abstractNumId="30">
    <w:nsid w:val="4C9B0904"/>
    <w:multiLevelType w:val="hybridMultilevel"/>
    <w:lvl w:ilvl="0">
      <w:lvlJc w:val="left"/>
      <w:lvlText w:val="%1"/>
      <w:numFmt w:val="decimal"/>
      <w:start w:val="32"/>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1)"/>
      <w:numFmt w:val="lowerRoman"/>
      <w:start w:val="1"/>
    </w:lvl>
  </w:abstractNum>
  <w:abstractNum w:abstractNumId="35">
    <w:nsid w:val="3DB012B3"/>
    <w:multiLevelType w:val="hybridMultilevel"/>
    <w:lvl w:ilvl="0">
      <w:lvlJc w:val="left"/>
      <w:lvlText w:val="(%1)"/>
      <w:numFmt w:val="lowerRoman"/>
      <w:start w:val="1"/>
    </w:lvl>
  </w:abstractNum>
  <w:abstractNum w:abstractNumId="36">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5B25ACE2"/>
    <w:multiLevelType w:val="hybridMultilevel"/>
    <w:lvl w:ilvl="0">
      <w:lvlJc w:val="left"/>
      <w:lvlText w:val="(%1)"/>
      <w:numFmt w:val="lowerRoman"/>
      <w:start w:val="7"/>
    </w:lvl>
  </w:abstractNum>
  <w:abstractNum w:abstractNumId="38">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39">
    <w:nsid w:val="4F97E3E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53B0A9E"/>
    <w:multiLevelType w:val="hybridMultilevel"/>
    <w:lvl w:ilvl="0">
      <w:lvlJc w:val="left"/>
      <w:lvlText w:val="1"/>
      <w:numFmt w:val="bullet"/>
      <w:start w:val="1"/>
    </w:lvl>
  </w:abstractNum>
  <w:abstractNum w:abstractNumId="41">
    <w:nsid w:val="34FD6B4F"/>
    <w:multiLevelType w:val="hybridMultilevel"/>
    <w:lvl w:ilvl="0">
      <w:lvlJc w:val="left"/>
      <w:lvlText w:val="(%1)"/>
      <w:numFmt w:val="lowerLetter"/>
      <w:start w:val="2"/>
    </w:lvl>
  </w:abstractNum>
  <w:abstractNum w:abstractNumId="42">
    <w:nsid w:val="5915FF3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3">
    <w:nsid w:val="56438D15"/>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abstractNum>
  <w:abstractNum w:abstractNumId="44">
    <w:nsid w:val="519E3149"/>
    <w:multiLevelType w:val="hybridMultilevel"/>
    <w:lvl w:ilvl="0">
      <w:lvlJc w:val="left"/>
      <w:lvlText w:val="(%1)"/>
      <w:numFmt w:val="decimal"/>
      <w:start w:val="2"/>
    </w:lvl>
    <w:lvl w:ilvl="1">
      <w:lvlJc w:val="left"/>
      <w:lvlText w:val="(%2)"/>
      <w:numFmt w:val="lowerRoman"/>
      <w:start w:val="4"/>
    </w:lvl>
    <w:lvl w:ilvl="2">
      <w:lvlJc w:val="left"/>
      <w:lvlText w:val="(%3)"/>
      <w:numFmt w:val="upperLetter"/>
      <w:start w:val="1"/>
    </w:lvl>
  </w:abstractNum>
  <w:abstractNum w:abstractNumId="45">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6">
    <w:nsid w:val="17A1B582"/>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47">
    <w:nsid w:val="4DF72E4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8">
    <w:nsid w:val="5046B5A9"/>
    <w:multiLevelType w:val="hybridMultilevel"/>
    <w:lvl w:ilvl="0">
      <w:lvlJc w:val="left"/>
      <w:lvlText w:val="(%1)"/>
      <w:numFmt w:val="lowerLetter"/>
      <w:start w:val="5"/>
    </w:lvl>
    <w:lvl w:ilvl="1">
      <w:lvlJc w:val="left"/>
      <w:lvlText w:val="(%2)"/>
      <w:numFmt w:val="lowerLetter"/>
      <w:start w:val="9"/>
    </w:lvl>
  </w:abstractNum>
  <w:abstractNum w:abstractNumId="49">
    <w:nsid w:val="5D888A08"/>
    <w:multiLevelType w:val="hybridMultilevel"/>
    <w:lvl w:ilvl="0">
      <w:lvlJc w:val="left"/>
      <w:lvlText w:val="(%1)"/>
      <w:numFmt w:val="lowerRoman"/>
      <w:start w:val="2"/>
    </w:lvl>
  </w:abstractNum>
  <w:abstractNum w:abstractNumId="50">
    <w:nsid w:val="2A082C70"/>
    <w:multiLevelType w:val="hybridMultilevel"/>
    <w:lvl w:ilvl="0">
      <w:lvlJc w:val="left"/>
      <w:lvlText w:val="%1"/>
      <w:numFmt w:val="lowerLetter"/>
      <w:start w:val="1"/>
    </w:lvl>
    <w:lvl w:ilvl="1">
      <w:lvlJc w:val="left"/>
      <w:lvlText w:val="(%2)"/>
      <w:numFmt w:val="lowerLetter"/>
      <w:start w:val="61"/>
    </w:lvl>
  </w:abstractNum>
  <w:abstractNum w:abstractNumId="51">
    <w:nsid w:val="5EC6AFD4"/>
    <w:multiLevelType w:val="hybridMultilevel"/>
    <w:lvl w:ilvl="0">
      <w:lvlJc w:val="left"/>
      <w:lvlText w:val="(%1)"/>
      <w:numFmt w:val="lowerLetter"/>
      <w:start w:val="6"/>
    </w:lvl>
    <w:lvl w:ilvl="1">
      <w:lvlJc w:val="left"/>
      <w:lvlText w:val="(%2)"/>
      <w:numFmt w:val="lowerLetter"/>
      <w:start w:val="9"/>
    </w:lvl>
  </w:abstractNum>
  <w:abstractNum w:abstractNumId="52">
    <w:nsid w:val="19E21BB2"/>
    <w:multiLevelType w:val="hybridMultilevel"/>
    <w:lvl w:ilvl="0">
      <w:lvlJc w:val="left"/>
      <w:lvlText w:val="(%1)"/>
      <w:numFmt w:val="lowerRoman"/>
      <w:start w:val="2"/>
    </w:lvl>
  </w:abstractNum>
  <w:abstractNum w:abstractNumId="53">
    <w:nsid w:val="75E0858A"/>
    <w:multiLevelType w:val="hybridMultilevel"/>
    <w:lvl w:ilvl="0">
      <w:lvlJc w:val="left"/>
      <w:lvlText w:val="%1"/>
      <w:numFmt w:val="decimal"/>
      <w:start w:val="1"/>
    </w:lvl>
    <w:lvl w:ilvl="1">
      <w:lvlJc w:val="left"/>
      <w:lvlText w:val="(%2)"/>
      <w:numFmt w:val="lowerRoman"/>
      <w:start w:val="3"/>
    </w:lvl>
  </w:abstractNum>
  <w:abstractNum w:abstractNumId="54">
    <w:nsid w:val="57A61A29"/>
    <w:multiLevelType w:val="hybridMultilevel"/>
    <w:lvl w:ilvl="0">
      <w:lvlJc w:val="left"/>
      <w:lvlText w:val="%1."/>
      <w:numFmt w:val="decimal"/>
      <w:start w:val="3"/>
    </w:lvl>
    <w:lvl w:ilvl="1">
      <w:lvlJc w:val="left"/>
      <w:lvlText w:val="%2"/>
      <w:numFmt w:val="lowerRoman"/>
      <w:start w:val="1"/>
    </w:lvl>
  </w:abstractNum>
  <w:abstractNum w:abstractNumId="55">
    <w:nsid w:val="5399C654"/>
    <w:multiLevelType w:val="hybridMultilevel"/>
    <w:lvl w:ilvl="0">
      <w:lvlJc w:val="left"/>
      <w:lvlText w:val="2"/>
      <w:numFmt w:val="bullet"/>
      <w:start w:val="1"/>
    </w:lvl>
  </w:abstractNum>
  <w:abstractNum w:abstractNumId="56">
    <w:nsid w:val="20EE1348"/>
    <w:multiLevelType w:val="hybridMultilevel"/>
    <w:lvl w:ilvl="0">
      <w:lvlJc w:val="left"/>
      <w:lvlText w:val="%1."/>
      <w:numFmt w:val="decimal"/>
      <w:start w:val="4"/>
    </w:lvl>
  </w:abstractNum>
  <w:abstractNum w:abstractNumId="57">
    <w:nsid w:val="4427069A"/>
    <w:multiLevelType w:val="hybridMultilevel"/>
    <w:lvl w:ilvl="0">
      <w:lvlJc w:val="left"/>
      <w:lvlText w:val="%1."/>
      <w:numFmt w:val="decimal"/>
      <w:start w:val="9"/>
    </w:lvl>
    <w:lvl w:ilvl="1">
      <w:lvlJc w:val="left"/>
      <w:lvlText w:val="(%2)"/>
      <w:numFmt w:val="lowerLetter"/>
      <w:start w:val="1"/>
    </w:lvl>
  </w:abstractNum>
  <w:abstractNum w:abstractNumId="58">
    <w:nsid w:val="B37E80A"/>
    <w:multiLevelType w:val="hybridMultilevel"/>
    <w:lvl w:ilvl="0">
      <w:lvlJc w:val="left"/>
      <w:lvlText w:val="%1."/>
      <w:numFmt w:val="decimal"/>
      <w:start w:val="11"/>
    </w:lvl>
  </w:abstractNum>
  <w:abstractNum w:abstractNumId="59">
    <w:nsid w:val="2157F6BC"/>
    <w:multiLevelType w:val="hybridMultilevel"/>
    <w:lvl w:ilvl="0">
      <w:lvlJc w:val="left"/>
      <w:lvlText w:val="(%1)"/>
      <w:numFmt w:val="lowerLetter"/>
      <w:start w:val="4"/>
    </w:lvl>
    <w:lvl w:ilvl="1">
      <w:lvlJc w:val="left"/>
      <w:lvlText w:val="%2."/>
      <w:numFmt w:val="decimal"/>
      <w:start w:val="17"/>
    </w:lvl>
  </w:abstractNum>
  <w:abstractNum w:abstractNumId="60">
    <w:nsid w:val="704E1DD5"/>
    <w:multiLevelType w:val="hybridMultilevel"/>
    <w:lvl w:ilvl="0">
      <w:lvlJc w:val="left"/>
      <w:lvlText w:val="%1."/>
      <w:numFmt w:val="decimal"/>
      <w:start w:val="1"/>
    </w:lvl>
  </w:abstractNum>
  <w:abstractNum w:abstractNumId="61">
    <w:nsid w:val="57D2F10E"/>
    <w:multiLevelType w:val="hybridMultilevel"/>
    <w:lvl w:ilvl="0">
      <w:lvlJc w:val="left"/>
      <w:lvlText w:val="%1."/>
      <w:numFmt w:val="decimal"/>
      <w:start w:val="2"/>
    </w:lvl>
  </w:abstractNum>
  <w:abstractNum w:abstractNumId="62">
    <w:nsid w:val="BFFAE18"/>
    <w:multiLevelType w:val="hybridMultilevel"/>
    <w:lvl w:ilvl="0">
      <w:lvlJc w:val="left"/>
      <w:lvlText w:val="%1."/>
      <w:numFmt w:val="decimal"/>
      <w:start w:val="4"/>
    </w:lvl>
  </w:abstractNum>
  <w:abstractNum w:abstractNumId="63">
    <w:nsid w:val="E3E47A8"/>
    <w:multiLevelType w:val="hybridMultilevel"/>
    <w:lvl w:ilvl="0">
      <w:lvlJc w:val="left"/>
      <w:lvlText w:val="(%1)"/>
      <w:numFmt w:val="lowerRoman"/>
      <w:start w:val="2"/>
    </w:lvl>
  </w:abstractNum>
  <w:abstractNum w:abstractNumId="64">
    <w:nsid w:val="2E48F044"/>
    <w:multiLevelType w:val="hybridMultilevel"/>
    <w:lvl w:ilvl="0">
      <w:lvlJc w:val="left"/>
      <w:lvlText w:val="["/>
      <w:numFmt w:val="bullet"/>
      <w:start w:val="1"/>
    </w:lvl>
  </w:abstractNum>
  <w:abstractNum w:abstractNumId="65">
    <w:nsid w:val="49D0FEAC"/>
    <w:multiLevelType w:val="hybridMultilevel"/>
    <w:lvl w:ilvl="0">
      <w:lvlJc w:val="left"/>
      <w:lvlText w:val="%1:"/>
      <w:numFmt w:val="upperLetter"/>
      <w:start w:val="20"/>
    </w:lvl>
  </w:abstractNum>
  <w:abstractNum w:abstractNumId="66">
    <w:nsid w:val="4BEE5A5B"/>
    <w:multiLevelType w:val="hybridMultilevel"/>
    <w:lvl w:ilvl="0">
      <w:lvlJc w:val="left"/>
      <w:lvlText w:val="%1"/>
      <w:numFmt w:val="lowerLetter"/>
      <w:start w:val="1"/>
    </w:lvl>
    <w:lvl w:ilvl="1">
      <w:lvlJc w:val="left"/>
      <w:lvlText w:val="%2."/>
      <w:numFmt w:val="decimal"/>
      <w:start w:val="1"/>
    </w:lvl>
  </w:abstractNum>
  <w:abstractNum w:abstractNumId="67">
    <w:nsid w:val="5551B9F3"/>
    <w:multiLevelType w:val="hybridMultilevel"/>
    <w:lvl w:ilvl="0">
      <w:lvlJc w:val="left"/>
      <w:lvlText w:val="(%1)"/>
      <w:numFmt w:val="lowerLetter"/>
      <w:start w:val="2"/>
    </w:lvl>
    <w:lvl w:ilvl="1">
      <w:lvlJc w:val="left"/>
      <w:lvlText w:val="%2"/>
      <w:numFmt w:val="decimal"/>
      <w:start w:val="1"/>
    </w:lvl>
  </w:abstractNum>
  <w:abstractNum w:abstractNumId="68">
    <w:nsid w:val="24F6AB8E"/>
    <w:multiLevelType w:val="hybridMultilevel"/>
    <w:lvl w:ilvl="0">
      <w:lvlJc w:val="left"/>
      <w:lvlText w:val="%1"/>
      <w:numFmt w:val="decimal"/>
      <w:start w:val="1"/>
    </w:lvl>
    <w:lvl w:ilvl="1">
      <w:lvlJc w:val="left"/>
      <w:lvlText w:val="%2."/>
      <w:numFmt w:val="decimal"/>
      <w:start w:val="2"/>
    </w:lvl>
  </w:abstractNum>
  <w:abstractNum w:abstractNumId="69">
    <w:nsid w:val="634C574C"/>
    <w:multiLevelType w:val="hybridMultilevel"/>
    <w:lvl w:ilvl="0">
      <w:lvlJc w:val="left"/>
      <w:lvlText w:val="%1."/>
      <w:numFmt w:val="decimal"/>
      <w:start w:val="1"/>
    </w:lvl>
    <w:lvl w:ilvl="1">
      <w:lvlJc w:val="left"/>
      <w:lvlText w:val="%2"/>
      <w:numFmt w:val="decimal"/>
      <w:start w:val="1"/>
    </w:lvl>
  </w:abstractNum>
  <w:abstractNum w:abstractNumId="70">
    <w:nsid w:val="24E99DD7"/>
    <w:multiLevelType w:val="hybridMultilevel"/>
    <w:lvl w:ilvl="0">
      <w:lvlJc w:val="left"/>
      <w:lvlText w:val="%1."/>
      <w:numFmt w:val="decimal"/>
      <w:start w:val="3"/>
    </w:lvl>
    <w:lvl w:ilvl="1">
      <w:lvlJc w:val="left"/>
      <w:lvlText w:val="(%2)"/>
      <w:numFmt w:val="lowerLetter"/>
      <w:start w:val="1"/>
    </w:lvl>
  </w:abstractNum>
  <w:abstractNum w:abstractNumId="71">
    <w:nsid w:val="2A31B62D"/>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72">
    <w:nsid w:val="1849C29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3">
    <w:nsid w:val="7DFF9D09"/>
    <w:multiLevelType w:val="hybridMultilevel"/>
    <w:lvl w:ilvl="0">
      <w:lvlJc w:val="left"/>
      <w:lvlText w:val="%1"/>
      <w:numFmt w:val="decimal"/>
      <w:start w:val="1"/>
    </w:lvl>
    <w:lvl w:ilvl="1">
      <w:lvlJc w:val="left"/>
      <w:lvlText w:val="(%2)"/>
      <w:numFmt w:val="lowerLetter"/>
      <w:start w:val="4"/>
    </w:lvl>
  </w:abstractNum>
  <w:abstractNum w:abstractNumId="74">
    <w:nsid w:val="754342"/>
    <w:multiLevelType w:val="hybridMultilevel"/>
    <w:lvl w:ilvl="0">
      <w:lvlJc w:val="left"/>
      <w:lvlText w:val="%1."/>
      <w:numFmt w:val="decimal"/>
      <w:start w:val="6"/>
    </w:lvl>
    <w:lvl w:ilvl="1">
      <w:lvlJc w:val="left"/>
      <w:lvlText w:val="(%2)"/>
      <w:numFmt w:val="lowerLetter"/>
      <w:start w:val="1"/>
    </w:lvl>
  </w:abstractNum>
  <w:abstractNum w:abstractNumId="75">
    <w:nsid w:val="69E7F3E5"/>
    <w:multiLevelType w:val="hybridMultilevel"/>
    <w:lvl w:ilvl="0">
      <w:lvlJc w:val="left"/>
      <w:lvlText w:val="(%1)"/>
      <w:numFmt w:val="lowerLetter"/>
      <w:start w:val="2"/>
    </w:lvl>
  </w:abstractNum>
  <w:abstractNum w:abstractNumId="76">
    <w:nsid w:val="2A6DE806"/>
    <w:multiLevelType w:val="hybridMultilevel"/>
    <w:lvl w:ilvl="0">
      <w:lvlJc w:val="left"/>
      <w:lvlText w:val="(%1)"/>
      <w:numFmt w:val="lowerLetter"/>
      <w:start w:val="5"/>
    </w:lvl>
  </w:abstractNum>
  <w:abstractNum w:abstractNumId="77">
    <w:nsid w:val="1816F8C4"/>
    <w:multiLevelType w:val="hybridMultilevel"/>
    <w:lvl w:ilvl="0">
      <w:lvlJc w:val="left"/>
      <w:lvlText w:val="(%1)"/>
      <w:numFmt w:val="lowerLetter"/>
      <w:start w:val="9"/>
    </w:lvl>
  </w:abstractNum>
  <w:abstractNum w:abstractNumId="78">
    <w:nsid w:val="37DF2233"/>
    <w:multiLevelType w:val="hybridMultilevel"/>
    <w:lvl w:ilvl="0">
      <w:lvlJc w:val="left"/>
      <w:lvlText w:val="(%1)"/>
      <w:numFmt w:val="lowerLetter"/>
      <w:start w:val="11"/>
    </w:lvl>
  </w:abstractNum>
  <w:abstractNum w:abstractNumId="79">
    <w:nsid w:val="7AB49DAF"/>
    <w:multiLevelType w:val="hybridMultilevel"/>
    <w:lvl w:ilvl="0">
      <w:lvlJc w:val="left"/>
      <w:lvlText w:val="%1"/>
      <w:numFmt w:val="lowerLetter"/>
      <w:start w:val="1"/>
    </w:lvl>
    <w:lvl w:ilvl="1">
      <w:lvlJc w:val="left"/>
      <w:lvlText w:val="(%2)"/>
      <w:numFmt w:val="lowerLetter"/>
      <w:start w:val="15"/>
    </w:lvl>
  </w:abstractNum>
  <w:abstractNum w:abstractNumId="80">
    <w:nsid w:val="759F82CD"/>
    <w:multiLevelType w:val="hybridMultilevel"/>
    <w:lvl w:ilvl="0">
      <w:lvlJc w:val="left"/>
      <w:lvlText w:val="(%1)"/>
      <w:numFmt w:val="lowerLetter"/>
      <w:start w:val="9"/>
    </w:lvl>
    <w:lvl w:ilvl="1">
      <w:lvlJc w:val="left"/>
      <w:lvlText w:val="(%2)"/>
      <w:numFmt w:val="lowerLetter"/>
      <w:start w:val="17"/>
    </w:lvl>
  </w:abstractNum>
  <w:abstractNum w:abstractNumId="81">
    <w:nsid w:val="61E74EA3"/>
    <w:multiLevelType w:val="hybridMultilevel"/>
    <w:lvl w:ilvl="0">
      <w:lvlJc w:val="left"/>
      <w:lvlText w:val="(%1)"/>
      <w:numFmt w:val="lowerLetter"/>
      <w:start w:val="18"/>
    </w:lvl>
  </w:abstractNum>
  <w:abstractNum w:abstractNumId="82">
    <w:nsid w:val="597B4D84"/>
    <w:multiLevelType w:val="hybridMultilevel"/>
    <w:lvl w:ilvl="0">
      <w:lvlJc w:val="left"/>
      <w:lvlText w:val="(%1)"/>
      <w:numFmt w:val="lowerLetter"/>
      <w:start w:val="22"/>
    </w:lvl>
  </w:abstractNum>
  <w:abstractNum w:abstractNumId="83">
    <w:nsid w:val="F819E7F"/>
    <w:multiLevelType w:val="hybridMultilevel"/>
    <w:lvl w:ilvl="0">
      <w:lvlJc w:val="left"/>
      <w:lvlText w:val="%1"/>
      <w:numFmt w:val="lowerLetter"/>
      <w:start w:val="1"/>
    </w:lvl>
    <w:lvl w:ilvl="1">
      <w:lvlJc w:val="left"/>
      <w:lvlText w:val="(%2)"/>
      <w:numFmt w:val="lowerLetter"/>
      <w:start w:val="27"/>
    </w:lvl>
  </w:abstractNum>
  <w:abstractNum w:abstractNumId="84">
    <w:nsid w:val="57C7D42D"/>
    <w:multiLevelType w:val="hybridMultilevel"/>
    <w:lvl w:ilvl="0">
      <w:lvlJc w:val="left"/>
      <w:lvlText w:val="(%1)"/>
      <w:numFmt w:val="lowerLetter"/>
      <w:start w:val="61"/>
    </w:lvl>
    <w:lvl w:ilvl="1">
      <w:lvlJc w:val="left"/>
      <w:lvlText w:val="%2"/>
      <w:numFmt w:val="lowerLetter"/>
      <w:start w:val="1"/>
    </w:lvl>
  </w:abstractNum>
  <w:abstractNum w:abstractNumId="85">
    <w:nsid w:val="312167AD"/>
    <w:multiLevelType w:val="hybridMultilevel"/>
    <w:lvl w:ilvl="0">
      <w:lvlJc w:val="left"/>
      <w:lvlText w:val="(%1)"/>
      <w:numFmt w:val="lowerLetter"/>
      <w:start w:val="29"/>
    </w:lvl>
  </w:abstractNum>
  <w:abstractNum w:abstractNumId="86">
    <w:nsid w:val="631B64D4"/>
    <w:multiLevelType w:val="hybridMultilevel"/>
    <w:lvl w:ilvl="0">
      <w:lvlJc w:val="left"/>
      <w:lvlText w:val="(%1)"/>
      <w:numFmt w:val="lowerLetter"/>
      <w:start w:val="34"/>
    </w:lvl>
  </w:abstractNum>
  <w:abstractNum w:abstractNumId="87">
    <w:nsid w:val="78B5E776"/>
    <w:multiLevelType w:val="hybridMultilevel"/>
    <w:lvl w:ilvl="0">
      <w:lvlJc w:val="left"/>
      <w:lvlText w:val="(%1)"/>
      <w:numFmt w:val="lowerLetter"/>
      <w:start w:val="38"/>
    </w:lvl>
  </w:abstractNum>
  <w:abstractNum w:abstractNumId="88">
    <w:nsid w:val="75486E47"/>
    <w:multiLevelType w:val="hybridMultilevel"/>
    <w:lvl w:ilvl="0">
      <w:lvlJc w:val="left"/>
      <w:lvlText w:val="%1"/>
      <w:numFmt w:val="lowerLetter"/>
      <w:start w:val="1"/>
    </w:lvl>
    <w:lvl w:ilvl="1">
      <w:lvlJc w:val="left"/>
      <w:lvlText w:val="(%2)"/>
      <w:numFmt w:val="lowerLetter"/>
      <w:start w:val="41"/>
    </w:lvl>
  </w:abstractNum>
  <w:abstractNum w:abstractNumId="89">
    <w:nsid w:val="6E534CDE"/>
    <w:multiLevelType w:val="hybridMultilevel"/>
    <w:lvl w:ilvl="0">
      <w:lvlJc w:val="left"/>
      <w:lvlText w:val="(%1)"/>
      <w:numFmt w:val="lowerLetter"/>
      <w:start w:val="9"/>
    </w:lvl>
    <w:lvl w:ilvl="1">
      <w:lvlJc w:val="left"/>
      <w:lvlText w:val="(%2)"/>
      <w:numFmt w:val="lowerLetter"/>
      <w:start w:val="44"/>
    </w:lvl>
  </w:abstractNum>
  <w:abstractNum w:abstractNumId="90">
    <w:nsid w:val="1A0DDE32"/>
    <w:multiLevelType w:val="hybridMultilevel"/>
    <w:lvl w:ilvl="0">
      <w:lvlJc w:val="left"/>
      <w:lvlText w:val="(%1)"/>
      <w:numFmt w:val="lowerLetter"/>
      <w:start w:val="45"/>
    </w:lvl>
  </w:abstractNum>
  <w:abstractNum w:abstractNumId="91">
    <w:nsid w:val="65968C1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92">
    <w:nsid w:val="46263DEC"/>
    <w:multiLevelType w:val="hybridMultilevel"/>
    <w:lvl w:ilvl="0">
      <w:lvlJc w:val="left"/>
      <w:lvlText w:val="(%1)"/>
      <w:numFmt w:val="lowerRoman"/>
      <w:start w:val="2"/>
    </w:lvl>
    <w:lvl w:ilvl="1">
      <w:lvlJc w:val="left"/>
      <w:lvlText w:val="(%2)"/>
      <w:numFmt w:val="lowerLetter"/>
      <w:start w:val="47"/>
    </w:lvl>
    <w:lvl w:ilvl="2">
      <w:lvlJc w:val="left"/>
      <w:lvlText w:val="(%3)"/>
      <w:numFmt w:val="upperLetter"/>
      <w:start w:val="1"/>
    </w:lvl>
  </w:abstractNum>
  <w:abstractNum w:abstractNumId="93">
    <w:nsid w:val="260D8C4A"/>
    <w:multiLevelType w:val="hybridMultilevel"/>
    <w:lvl w:ilvl="0">
      <w:lvlJc w:val="left"/>
      <w:lvlText w:val="%1."/>
      <w:numFmt w:val="decimal"/>
      <w:start w:val="7"/>
    </w:lvl>
    <w:lvl w:ilvl="1">
      <w:lvlJc w:val="left"/>
      <w:lvlText w:val="(%2)"/>
      <w:numFmt w:val="lowerLetter"/>
      <w:start w:val="1"/>
    </w:lvl>
  </w:abstractNum>
  <w:abstractNum w:abstractNumId="94">
    <w:nsid w:val="73D4D3C4"/>
    <w:multiLevelType w:val="hybridMultilevel"/>
    <w:lvl w:ilvl="0">
      <w:lvlJc w:val="left"/>
      <w:lvlText w:val="(%1)"/>
      <w:numFmt w:val="lowerLetter"/>
      <w:start w:val="3"/>
    </w:lvl>
  </w:abstractNum>
  <w:abstractNum w:abstractNumId="95">
    <w:nsid w:val="746F2E30"/>
    <w:multiLevelType w:val="hybridMultilevel"/>
    <w:lvl w:ilvl="0">
      <w:lvlJc w:val="left"/>
      <w:lvlText w:val="%1"/>
      <w:numFmt w:val="lowerLetter"/>
      <w:start w:val="1"/>
    </w:lvl>
    <w:lvl w:ilvl="1">
      <w:lvlJc w:val="left"/>
      <w:lvlText w:val="(%2)"/>
      <w:numFmt w:val="lowerLetter"/>
      <w:start w:val="6"/>
    </w:lvl>
  </w:abstractNum>
  <w:abstractNum w:abstractNumId="96">
    <w:nsid w:val="6FDE8AF6"/>
    <w:multiLevelType w:val="hybridMultilevel"/>
    <w:lvl w:ilvl="0">
      <w:lvlJc w:val="left"/>
      <w:lvlText w:val="(%1)"/>
      <w:numFmt w:val="lowerLetter"/>
      <w:start w:val="9"/>
    </w:lvl>
    <w:lvl w:ilvl="1">
      <w:lvlJc w:val="left"/>
      <w:lvlText w:val="(%2)"/>
      <w:numFmt w:val="lowerLetter"/>
      <w:start w:val="9"/>
    </w:lvl>
  </w:abstractNum>
  <w:abstractNum w:abstractNumId="97">
    <w:nsid w:val="3FC32E20"/>
    <w:multiLevelType w:val="hybridMultilevel"/>
    <w:lvl w:ilvl="0">
      <w:lvlJc w:val="left"/>
      <w:lvlText w:val="%1"/>
      <w:numFmt w:val="lowerRoman"/>
      <w:start w:val="1"/>
    </w:lvl>
    <w:lvl w:ilvl="1">
      <w:lvlJc w:val="left"/>
      <w:lvlText w:val="(%2)"/>
      <w:numFmt w:val="lowerLetter"/>
      <w:start w:val="10"/>
    </w:lvl>
  </w:abstractNum>
  <w:abstractNum w:abstractNumId="98">
    <w:nsid w:val="49C0E823"/>
    <w:multiLevelType w:val="hybridMultilevel"/>
    <w:lvl w:ilvl="0">
      <w:lvlJc w:val="left"/>
      <w:lvlText w:val="(%1)"/>
      <w:numFmt w:val="lowerRoman"/>
      <w:start w:val="1"/>
    </w:lvl>
    <w:lvl w:ilvl="1">
      <w:lvlJc w:val="left"/>
      <w:lvlText w:val="%2"/>
      <w:numFmt w:val="lowerLetter"/>
      <w:start w:val="1"/>
    </w:lvl>
  </w:abstractNum>
  <w:abstractNum w:abstractNumId="99">
    <w:nsid w:val="14D53685"/>
    <w:multiLevelType w:val="hybridMultilevel"/>
    <w:lvl w:ilvl="0">
      <w:lvlJc w:val="left"/>
      <w:lvlText w:val="(%1)"/>
      <w:numFmt w:val="lowerLetter"/>
      <w:start w:val="13"/>
    </w:lvl>
  </w:abstractNum>
  <w:abstractNum w:abstractNumId="100">
    <w:nsid w:val="230F856C"/>
    <w:multiLevelType w:val="hybridMultilevel"/>
    <w:lvl w:ilvl="0">
      <w:lvlJc w:val="left"/>
      <w:lvlText w:val="%1"/>
      <w:numFmt w:val="lowerRoman"/>
      <w:start w:val="1"/>
    </w:lvl>
    <w:lvl w:ilvl="1">
      <w:lvlJc w:val="left"/>
      <w:lvlText w:val="(%2)"/>
      <w:numFmt w:val="lowerLetter"/>
      <w:start w:val="15"/>
    </w:lvl>
  </w:abstractNum>
  <w:abstractNum w:abstractNumId="101">
    <w:nsid w:val="6EAA85FB"/>
    <w:multiLevelType w:val="hybridMultilevel"/>
    <w:lvl w:ilvl="0">
      <w:lvlJc w:val="left"/>
      <w:lvlText w:val="(%1)"/>
      <w:numFmt w:val="lowerRoman"/>
      <w:start w:val="1"/>
    </w:lvl>
    <w:lvl w:ilvl="1">
      <w:lvlJc w:val="left"/>
      <w:lvlText w:val="%2"/>
      <w:numFmt w:val="lowerLetter"/>
      <w:start w:val="1"/>
    </w:lvl>
  </w:abstractNum>
  <w:abstractNum w:abstractNumId="102">
    <w:nsid w:val="3F06ECB2"/>
    <w:multiLevelType w:val="hybridMultilevel"/>
    <w:lvl w:ilvl="0">
      <w:lvlJc w:val="left"/>
      <w:lvlText w:val="%1."/>
      <w:numFmt w:val="decimal"/>
      <w:start w:val="8"/>
    </w:lvl>
    <w:lvl w:ilvl="1">
      <w:lvlJc w:val="left"/>
      <w:lvlText w:val="(%2)"/>
      <w:numFmt w:val="lowerLetter"/>
      <w:start w:val="1"/>
    </w:lvl>
  </w:abstractNum>
  <w:abstractNum w:abstractNumId="103">
    <w:nsid w:val="3B594807"/>
    <w:multiLevelType w:val="hybridMultilevel"/>
    <w:lvl w:ilvl="0">
      <w:lvlJc w:val="left"/>
      <w:lvlText w:val="%1"/>
      <w:numFmt w:val="lowerRoman"/>
      <w:start w:val="1"/>
    </w:lvl>
    <w:lvl w:ilvl="1">
      <w:lvlJc w:val="left"/>
      <w:lvlText w:val="(%2)"/>
      <w:numFmt w:val="lowerLetter"/>
      <w:start w:val="2"/>
    </w:lvl>
  </w:abstractNum>
  <w:abstractNum w:abstractNumId="104">
    <w:nsid w:val="6CAA2304"/>
    <w:multiLevelType w:val="hybridMultilevel"/>
    <w:lvl w:ilvl="0">
      <w:lvlJc w:val="left"/>
      <w:lvlText w:val="(%1)"/>
      <w:numFmt w:val="lowerRoman"/>
      <w:start w:val="4"/>
    </w:lvl>
    <w:lvl w:ilvl="1">
      <w:lvlJc w:val="left"/>
      <w:lvlText w:val="(%2)"/>
      <w:numFmt w:val="lowerLetter"/>
      <w:start w:val="3"/>
    </w:lvl>
  </w:abstractNum>
  <w:abstractNum w:abstractNumId="105">
    <w:nsid w:val="3F7C2FF4"/>
    <w:multiLevelType w:val="hybridMultilevel"/>
    <w:lvl w:ilvl="0">
      <w:lvlJc w:val="left"/>
      <w:lvlText w:val="(%1)"/>
      <w:numFmt w:val="lowerLetter"/>
      <w:start w:val="8"/>
    </w:lvl>
  </w:abstractNum>
  <w:abstractNum w:abstractNumId="106">
    <w:nsid w:val="25413BEC"/>
    <w:multiLevelType w:val="hybridMultilevel"/>
    <w:lvl w:ilvl="0">
      <w:lvlJc w:val="left"/>
      <w:lvlText w:val="%1."/>
      <w:numFmt w:val="decimal"/>
      <w:start w:val="11"/>
    </w:lvl>
    <w:lvl w:ilvl="1">
      <w:lvlJc w:val="left"/>
      <w:lvlText w:val="(%2)"/>
      <w:numFmt w:val="lowerLetter"/>
      <w:start w:val="8"/>
    </w:lvl>
    <w:lvl w:ilvl="2">
      <w:lvlJc w:val="left"/>
      <w:lvlText w:val="(%3)"/>
      <w:numFmt w:val="lowerLetter"/>
      <w:start w:val="1"/>
    </w:lvl>
  </w:abstractNum>
  <w:abstractNum w:abstractNumId="107">
    <w:nsid w:val="17180B0B"/>
    <w:multiLevelType w:val="hybridMultilevel"/>
    <w:lvl w:ilvl="0">
      <w:lvlJc w:val="left"/>
      <w:lvlText w:val="(%1)"/>
      <w:numFmt w:val="lowerRoman"/>
      <w:start w:val="2"/>
    </w:lvl>
    <w:lvl w:ilvl="1">
      <w:lvlJc w:val="left"/>
      <w:lvlText w:val="(%2)"/>
      <w:numFmt w:val="lowerLetter"/>
      <w:start w:val="2"/>
    </w:lvl>
  </w:abstractNum>
  <w:abstractNum w:abstractNumId="108">
    <w:nsid w:val="579328B9"/>
    <w:multiLevelType w:val="hybridMultilevel"/>
    <w:lvl w:ilvl="0">
      <w:lvlJc w:val="left"/>
      <w:lvlText w:val="(%1)"/>
      <w:numFmt w:val="lowerLetter"/>
      <w:start w:val="4"/>
    </w:lvl>
  </w:abstractNum>
  <w:abstractNum w:abstractNumId="109">
    <w:nsid w:val="5D205E20"/>
    <w:multiLevelType w:val="hybridMultilevel"/>
    <w:lvl w:ilvl="0">
      <w:lvlJc w:val="left"/>
      <w:lvlText w:val="%1."/>
      <w:numFmt w:val="decimal"/>
      <w:start w:val="12"/>
    </w:lvl>
  </w:abstractNum>
  <w:abstractNum w:abstractNumId="110">
    <w:nsid w:val="11CCA8BA"/>
    <w:multiLevelType w:val="hybridMultilevel"/>
    <w:lvl w:ilvl="0">
      <w:lvlJc w:val="left"/>
      <w:lvlText w:val="%1."/>
      <w:numFmt w:val="decimal"/>
      <w:start w:val="13"/>
    </w:lvl>
    <w:lvl w:ilvl="1">
      <w:lvlJc w:val="left"/>
      <w:lvlText w:val="(%2)"/>
      <w:numFmt w:val="lowerLetter"/>
      <w:start w:val="1"/>
    </w:lvl>
  </w:abstractNum>
  <w:abstractNum w:abstractNumId="111">
    <w:nsid w:val="4D32AB86"/>
    <w:multiLevelType w:val="hybridMultilevel"/>
    <w:lvl w:ilvl="0">
      <w:lvlJc w:val="left"/>
      <w:lvlText w:val="(%1)"/>
      <w:numFmt w:val="lowerLetter"/>
      <w:start w:val="5"/>
    </w:lvl>
  </w:abstractNum>
  <w:abstractNum w:abstractNumId="112">
    <w:nsid w:val="3F07ACC3"/>
    <w:multiLevelType w:val="hybridMultilevel"/>
    <w:lvl w:ilvl="0">
      <w:lvlJc w:val="left"/>
      <w:lvlText w:val="%1."/>
      <w:numFmt w:val="decimal"/>
      <w:start w:val="14"/>
    </w:lvl>
  </w:abstractNum>
  <w:abstractNum w:abstractNumId="113">
    <w:nsid w:val="6B47F63E"/>
    <w:multiLevelType w:val="hybridMultilevel"/>
    <w:lvl w:ilvl="0">
      <w:lvlJc w:val="left"/>
      <w:lvlText w:val="(%1)"/>
      <w:numFmt w:val="lowerRoman"/>
      <w:start w:val="2"/>
    </w:lvl>
  </w:abstractNum>
  <w:abstractNum w:abstractNumId="114">
    <w:nsid w:val="5CB44A05"/>
    <w:multiLevelType w:val="hybridMultilevel"/>
    <w:lvl w:ilvl="0">
      <w:lvlJc w:val="left"/>
      <w:lvlText w:val="%1."/>
      <w:numFmt w:val="decimal"/>
      <w:start w:val="15"/>
    </w:lvl>
  </w:abstractNum>
  <w:abstractNum w:abstractNumId="115">
    <w:nsid w:val="16CF80F1"/>
    <w:multiLevelType w:val="hybridMultilevel"/>
    <w:lvl w:ilvl="0">
      <w:lvlJc w:val="left"/>
      <w:lvlText w:val="%1."/>
      <w:numFmt w:val="decimal"/>
      <w:start w:val="17"/>
    </w:lvl>
  </w:abstractNum>
  <w:abstractNum w:abstractNumId="116">
    <w:nsid w:val="1C695DEC"/>
    <w:multiLevelType w:val="hybridMultilevel"/>
    <w:lvl w:ilvl="0">
      <w:lvlJc w:val="left"/>
      <w:lvlText w:val="%1."/>
      <w:numFmt w:val="decimal"/>
      <w:start w:val="20"/>
    </w:lvl>
    <w:lvl w:ilvl="1">
      <w:lvlJc w:val="left"/>
      <w:lvlText w:val="(%2)"/>
      <w:numFmt w:val="lowerLetter"/>
      <w:start w:val="1"/>
    </w:lvl>
  </w:abstractNum>
  <w:abstractNum w:abstractNumId="117">
    <w:nsid w:val="3FCFAED9"/>
    <w:multiLevelType w:val="hybridMultilevel"/>
    <w:lvl w:ilvl="0">
      <w:lvlJc w:val="left"/>
      <w:lvlText w:val="%1"/>
      <w:numFmt w:val="decimal"/>
      <w:start w:val="1"/>
    </w:lvl>
    <w:lvl w:ilvl="1">
      <w:lvlJc w:val="left"/>
      <w:lvlText w:val="(%2)"/>
      <w:numFmt w:val="lowerLetter"/>
      <w:start w:val="4"/>
    </w:lvl>
  </w:abstractNum>
  <w:abstractNum w:abstractNumId="118">
    <w:nsid w:val="F856867"/>
    <w:multiLevelType w:val="hybridMultilevel"/>
    <w:lvl w:ilvl="0">
      <w:lvlJc w:val="left"/>
      <w:lvlText w:val="%1."/>
      <w:numFmt w:val="decimal"/>
      <w:start w:val="25"/>
    </w:lvl>
    <w:lvl w:ilvl="1">
      <w:lvlJc w:val="left"/>
      <w:lvlText w:val="%2"/>
      <w:numFmt w:val="lowerLetter"/>
      <w:start w:val="1"/>
    </w:lvl>
  </w:abstractNum>
  <w:abstractNum w:abstractNumId="119">
    <w:nsid w:val="11B1CC33"/>
    <w:multiLevelType w:val="hybridMultilevel"/>
    <w:lvl w:ilvl="0">
      <w:lvlJc w:val="left"/>
      <w:lvlText w:val="%1."/>
      <w:numFmt w:val="decimal"/>
      <w:start w:val="1"/>
    </w:lvl>
  </w:abstractNum>
  <w:abstractNum w:abstractNumId="120">
    <w:nsid w:val="2E22FBB7"/>
    <w:multiLevelType w:val="hybridMultilevel"/>
    <w:lvl w:ilvl="0">
      <w:lvlJc w:val="left"/>
      <w:lvlText w:val="%1"/>
      <w:numFmt w:val="lowerLetter"/>
      <w:start w:val="1"/>
    </w:lvl>
    <w:lvl w:ilvl="1">
      <w:lvlJc w:val="left"/>
      <w:lvlText w:val="%2."/>
      <w:numFmt w:val="decimal"/>
      <w:start w:val="1"/>
    </w:lvl>
  </w:abstractNum>
  <w:abstractNum w:abstractNumId="121">
    <w:nsid w:val="29934699"/>
    <w:multiLevelType w:val="hybridMultilevel"/>
    <w:lvl w:ilvl="0">
      <w:lvlJc w:val="left"/>
      <w:lvlText w:val="(%1)"/>
      <w:numFmt w:val="lowerLetter"/>
      <w:start w:val="1"/>
    </w:lvl>
    <w:lvl w:ilvl="1">
      <w:lvlJc w:val="left"/>
      <w:lvlText w:val="%2"/>
      <w:numFmt w:val="decimal"/>
      <w:start w:val="1"/>
    </w:lvl>
  </w:abstractNum>
  <w:abstractNum w:abstractNumId="122">
    <w:nsid w:val="77485850"/>
    <w:multiLevelType w:val="hybridMultilevel"/>
    <w:lvl w:ilvl="0">
      <w:lvlJc w:val="left"/>
      <w:lvlText w:val="%1"/>
      <w:numFmt w:val="decimal"/>
      <w:start w:val="1"/>
    </w:lvl>
    <w:lvl w:ilvl="1">
      <w:lvlJc w:val="left"/>
      <w:lvlText w:val="%2."/>
      <w:numFmt w:val="decimal"/>
      <w:start w:val="2"/>
    </w:lvl>
  </w:abstractNum>
  <w:abstractNum w:abstractNumId="123">
    <w:nsid w:val="744939A3"/>
    <w:multiLevelType w:val="hybridMultilevel"/>
    <w:lvl w:ilvl="0">
      <w:lvlJc w:val="left"/>
      <w:lvlText w:val="%1."/>
      <w:numFmt w:val="decimal"/>
      <w:start w:val="1"/>
    </w:lvl>
    <w:lvl w:ilvl="1">
      <w:lvlJc w:val="left"/>
      <w:lvlText w:val="%2"/>
      <w:numFmt w:val="decimal"/>
      <w:start w:val="1"/>
    </w:lvl>
  </w:abstractNum>
  <w:abstractNum w:abstractNumId="124">
    <w:nsid w:val="4FA0D2E3"/>
    <w:multiLevelType w:val="hybridMultilevel"/>
    <w:lvl w:ilvl="0">
      <w:lvlJc w:val="left"/>
      <w:lvlText w:val="%1."/>
      <w:numFmt w:val="decimal"/>
      <w:start w:val="3"/>
    </w:lvl>
    <w:lvl w:ilvl="1">
      <w:lvlJc w:val="left"/>
      <w:lvlText w:val="(%2)"/>
      <w:numFmt w:val="lowerLetter"/>
      <w:start w:val="1"/>
    </w:lvl>
  </w:abstractNum>
  <w:abstractNum w:abstractNumId="125">
    <w:nsid w:val="6B1D2C1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26">
    <w:nsid w:val="68B867D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27">
    <w:nsid w:val="3F7F5DD9"/>
    <w:multiLevelType w:val="hybridMultilevel"/>
    <w:lvl w:ilvl="0">
      <w:lvlJc w:val="left"/>
      <w:lvlText w:val="%1"/>
      <w:numFmt w:val="decimal"/>
      <w:start w:val="1"/>
    </w:lvl>
    <w:lvl w:ilvl="1">
      <w:lvlJc w:val="left"/>
      <w:lvlText w:val="(%2)"/>
      <w:numFmt w:val="lowerLetter"/>
      <w:start w:val="4"/>
    </w:lvl>
  </w:abstractNum>
  <w:abstractNum w:abstractNumId="128">
    <w:nsid w:val="2AE05A34"/>
    <w:multiLevelType w:val="hybridMultilevel"/>
    <w:lvl w:ilvl="0">
      <w:lvlJc w:val="left"/>
      <w:lvlText w:val="%1."/>
      <w:numFmt w:val="decimal"/>
      <w:start w:val="6"/>
    </w:lvl>
    <w:lvl w:ilvl="1">
      <w:lvlJc w:val="left"/>
      <w:lvlText w:val="(%2)"/>
      <w:numFmt w:val="lowerLetter"/>
      <w:start w:val="1"/>
    </w:lvl>
  </w:abstractNum>
  <w:abstractNum w:abstractNumId="129">
    <w:nsid w:val="32794FF7"/>
    <w:multiLevelType w:val="hybridMultilevel"/>
    <w:lvl w:ilvl="0">
      <w:lvlJc w:val="left"/>
      <w:lvlText w:val="(%1)"/>
      <w:numFmt w:val="lowerLetter"/>
      <w:start w:val="2"/>
    </w:lvl>
  </w:abstractNum>
  <w:abstractNum w:abstractNumId="130">
    <w:nsid w:val="5454945E"/>
    <w:multiLevelType w:val="hybridMultilevel"/>
    <w:lvl w:ilvl="0">
      <w:lvlJc w:val="left"/>
      <w:lvlText w:val="(%1)"/>
      <w:numFmt w:val="lowerLetter"/>
      <w:start w:val="5"/>
    </w:lvl>
  </w:abstractNum>
  <w:abstractNum w:abstractNumId="131">
    <w:nsid w:val="4DEFDFA0"/>
    <w:multiLevelType w:val="hybridMultilevel"/>
    <w:lvl w:ilvl="0">
      <w:lvlJc w:val="left"/>
      <w:lvlText w:val="(%1)"/>
      <w:numFmt w:val="lowerLetter"/>
      <w:start w:val="9"/>
    </w:lvl>
  </w:abstractNum>
  <w:abstractNum w:abstractNumId="132">
    <w:nsid w:val="2123D5F2"/>
    <w:multiLevelType w:val="hybridMultilevel"/>
    <w:lvl w:ilvl="0">
      <w:lvlJc w:val="left"/>
      <w:lvlText w:val="(%1)"/>
      <w:numFmt w:val="lowerLetter"/>
      <w:start w:val="11"/>
    </w:lvl>
  </w:abstractNum>
  <w:abstractNum w:abstractNumId="133">
    <w:nsid w:val="135B8110"/>
    <w:multiLevelType w:val="hybridMultilevel"/>
    <w:lvl w:ilvl="0">
      <w:lvlJc w:val="left"/>
      <w:lvlText w:val="%1"/>
      <w:numFmt w:val="lowerLetter"/>
      <w:start w:val="1"/>
    </w:lvl>
    <w:lvl w:ilvl="1">
      <w:lvlJc w:val="left"/>
      <w:lvlText w:val="(%2)"/>
      <w:numFmt w:val="lowerLetter"/>
      <w:start w:val="15"/>
    </w:lvl>
  </w:abstractNum>
  <w:abstractNum w:abstractNumId="134">
    <w:nsid w:val="94927A8"/>
    <w:multiLevelType w:val="hybridMultilevel"/>
    <w:lvl w:ilvl="0">
      <w:lvlJc w:val="left"/>
      <w:lvlText w:val="(%1)"/>
      <w:numFmt w:val="lowerLetter"/>
      <w:start w:val="9"/>
    </w:lvl>
    <w:lvl w:ilvl="1">
      <w:lvlJc w:val="left"/>
      <w:lvlText w:val="(%2)"/>
      <w:numFmt w:val="lowerLetter"/>
      <w:start w:val="17"/>
    </w:lvl>
  </w:abstractNum>
  <w:abstractNum w:abstractNumId="135">
    <w:nsid w:val="DCDF8F6"/>
    <w:multiLevelType w:val="hybridMultilevel"/>
    <w:lvl w:ilvl="0">
      <w:lvlJc w:val="left"/>
      <w:lvlText w:val="(%1)"/>
      <w:numFmt w:val="lowerLetter"/>
      <w:start w:val="18"/>
    </w:lvl>
  </w:abstractNum>
  <w:abstractNum w:abstractNumId="136">
    <w:nsid w:val="52D7B105"/>
    <w:multiLevelType w:val="hybridMultilevel"/>
    <w:lvl w:ilvl="0">
      <w:lvlJc w:val="left"/>
      <w:lvlText w:val="(%1)"/>
      <w:numFmt w:val="lowerLetter"/>
      <w:start w:val="22"/>
    </w:lvl>
  </w:abstractNum>
  <w:abstractNum w:abstractNumId="137">
    <w:nsid w:val="2E8A6394"/>
    <w:multiLevelType w:val="hybridMultilevel"/>
    <w:lvl w:ilvl="0">
      <w:lvlJc w:val="left"/>
      <w:lvlText w:val="%1"/>
      <w:numFmt w:val="lowerLetter"/>
      <w:start w:val="1"/>
    </w:lvl>
    <w:lvl w:ilvl="1">
      <w:lvlJc w:val="left"/>
      <w:lvlText w:val="(%2)"/>
      <w:numFmt w:val="lowerLetter"/>
      <w:start w:val="27"/>
    </w:lvl>
  </w:abstractNum>
  <w:abstractNum w:abstractNumId="138">
    <w:nsid w:val="24E60401"/>
    <w:multiLevelType w:val="hybridMultilevel"/>
    <w:lvl w:ilvl="0">
      <w:lvlJc w:val="left"/>
      <w:lvlText w:val="(%1)"/>
      <w:numFmt w:val="lowerLetter"/>
      <w:start w:val="61"/>
    </w:lvl>
    <w:lvl w:ilvl="1">
      <w:lvlJc w:val="left"/>
      <w:lvlText w:val="%2"/>
      <w:numFmt w:val="lowerLetter"/>
      <w:start w:val="1"/>
    </w:lvl>
  </w:abstractNum>
  <w:abstractNum w:abstractNumId="139">
    <w:nsid w:val="2A6AD9BE"/>
    <w:multiLevelType w:val="hybridMultilevel"/>
    <w:lvl w:ilvl="0">
      <w:lvlJc w:val="left"/>
      <w:lvlText w:val="(%1)"/>
      <w:numFmt w:val="lowerLetter"/>
      <w:start w:val="29"/>
    </w:lvl>
  </w:abstractNum>
  <w:abstractNum w:abstractNumId="140">
    <w:nsid w:val="BAAC1B4"/>
    <w:multiLevelType w:val="hybridMultilevel"/>
    <w:lvl w:ilvl="0">
      <w:lvlJc w:val="left"/>
      <w:lvlText w:val="(%1)"/>
      <w:numFmt w:val="lowerLetter"/>
      <w:start w:val="34"/>
    </w:lvl>
  </w:abstractNum>
  <w:abstractNum w:abstractNumId="141">
    <w:nsid w:val="36B2ACBC"/>
    <w:multiLevelType w:val="hybridMultilevel"/>
    <w:lvl w:ilvl="0">
      <w:lvlJc w:val="left"/>
      <w:lvlText w:val="(%1)"/>
      <w:numFmt w:val="lowerLetter"/>
      <w:start w:val="38"/>
    </w:lvl>
  </w:abstractNum>
  <w:abstractNum w:abstractNumId="142">
    <w:nsid w:val="779D8544"/>
    <w:multiLevelType w:val="hybridMultilevel"/>
    <w:lvl w:ilvl="0">
      <w:lvlJc w:val="left"/>
      <w:lvlText w:val="%1"/>
      <w:numFmt w:val="lowerLetter"/>
      <w:start w:val="1"/>
    </w:lvl>
    <w:lvl w:ilvl="1">
      <w:lvlJc w:val="left"/>
      <w:lvlText w:val="(%2)"/>
      <w:numFmt w:val="lowerLetter"/>
      <w:start w:val="41"/>
    </w:lvl>
  </w:abstractNum>
  <w:abstractNum w:abstractNumId="143">
    <w:nsid w:val="4AB26E78"/>
    <w:multiLevelType w:val="hybridMultilevel"/>
    <w:lvl w:ilvl="0">
      <w:lvlJc w:val="left"/>
      <w:lvlText w:val="(%1)"/>
      <w:numFmt w:val="lowerLetter"/>
      <w:start w:val="9"/>
    </w:lvl>
    <w:lvl w:ilvl="1">
      <w:lvlJc w:val="left"/>
      <w:lvlText w:val="(%2)"/>
      <w:numFmt w:val="lowerLetter"/>
      <w:start w:val="44"/>
    </w:lvl>
  </w:abstractNum>
  <w:abstractNum w:abstractNumId="144">
    <w:nsid w:val="21FAA2FA"/>
    <w:multiLevelType w:val="hybridMultilevel"/>
    <w:lvl w:ilvl="0">
      <w:lvlJc w:val="left"/>
      <w:lvlText w:val="(%1)"/>
      <w:numFmt w:val="lowerLetter"/>
      <w:start w:val="45"/>
    </w:lvl>
  </w:abstractNum>
  <w:abstractNum w:abstractNumId="145">
    <w:nsid w:val="5451CF4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146">
    <w:nsid w:val="6181EF69"/>
    <w:multiLevelType w:val="hybridMultilevel"/>
    <w:lvl w:ilvl="0">
      <w:lvlJc w:val="left"/>
      <w:lvlText w:val="(%1)"/>
      <w:numFmt w:val="lowerRoman"/>
      <w:start w:val="2"/>
    </w:lvl>
    <w:lvl w:ilvl="1">
      <w:lvlJc w:val="left"/>
      <w:lvlText w:val="(%2)"/>
      <w:numFmt w:val="lowerLetter"/>
      <w:start w:val="47"/>
    </w:lvl>
    <w:lvl w:ilvl="2">
      <w:lvlJc w:val="left"/>
      <w:lvlText w:val="(%3)"/>
      <w:numFmt w:val="upperLetter"/>
      <w:start w:val="1"/>
    </w:lvl>
  </w:abstractNum>
  <w:abstractNum w:abstractNumId="147">
    <w:nsid w:val="3E6400E6"/>
    <w:multiLevelType w:val="hybridMultilevel"/>
    <w:lvl w:ilvl="0">
      <w:lvlJc w:val="left"/>
      <w:lvlText w:val="%1."/>
      <w:numFmt w:val="decimal"/>
      <w:start w:val="7"/>
    </w:lvl>
    <w:lvl w:ilvl="1">
      <w:lvlJc w:val="left"/>
      <w:lvlText w:val="(%2)"/>
      <w:numFmt w:val="lowerLetter"/>
      <w:start w:val="1"/>
    </w:lvl>
  </w:abstractNum>
  <w:abstractNum w:abstractNumId="148">
    <w:nsid w:val="14217E23"/>
    <w:multiLevelType w:val="hybridMultilevel"/>
    <w:lvl w:ilvl="0">
      <w:lvlJc w:val="left"/>
      <w:lvlText w:val="(%1)"/>
      <w:numFmt w:val="lowerLetter"/>
      <w:start w:val="3"/>
    </w:lvl>
  </w:abstractNum>
  <w:abstractNum w:abstractNumId="149">
    <w:nsid w:val="710757D0"/>
    <w:multiLevelType w:val="hybridMultilevel"/>
    <w:lvl w:ilvl="0">
      <w:lvlJc w:val="left"/>
      <w:lvlText w:val="%1"/>
      <w:numFmt w:val="lowerLetter"/>
      <w:start w:val="1"/>
    </w:lvl>
    <w:lvl w:ilvl="1">
      <w:lvlJc w:val="left"/>
      <w:lvlText w:val="(%2)"/>
      <w:numFmt w:val="lowerLetter"/>
      <w:start w:val="6"/>
    </w:lvl>
  </w:abstractNum>
  <w:abstractNum w:abstractNumId="150">
    <w:nsid w:val="5015CD1A"/>
    <w:multiLevelType w:val="hybridMultilevel"/>
    <w:lvl w:ilvl="0">
      <w:lvlJc w:val="left"/>
      <w:lvlText w:val="(%1)"/>
      <w:numFmt w:val="lowerLetter"/>
      <w:start w:val="9"/>
    </w:lvl>
    <w:lvl w:ilvl="1">
      <w:lvlJc w:val="left"/>
      <w:lvlText w:val="(%2)"/>
      <w:numFmt w:val="lowerLetter"/>
      <w:start w:val="9"/>
    </w:lvl>
  </w:abstractNum>
  <w:abstractNum w:abstractNumId="151">
    <w:nsid w:val="424479D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0"/>
    </w:lvl>
  </w:abstractNum>
  <w:abstractNum w:abstractNumId="152">
    <w:nsid w:val="1A9A9E69"/>
    <w:multiLevelType w:val="hybridMultilevel"/>
    <w:lvl w:ilvl="0">
      <w:lvlJc w:val="left"/>
      <w:lvlText w:val="(%1)"/>
      <w:numFmt w:val="lowerLetter"/>
      <w:start w:val="35"/>
    </w:lvl>
    <w:lvl w:ilvl="1">
      <w:lvlJc w:val="left"/>
      <w:lvlText w:val="(%2)"/>
      <w:numFmt w:val="lowerRoman"/>
    </w:lvl>
    <w:lvl w:ilvl="2">
      <w:lvlJc w:val="left"/>
      <w:lvlText w:val="(%3)"/>
      <w:numFmt w:val="lowerLetter"/>
      <w:start w:val="12"/>
    </w:lvl>
  </w:abstractNum>
  <w:abstractNum w:abstractNumId="153">
    <w:nsid w:val="475E256A"/>
    <w:multiLevelType w:val="hybridMultilevel"/>
    <w:lvl w:ilvl="0">
      <w:lvlJc w:val="left"/>
      <w:lvlText w:val="(%1)"/>
      <w:numFmt w:val="lowerLetter"/>
      <w:start w:val="13"/>
    </w:lvl>
  </w:abstractNum>
  <w:abstractNum w:abstractNumId="154">
    <w:nsid w:val="368DB37E"/>
    <w:multiLevelType w:val="hybridMultilevel"/>
    <w:lvl w:ilvl="0">
      <w:lvlJc w:val="left"/>
      <w:lvlText w:val="%1"/>
      <w:numFmt w:val="lowerRoman"/>
      <w:start w:val="1"/>
    </w:lvl>
    <w:lvl w:ilvl="1">
      <w:lvlJc w:val="left"/>
      <w:lvlText w:val="(%2)"/>
      <w:numFmt w:val="lowerLetter"/>
      <w:start w:val="15"/>
    </w:lvl>
  </w:abstractNum>
  <w:abstractNum w:abstractNumId="155">
    <w:nsid w:val="6A3B714C"/>
    <w:multiLevelType w:val="hybridMultilevel"/>
    <w:lvl w:ilvl="0">
      <w:lvlJc w:val="left"/>
      <w:lvlText w:val="(%1)"/>
      <w:numFmt w:val="lowerRoman"/>
      <w:start w:val="1"/>
    </w:lvl>
    <w:lvl w:ilvl="1">
      <w:lvlJc w:val="left"/>
      <w:lvlText w:val="%2"/>
      <w:numFmt w:val="lowerLetter"/>
      <w:start w:val="1"/>
    </w:lvl>
  </w:abstractNum>
  <w:abstractNum w:abstractNumId="156">
    <w:nsid w:val="327B517E"/>
    <w:multiLevelType w:val="hybridMultilevel"/>
    <w:lvl w:ilvl="0">
      <w:lvlJc w:val="left"/>
      <w:lvlText w:val="%1."/>
      <w:numFmt w:val="decimal"/>
      <w:start w:val="8"/>
    </w:lvl>
    <w:lvl w:ilvl="1">
      <w:lvlJc w:val="left"/>
      <w:lvlText w:val="(%2)"/>
      <w:numFmt w:val="lowerLetter"/>
      <w:start w:val="1"/>
    </w:lvl>
  </w:abstractNum>
  <w:abstractNum w:abstractNumId="157">
    <w:nsid w:val="1F461B51"/>
    <w:multiLevelType w:val="hybridMultilevel"/>
    <w:lvl w:ilvl="0">
      <w:lvlJc w:val="left"/>
      <w:lvlText w:val="%1"/>
      <w:numFmt w:val="lowerRoman"/>
      <w:start w:val="1"/>
    </w:lvl>
    <w:lvl w:ilvl="1">
      <w:lvlJc w:val="left"/>
      <w:lvlText w:val="(%2)"/>
      <w:numFmt w:val="lowerLetter"/>
      <w:start w:val="2"/>
    </w:lvl>
  </w:abstractNum>
  <w:abstractNum w:abstractNumId="158">
    <w:nsid w:val="29BACF25"/>
    <w:multiLevelType w:val="hybridMultilevel"/>
    <w:lvl w:ilvl="0">
      <w:lvlJc w:val="left"/>
      <w:lvlText w:val="(%1)"/>
      <w:numFmt w:val="lowerRoman"/>
      <w:start w:val="4"/>
    </w:lvl>
    <w:lvl w:ilvl="1">
      <w:lvlJc w:val="left"/>
      <w:lvlText w:val="(%2)"/>
      <w:numFmt w:val="lowerLetter"/>
      <w:start w:val="3"/>
    </w:lvl>
  </w:abstractNum>
  <w:abstractNum w:abstractNumId="159">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160">
    <w:nsid w:val="51BF6B48"/>
    <w:multiLevelType w:val="hybridMultilevel"/>
    <w:lvl w:ilvl="0">
      <w:lvlJc w:val="left"/>
      <w:lvlText w:val="%1."/>
      <w:numFmt w:val="decimal"/>
      <w:start w:val="11"/>
    </w:lvl>
    <w:lvl w:ilvl="1">
      <w:lvlJc w:val="left"/>
      <w:lvlText w:val="(%2)"/>
      <w:numFmt w:val="lowerLetter"/>
      <w:start w:val="8"/>
    </w:lvl>
    <w:lvl w:ilvl="2">
      <w:lvlJc w:val="left"/>
      <w:lvlText w:val="(%3)"/>
      <w:numFmt w:val="lowerLetter"/>
      <w:start w:val="1"/>
    </w:lvl>
  </w:abstractNum>
  <w:abstractNum w:abstractNumId="161">
    <w:nsid w:val="7E0F6384"/>
    <w:multiLevelType w:val="hybridMultilevel"/>
    <w:lvl w:ilvl="0">
      <w:lvlJc w:val="left"/>
      <w:lvlText w:val="(%1)"/>
      <w:numFmt w:val="lowerRoman"/>
      <w:start w:val="2"/>
    </w:lvl>
    <w:lvl w:ilvl="1">
      <w:lvlJc w:val="left"/>
      <w:lvlText w:val="(%2)"/>
      <w:numFmt w:val="lowerLetter"/>
      <w:start w:val="2"/>
    </w:lvl>
  </w:abstractNum>
  <w:abstractNum w:abstractNumId="162">
    <w:nsid w:val="2B4B8B53"/>
    <w:multiLevelType w:val="hybridMultilevel"/>
    <w:lvl w:ilvl="0">
      <w:lvlJc w:val="left"/>
      <w:lvlText w:val="(%1)"/>
      <w:numFmt w:val="lowerLetter"/>
      <w:start w:val="4"/>
    </w:lvl>
  </w:abstractNum>
  <w:abstractNum w:abstractNumId="163">
    <w:nsid w:val="72E3413A"/>
    <w:multiLevelType w:val="hybridMultilevel"/>
    <w:lvl w:ilvl="0">
      <w:lvlJc w:val="left"/>
      <w:lvlText w:val="%1."/>
      <w:numFmt w:val="decimal"/>
      <w:start w:val="12"/>
    </w:lvl>
  </w:abstractNum>
  <w:abstractNum w:abstractNumId="164">
    <w:nsid w:val="116AE494"/>
    <w:multiLevelType w:val="hybridMultilevel"/>
    <w:lvl w:ilvl="0">
      <w:lvlJc w:val="left"/>
      <w:lvlText w:val="%1."/>
      <w:numFmt w:val="decimal"/>
      <w:start w:val="13"/>
    </w:lvl>
    <w:lvl w:ilvl="1">
      <w:lvlJc w:val="left"/>
      <w:lvlText w:val="(%2)"/>
      <w:numFmt w:val="lowerLetter"/>
      <w:start w:val="1"/>
    </w:lvl>
  </w:abstractNum>
  <w:abstractNum w:abstractNumId="165">
    <w:nsid w:val="3494B2FB"/>
    <w:multiLevelType w:val="hybridMultilevel"/>
    <w:lvl w:ilvl="0">
      <w:lvlJc w:val="left"/>
      <w:lvlText w:val="(%1)"/>
      <w:numFmt w:val="lowerLetter"/>
      <w:start w:val="5"/>
    </w:lvl>
  </w:abstractNum>
  <w:abstractNum w:abstractNumId="166">
    <w:nsid w:val="B13A31"/>
    <w:multiLevelType w:val="hybridMultilevel"/>
    <w:lvl w:ilvl="0">
      <w:lvlJc w:val="left"/>
      <w:lvlText w:val="%1."/>
      <w:numFmt w:val="decimal"/>
      <w:start w:val="14"/>
    </w:lvl>
  </w:abstractNum>
  <w:abstractNum w:abstractNumId="167">
    <w:nsid w:val="64429599"/>
    <w:multiLevelType w:val="hybridMultilevel"/>
    <w:lvl w:ilvl="0">
      <w:lvlJc w:val="left"/>
      <w:lvlText w:val="(%1)"/>
      <w:numFmt w:val="lowerRoman"/>
      <w:start w:val="2"/>
    </w:lvl>
  </w:abstractNum>
  <w:abstractNum w:abstractNumId="168">
    <w:nsid w:val="631F1690"/>
    <w:multiLevelType w:val="hybridMultilevel"/>
    <w:lvl w:ilvl="0">
      <w:lvlJc w:val="left"/>
      <w:lvlText w:val="%1."/>
      <w:numFmt w:val="decimal"/>
      <w:start w:val="15"/>
    </w:lvl>
  </w:abstractNum>
  <w:abstractNum w:abstractNumId="169">
    <w:nsid w:val="25973E32"/>
    <w:multiLevelType w:val="hybridMultilevel"/>
    <w:lvl w:ilvl="0">
      <w:lvlJc w:val="left"/>
      <w:lvlText w:val="%1."/>
      <w:numFmt w:val="decimal"/>
      <w:start w:val="17"/>
    </w:lvl>
  </w:abstractNum>
  <w:abstractNum w:abstractNumId="170">
    <w:nsid w:val="EAD6F57"/>
    <w:multiLevelType w:val="hybridMultilevel"/>
    <w:lvl w:ilvl="0">
      <w:lvlJc w:val="left"/>
      <w:lvlText w:val="%1."/>
      <w:numFmt w:val="decimal"/>
      <w:start w:val="21"/>
    </w:lvl>
    <w:lvl w:ilvl="1">
      <w:lvlJc w:val="left"/>
      <w:lvlText w:val="(%2)"/>
      <w:numFmt w:val="lowerLetter"/>
      <w:start w:val="1"/>
    </w:lvl>
  </w:abstractNum>
  <w:abstractNum w:abstractNumId="171">
    <w:nsid w:val="6EC9D844"/>
    <w:multiLevelType w:val="hybridMultilevel"/>
    <w:lvl w:ilvl="0">
      <w:lvlJc w:val="left"/>
      <w:lvlText w:val="%1"/>
      <w:numFmt w:val="decimal"/>
      <w:start w:val="1"/>
    </w:lvl>
    <w:lvl w:ilvl="1">
      <w:lvlJc w:val="left"/>
      <w:lvlText w:val="(%2)"/>
      <w:numFmt w:val="lowerLetter"/>
      <w:start w:val="4"/>
    </w:lvl>
  </w:abstractNum>
  <w:abstractNum w:abstractNumId="172">
    <w:nsid w:val="5C49EAEE"/>
    <w:multiLevelType w:val="hybridMultilevel"/>
    <w:lvl w:ilvl="0">
      <w:lvlJc w:val="left"/>
      <w:lvlText w:val="%1."/>
      <w:numFmt w:val="decimal"/>
      <w:start w:val="25"/>
    </w:lvl>
    <w:lvl w:ilvl="1">
      <w:lvlJc w:val="left"/>
      <w:lvlText w:val="%2"/>
      <w:numFmt w:val="lowerLetter"/>
      <w:start w:val="1"/>
    </w:lvl>
  </w:abstractNum>
  <w:abstractNum w:abstractNumId="173">
    <w:nsid w:val="64AF49B"/>
    <w:multiLevelType w:val="hybridMultilevel"/>
    <w:lvl w:ilvl="0">
      <w:lvlJc w:val="left"/>
      <w:lvlText w:val="%1."/>
      <w:numFmt w:val="decimal"/>
      <w:start w:val="1"/>
    </w:lvl>
  </w:abstractNum>
  <w:abstractNum w:abstractNumId="174">
    <w:nsid w:val="397C46BC"/>
    <w:multiLevelType w:val="hybridMultilevel"/>
    <w:lvl w:ilvl="0">
      <w:lvlJc w:val="left"/>
      <w:lvlText w:val="%1."/>
      <w:numFmt w:val="decimal"/>
      <w:start w:val="1"/>
    </w:lvl>
  </w:abstractNum>
  <w:abstractNum w:abstractNumId="175">
    <w:nsid w:val="7E448DE9"/>
    <w:multiLevelType w:val="hybridMultilevel"/>
    <w:lvl w:ilvl="0">
      <w:lvlJc w:val="left"/>
      <w:lvlText w:val="%1."/>
      <w:numFmt w:val="decimal"/>
      <w:start w:val="7"/>
    </w:lvl>
  </w:abstractNum>
  <w:abstractNum w:abstractNumId="176">
    <w:nsid w:val="5A9CC3E5"/>
    <w:multiLevelType w:val="hybridMultilevel"/>
    <w:lvl w:ilvl="0">
      <w:lvlJc w:val="left"/>
      <w:lvlText w:val="%1."/>
      <w:numFmt w:val="decimal"/>
      <w:start w:val="1"/>
    </w:lvl>
  </w:abstractNum>
  <w:abstractNum w:abstractNumId="177">
    <w:nsid w:val="1AFE3625"/>
    <w:multiLevelType w:val="hybridMultilevel"/>
    <w:lvl w:ilvl="0">
      <w:lvlJc w:val="left"/>
      <w:lvlText w:val="(%1)"/>
      <w:numFmt w:val="upperLetter"/>
      <w:start w:val="1"/>
    </w:lvl>
  </w:abstractNum>
  <w:abstractNum w:abstractNumId="178">
    <w:nsid w:val="3CA88ECF"/>
    <w:multiLevelType w:val="hybridMultilevel"/>
    <w:lvl w:ilvl="0">
      <w:lvlJc w:val="left"/>
      <w:lvlText w:val="%1."/>
      <w:numFmt w:val="decimal"/>
      <w:start w:val="3"/>
    </w:lvl>
    <w:lvl w:ilvl="1">
      <w:lvlJc w:val="left"/>
      <w:lvlText w:val="%2"/>
      <w:numFmt w:val="lowerLetter"/>
      <w:start w:val="1"/>
    </w:lvl>
  </w:abstractNum>
  <w:abstractNum w:abstractNumId="179">
    <w:nsid w:val="6EBE4208"/>
    <w:multiLevelType w:val="hybridMultilevel"/>
    <w:lvl w:ilvl="0">
      <w:lvlJc w:val="left"/>
      <w:lvlText w:val="%1."/>
      <w:numFmt w:val="decimal"/>
      <w:start w:val="4"/>
    </w:lvl>
    <w:lvl w:ilvl="1">
      <w:lvlJc w:val="left"/>
      <w:lvlText w:val="%2."/>
      <w:numFmt w:val="lowerRoman"/>
    </w:lvl>
    <w:lvl w:ilvl="2">
      <w:lvlJc w:val="left"/>
      <w:lvlText w:val="%3."/>
      <w:numFmt w:val="lowerLetter"/>
      <w:start w:val="1"/>
    </w:lvl>
  </w:abstractNum>
  <w:abstractNum w:abstractNumId="180">
    <w:nsid w:val="C058DF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81">
    <w:nsid w:val="CBE5BE9"/>
    <w:multiLevelType w:val="hybridMultilevel"/>
    <w:lvl w:ilvl="0">
      <w:lvlJc w:val="left"/>
      <w:lvlText w:val="%1."/>
      <w:numFmt w:val="decimal"/>
      <w:start w:val="6"/>
    </w:lvl>
    <w:lvl w:ilvl="1">
      <w:lvlJc w:val="left"/>
      <w:lvlText w:val="%2."/>
      <w:numFmt w:val="lowerLetter"/>
      <w:start w:val="1"/>
    </w:lvl>
  </w:abstractNum>
  <w:abstractNum w:abstractNumId="182">
    <w:nsid w:val="3102BBE2"/>
    <w:multiLevelType w:val="hybridMultilevel"/>
    <w:lvl w:ilvl="0">
      <w:lvlJc w:val="left"/>
      <w:lvlText w:val="%1."/>
      <w:numFmt w:val="decimal"/>
      <w:start w:val="7"/>
    </w:lvl>
  </w:abstractNum>
  <w:abstractNum w:abstractNumId="183">
    <w:nsid w:val="26A02C5E"/>
    <w:multiLevelType w:val="hybridMultilevel"/>
    <w:lvl w:ilvl="0">
      <w:lvlJc w:val="left"/>
      <w:lvlText w:val="(%1)"/>
      <w:numFmt w:val="decimal"/>
      <w:start w:val="3"/>
    </w:lvl>
  </w:abstractNum>
  <w:abstractNum w:abstractNumId="184">
    <w:nsid w:val="541C8153"/>
    <w:multiLevelType w:val="hybridMultilevel"/>
    <w:lvl w:ilvl="0">
      <w:lvlJc w:val="left"/>
      <w:lvlText w:val="1"/>
      <w:numFmt w:val="bullet"/>
      <w:start w:val="1"/>
    </w:lvl>
  </w:abstractNum>
  <w:abstractNum w:abstractNumId="185">
    <w:nsid w:val="67906F60"/>
    <w:multiLevelType w:val="hybridMultilevel"/>
    <w:lvl w:ilvl="0">
      <w:lvlJc w:val="left"/>
      <w:lvlText w:val="(%1)"/>
      <w:numFmt w:val="decimal"/>
      <w:start w:val="661"/>
    </w:lvl>
  </w:abstractNum>
  <w:abstractNum w:abstractNumId="186">
    <w:nsid w:val="10DB9DAA"/>
    <w:multiLevelType w:val="hybridMultilevel"/>
    <w:lvl w:ilvl="0">
      <w:lvlJc w:val="left"/>
      <w:lvlText w:val="(%1)"/>
      <w:numFmt w:val="upperLetter"/>
      <w:start w:val="2"/>
    </w:lvl>
  </w:abstractNum>
  <w:abstractNum w:abstractNumId="187">
    <w:nsid w:val="697D2D2"/>
    <w:multiLevelType w:val="hybridMultilevel"/>
    <w:lvl w:ilvl="0">
      <w:lvlJc w:val="left"/>
      <w:lvlText w:val="(%1)"/>
      <w:numFmt w:val="decimal"/>
      <w:start w:val="5"/>
    </w:lvl>
  </w:abstractNum>
  <w:abstractNum w:abstractNumId="188">
    <w:nsid w:val="6D68AB2"/>
    <w:multiLevelType w:val="hybridMultilevel"/>
    <w:lvl w:ilvl="0">
      <w:lvlJc w:val="left"/>
      <w:lvlText w:val="2"/>
      <w:numFmt w:val="bullet"/>
      <w:start w:val="1"/>
    </w:lvl>
  </w:abstractNum>
  <w:abstractNum w:abstractNumId="189">
    <w:nsid w:val="3A966CD0"/>
    <w:multiLevelType w:val="hybridMultilevel"/>
    <w:lvl w:ilvl="0">
      <w:lvlJc w:val="left"/>
      <w:lvlText w:val="(%1)"/>
      <w:numFmt w:val="lowerRoman"/>
      <w:start w:val="2"/>
    </w:lvl>
  </w:abstractNum>
  <w:abstractNum w:abstractNumId="190">
    <w:nsid w:val="63F37E85"/>
    <w:multiLevelType w:val="hybridMultilevel"/>
    <w:lvl w:ilvl="0">
      <w:lvlJc w:val="left"/>
      <w:lvlText w:val="["/>
      <w:numFmt w:val="bullet"/>
      <w:start w:val="1"/>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decimal"/>
      <w:start w:val="2"/>
    </w:lvl>
  </w:abstractNum>
  <w:abstractNum w:abstractNumId="193">
    <w:nsid w:val="F3F09D8"/>
    <w:multiLevelType w:val="hybridMultilevel"/>
    <w:lvl w:ilvl="0">
      <w:lvlJc w:val="left"/>
      <w:lvlText w:val="%1."/>
      <w:numFmt w:val="decimal"/>
      <w:start w:val="4"/>
    </w:lvl>
  </w:abstractNum>
  <w:abstractNum w:abstractNumId="194">
    <w:nsid w:val="4B793735"/>
    <w:multiLevelType w:val="hybridMultilevel"/>
    <w:lvl w:ilvl="0">
      <w:lvlJc w:val="left"/>
      <w:lvlText w:val="(%1)"/>
      <w:numFmt w:val="lowerRoman"/>
      <w:start w:val="2"/>
    </w:lvl>
  </w:abstractNum>
  <w:abstractNum w:abstractNumId="195">
    <w:nsid w:val="4A10B4E8"/>
    <w:multiLevelType w:val="hybridMultilevel"/>
    <w:lvl w:ilvl="0">
      <w:lvlJc w:val="left"/>
      <w:lvlText w:val="["/>
      <w:numFmt w:val="bullet"/>
      <w:start w:val="1"/>
    </w:lvl>
  </w:abstractNum>
  <w:abstractNum w:abstractNumId="196">
    <w:nsid w:val="43D3BCD4"/>
    <w:multiLevelType w:val="hybridMultilevel"/>
    <w:lvl w:ilvl="0">
      <w:lvlJc w:val="left"/>
      <w:lvlText w:val="["/>
      <w:numFmt w:val="bullet"/>
      <w:start w:val="1"/>
    </w:lvl>
  </w:abstractNum>
  <w:abstractNum w:abstractNumId="197">
    <w:nsid w:val="4C2A7166"/>
    <w:multiLevelType w:val="hybridMultilevel"/>
    <w:lvl w:ilvl="0">
      <w:lvlJc w:val="left"/>
      <w:lvlText w:val="%1."/>
      <w:numFmt w:val="decimal"/>
      <w:start w:val="1"/>
    </w:lvl>
  </w:abstractNum>
  <w:abstractNum w:abstractNumId="198">
    <w:nsid w:val="2E534A82"/>
    <w:multiLevelType w:val="hybridMultilevel"/>
    <w:lvl w:ilvl="0">
      <w:lvlJc w:val="left"/>
      <w:lvlText w:val="%1."/>
      <w:numFmt w:val="decimal"/>
      <w:start w:val="2"/>
    </w:lvl>
  </w:abstractNum>
  <w:abstractNum w:abstractNumId="199">
    <w:nsid w:val="26F2D364"/>
    <w:multiLevelType w:val="hybridMultilevel"/>
    <w:lvl w:ilvl="0">
      <w:lvlJc w:val="left"/>
      <w:lvlText w:val="%1."/>
      <w:numFmt w:val="decimal"/>
      <w:start w:val="4"/>
    </w:lvl>
  </w:abstractNum>
  <w:abstractNum w:abstractNumId="200">
    <w:nsid w:val="71C1AF98"/>
    <w:multiLevelType w:val="hybridMultilevel"/>
    <w:lvl w:ilvl="0">
      <w:lvlJc w:val="left"/>
      <w:lvlText w:val="%1."/>
      <w:numFmt w:val="decimal"/>
      <w:start w:val="5"/>
    </w:lvl>
  </w:abstractNum>
  <w:abstractNum w:abstractNumId="201">
    <w:nsid w:val="3D00B9D9"/>
    <w:multiLevelType w:val="hybridMultilevel"/>
    <w:lvl w:ilvl="0">
      <w:lvlJc w:val="left"/>
      <w:lvlText w:val="(%1)"/>
      <w:numFmt w:val="lowerRoman"/>
      <w:start w:val="2"/>
    </w:lvl>
  </w:abstractNum>
  <w:abstractNum w:abstractNumId="202">
    <w:nsid w:val="15BCABA8"/>
    <w:multiLevelType w:val="hybridMultilevel"/>
    <w:lvl w:ilvl="0">
      <w:lvlJc w:val="left"/>
      <w:lvlText w:val="["/>
      <w:numFmt w:val="bullet"/>
      <w:start w:val="1"/>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2019-12-06T07:57:43Z</dcterms:created>
  <dcterms:modified xsi:type="dcterms:W3CDTF">2019-12-06T07:57:43Z</dcterms:modified>
</cp:coreProperties>
</file>