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5" w:lineRule="exact"/>
        <w:rPr>
          <w:sz w:val="24"/>
          <w:szCs w:val="24"/>
          <w:color w:val="auto"/>
        </w:rPr>
      </w:pPr>
    </w:p>
    <w:p>
      <w:pPr>
        <w:ind w:left="520" w:right="400" w:hanging="512"/>
        <w:spacing w:after="0" w:line="262"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tabs>
          <w:tab w:leader="none" w:pos="678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jc w:val="right"/>
              <w:ind w:right="2336"/>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08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0" w:type="dxa"/>
            <w:vAlign w:val="bottom"/>
          </w:tcPr>
          <w:p>
            <w:pPr>
              <w:jc w:val="center"/>
              <w:ind w:right="1616"/>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08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0" w:type="dxa"/>
            <w:vAlign w:val="bottom"/>
          </w:tcPr>
          <w:p>
            <w:pPr>
              <w:jc w:val="center"/>
              <w:ind w:right="1616"/>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88"/>
        </w:trPr>
        <w:tc>
          <w:tcPr>
            <w:tcW w:w="7420" w:type="dxa"/>
            <w:vAlign w:val="bottom"/>
            <w:gridSpan w:val="8"/>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30930 Russell Ranch Road, Suite 300</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8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Westlake Village, California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jc w:val="right"/>
              <w:ind w:right="2536"/>
              <w:spacing w:after="0"/>
              <w:rPr>
                <w:sz w:val="20"/>
                <w:szCs w:val="20"/>
                <w:color w:val="auto"/>
              </w:rPr>
            </w:pPr>
            <w:r>
              <w:rPr>
                <w:rFonts w:ascii="Times New Roman" w:cs="Times New Roman" w:eastAsia="Times New Roman" w:hAnsi="Times New Roman"/>
                <w:sz w:val="18"/>
                <w:szCs w:val="18"/>
                <w:b w:val="1"/>
                <w:bCs w:val="1"/>
                <w:color w:val="auto"/>
              </w:rPr>
              <w:t>91362</w:t>
            </w:r>
          </w:p>
        </w:tc>
        <w:tc>
          <w:tcPr>
            <w:tcW w:w="0" w:type="dxa"/>
            <w:vAlign w:val="bottom"/>
          </w:tcPr>
          <w:p>
            <w:pPr>
              <w:spacing w:after="0"/>
              <w:rPr>
                <w:sz w:val="1"/>
                <w:szCs w:val="1"/>
                <w:color w:val="auto"/>
              </w:rPr>
            </w:pPr>
          </w:p>
        </w:tc>
      </w:tr>
      <w:tr>
        <w:trPr>
          <w:trHeight w:val="190"/>
        </w:trPr>
        <w:tc>
          <w:tcPr>
            <w:tcW w:w="4080" w:type="dxa"/>
            <w:vAlign w:val="bottom"/>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0" w:type="dxa"/>
            <w:vAlign w:val="bottom"/>
          </w:tcPr>
          <w:p>
            <w:pPr>
              <w:jc w:val="center"/>
              <w:ind w:right="161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2"/>
                <w:szCs w:val="22"/>
                <w:color w:val="auto"/>
              </w:rPr>
            </w:pPr>
          </w:p>
        </w:tc>
        <w:tc>
          <w:tcPr>
            <w:tcW w:w="2200" w:type="dxa"/>
            <w:vAlign w:val="bottom"/>
            <w:gridSpan w:val="5"/>
          </w:tcPr>
          <w:p>
            <w:pPr>
              <w:jc w:val="center"/>
              <w:ind w:left="999"/>
              <w:spacing w:after="0"/>
              <w:rPr>
                <w:sz w:val="20"/>
                <w:szCs w:val="20"/>
                <w:color w:val="auto"/>
              </w:rPr>
            </w:pPr>
            <w:r>
              <w:rPr>
                <w:rFonts w:ascii="Times New Roman" w:cs="Times New Roman" w:eastAsia="Times New Roman" w:hAnsi="Times New Roman"/>
                <w:sz w:val="18"/>
                <w:szCs w:val="18"/>
                <w:b w:val="1"/>
                <w:bCs w:val="1"/>
                <w:color w:val="auto"/>
                <w:w w:val="99"/>
              </w:rPr>
              <w:t>(818) 661-5000</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34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3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1420" w:type="dxa"/>
            <w:vAlign w:val="bottom"/>
            <w:gridSpan w:val="9"/>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4080" w:type="dxa"/>
            <w:vAlign w:val="bottom"/>
            <w:vMerge w:val="restart"/>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00" w:type="dxa"/>
            <w:vAlign w:val="bottom"/>
            <w:vMerge w:val="restart"/>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80" w:type="dxa"/>
            <w:vAlign w:val="bottom"/>
            <w:tcBorders>
              <w:top w:val="single" w:sz="8" w:color="auto"/>
            </w:tcBorders>
          </w:tcPr>
          <w:p>
            <w:pPr>
              <w:jc w:val="center"/>
              <w:ind w:left="196"/>
              <w:spacing w:after="0"/>
              <w:rPr>
                <w:sz w:val="20"/>
                <w:szCs w:val="20"/>
                <w:color w:val="auto"/>
              </w:rPr>
            </w:pPr>
            <w:r>
              <w:rPr>
                <w:rFonts w:ascii="Times New Roman" w:cs="Times New Roman" w:eastAsia="Times New Roman" w:hAnsi="Times New Roman"/>
                <w:sz w:val="16"/>
                <w:szCs w:val="16"/>
                <w:color w:val="auto"/>
                <w:w w:val="99"/>
              </w:rPr>
              <w:t>Common Stock</w:t>
            </w: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color w:val="auto"/>
              </w:rPr>
              <w:t>MNKD</w:t>
            </w:r>
          </w:p>
        </w:tc>
        <w:tc>
          <w:tcPr>
            <w:tcW w:w="10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17"/>
                <w:szCs w:val="17"/>
                <w:color w:val="auto"/>
              </w:rPr>
            </w:pPr>
          </w:p>
        </w:tc>
        <w:tc>
          <w:tcPr>
            <w:tcW w:w="4000" w:type="dxa"/>
            <w:vAlign w:val="bottom"/>
            <w:tcBorders>
              <w:top w:val="single" w:sz="8" w:color="auto"/>
            </w:tcBorders>
          </w:tcPr>
          <w:p>
            <w:pPr>
              <w:jc w:val="center"/>
              <w:ind w:right="103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5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6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234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15, 2019, there were 187,782,578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305435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10640" w:type="dxa"/>
            <w:vAlign w:val="bottom"/>
            <w:gridSpan w:val="21"/>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640" w:type="dxa"/>
            <w:vAlign w:val="bottom"/>
            <w:gridSpan w:val="21"/>
            <w:vMerge w:val="continue"/>
          </w:tcPr>
          <w:p>
            <w:pPr>
              <w:spacing w:after="0"/>
              <w:rPr>
                <w:sz w:val="14"/>
                <w:szCs w:val="14"/>
                <w:color w:val="auto"/>
              </w:rPr>
            </w:pPr>
          </w:p>
        </w:tc>
        <w:tc>
          <w:tcPr>
            <w:tcW w:w="6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March 31, 2019 and December 31, 2018</w:t>
              </w:r>
            </w:hyperlink>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Three months ended March 31, 2019 and 2018</w:t>
              </w:r>
            </w:hyperlink>
          </w:p>
        </w:tc>
        <w:tc>
          <w:tcPr>
            <w:tcW w:w="3500" w:type="dxa"/>
            <w:vAlign w:val="bottom"/>
            <w:gridSpan w:val="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8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 Three months ended March 31, 2019 and 2018</w:t>
              </w:r>
            </w:hyperlink>
          </w:p>
        </w:tc>
        <w:tc>
          <w:tcPr>
            <w:tcW w:w="278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Stockholders Deficit: Three months ended March 31, 2019</w:t>
              </w:r>
            </w:hyperlink>
          </w:p>
        </w:tc>
        <w:tc>
          <w:tcPr>
            <w:tcW w:w="3520" w:type="dxa"/>
            <w:vAlign w:val="bottom"/>
            <w:gridSpan w:val="4"/>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Three months ended March 31, 2019 and 2018</w:t>
              </w:r>
            </w:hyperlink>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1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3460" w:type="dxa"/>
            <w:vAlign w:val="bottom"/>
            <w:gridSpan w:val="2"/>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20" w:type="dxa"/>
            <w:vAlign w:val="bottom"/>
            <w:gridSpan w:val="5"/>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 Controls and Procedures</w:t>
              </w:r>
            </w:hyperlink>
          </w:p>
        </w:tc>
        <w:tc>
          <w:tcPr>
            <w:tcW w:w="8280" w:type="dxa"/>
            <w:vAlign w:val="bottom"/>
            <w:gridSpan w:val="13"/>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0640" w:type="dxa"/>
            <w:vAlign w:val="bottom"/>
            <w:gridSpan w:val="21"/>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PART II: OTHER INFORMATION</w:t>
              </w:r>
            </w:hyperlink>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60" w:type="dxa"/>
            <w:vAlign w:val="bottom"/>
            <w:gridSpan w:val="12"/>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1A. Risk Factors</w:t>
              </w:r>
            </w:hyperlink>
          </w:p>
        </w:tc>
        <w:tc>
          <w:tcPr>
            <w:tcW w:w="9040" w:type="dxa"/>
            <w:vAlign w:val="bottom"/>
            <w:gridSpan w:val="17"/>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Item 2. Unregistered Sales of Equity Securities and Use of Proceeds</w:t>
              </w:r>
            </w:hyperlink>
          </w:p>
        </w:tc>
        <w:tc>
          <w:tcPr>
            <w:tcW w:w="5720" w:type="dxa"/>
            <w:vAlign w:val="bottom"/>
            <w:gridSpan w:val="8"/>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Item 3. Defaults Upon Senior Securities</w:t>
              </w:r>
            </w:hyperlink>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Item 4. Mine Safety Disclosures</w:t>
              </w:r>
            </w:hyperlink>
          </w:p>
        </w:tc>
        <w:tc>
          <w:tcPr>
            <w:tcW w:w="560" w:type="dxa"/>
            <w:vAlign w:val="bottom"/>
            <w:tcBorders>
              <w:top w:val="single" w:sz="8" w:color="0000EE"/>
            </w:tcBorders>
            <w:gridSpan w:val="3"/>
          </w:tcPr>
          <w:p>
            <w:pPr>
              <w:spacing w:after="0"/>
              <w:rPr>
                <w:sz w:val="17"/>
                <w:szCs w:val="17"/>
                <w:color w:val="auto"/>
              </w:rPr>
            </w:pPr>
          </w:p>
        </w:tc>
        <w:tc>
          <w:tcPr>
            <w:tcW w:w="7740" w:type="dxa"/>
            <w:vAlign w:val="bottom"/>
            <w:gridSpan w:val="11"/>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Item 5. Other Information</w:t>
              </w:r>
            </w:hyperlink>
          </w:p>
        </w:tc>
        <w:tc>
          <w:tcPr>
            <w:tcW w:w="8760" w:type="dxa"/>
            <w:vAlign w:val="bottom"/>
            <w:gridSpan w:val="16"/>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640" w:type="dxa"/>
            <w:vAlign w:val="bottom"/>
            <w:gridSpan w:val="21"/>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Item 6. Exhibits</w:t>
              </w:r>
            </w:hyperlink>
          </w:p>
        </w:tc>
        <w:tc>
          <w:tcPr>
            <w:tcW w:w="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SIGNATURES</w:t>
              </w:r>
            </w:hyperlink>
          </w:p>
        </w:tc>
        <w:tc>
          <w:tcPr>
            <w:tcW w:w="9480" w:type="dxa"/>
            <w:vAlign w:val="bottom"/>
            <w:gridSpan w:val="18"/>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669"/>
        </w:trPr>
        <w:tc>
          <w:tcPr>
            <w:tcW w:w="100" w:type="dxa"/>
            <w:vAlign w:val="bottom"/>
            <w:gridSpan w:val="2"/>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840" w:type="dxa"/>
            <w:vAlign w:val="bottom"/>
            <w:gridSpan w:val="13"/>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ind w:left="416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7860" w:type="dxa"/>
            <w:vAlign w:val="bottom"/>
            <w:tcBorders>
              <w:top w:val="single" w:sz="8" w:color="CFF0FC"/>
            </w:tcBorders>
            <w:shd w:val="clear" w:color="auto" w:fill="CFF0FC"/>
          </w:tcPr>
          <w:p>
            <w:pPr>
              <w:ind w:left="35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81,854</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and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9"/>
                <w:szCs w:val="19"/>
                <w:color w:val="auto"/>
              </w:rPr>
            </w:pPr>
          </w:p>
        </w:tc>
      </w:tr>
      <w:tr>
        <w:trPr>
          <w:trHeight w:val="263"/>
        </w:trPr>
        <w:tc>
          <w:tcPr>
            <w:tcW w:w="7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100,961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107,705</w:t>
            </w:r>
          </w:p>
        </w:tc>
        <w:tc>
          <w:tcPr>
            <w:tcW w:w="100" w:type="dxa"/>
            <w:vAlign w:val="bottom"/>
            <w:tcBorders>
              <w:bottom w:val="single" w:sz="8" w:color="CFF0FC"/>
            </w:tcBorders>
          </w:tcPr>
          <w:p>
            <w:pPr>
              <w:spacing w:after="0"/>
              <w:rPr>
                <w:sz w:val="22"/>
                <w:szCs w:val="22"/>
                <w:color w:val="auto"/>
              </w:rPr>
            </w:pPr>
          </w:p>
        </w:tc>
      </w:tr>
      <w:tr>
        <w:trPr>
          <w:trHeight w:val="210"/>
        </w:trPr>
        <w:tc>
          <w:tcPr>
            <w:tcW w:w="7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6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36,885</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Recognized loss on purchase commitments - current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75,241</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 payable to related party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 note payable to related party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91,642</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 rights liability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288,965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- 280,000,000 shares authorized,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187,778,236 and 187,029,967 shares issued and outstanding at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2019 and December 31, 2018, respectively</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0"/>
                <w:szCs w:val="20"/>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2,765,020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2,763,067</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(2,954,883)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(2,940,000)</w:t>
            </w:r>
          </w:p>
        </w:tc>
      </w:tr>
      <w:tr>
        <w:trPr>
          <w:trHeight w:val="223"/>
        </w:trPr>
        <w:tc>
          <w:tcPr>
            <w:tcW w:w="7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(175,082)</w:t>
            </w:r>
          </w:p>
        </w:tc>
        <w:tc>
          <w:tcPr>
            <w:tcW w:w="10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80" w:type="dxa"/>
            <w:vAlign w:val="bottom"/>
          </w:tcPr>
          <w:p>
            <w:pPr>
              <w:spacing w:after="0"/>
              <w:rPr>
                <w:sz w:val="19"/>
                <w:szCs w:val="19"/>
                <w:color w:val="auto"/>
              </w:rPr>
            </w:pPr>
          </w:p>
        </w:tc>
        <w:tc>
          <w:tcPr>
            <w:tcW w:w="106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on notes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on note payable to related party</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240" w:type="dxa"/>
            <w:vAlign w:val="bottom"/>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(14,883)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(30,385)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Cumulative translation gain</w:t>
            </w: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(14,883)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(30,382)</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780" w:type="dxa"/>
            <w:vAlign w:val="bottom"/>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119,053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2,638,992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(2,854,898)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(214,733)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to adopt ASU 2016-09</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r>
      <w:tr>
        <w:trPr>
          <w:trHeight w:val="211"/>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shares from the</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1"/>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shares under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FF0FC"/>
          </w:tcPr>
          <w:p>
            <w:pPr>
              <w:spacing w:after="0"/>
              <w:rPr>
                <w:sz w:val="19"/>
                <w:szCs w:val="19"/>
                <w:color w:val="auto"/>
              </w:rPr>
            </w:pPr>
          </w:p>
        </w:tc>
      </w:tr>
      <w:tr>
        <w:trPr>
          <w:trHeight w:val="211"/>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shares pursuant to</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conversion of Facility Financing</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Pr>
          <w:p>
            <w:pPr>
              <w:spacing w:after="0"/>
              <w:rPr>
                <w:sz w:val="20"/>
                <w:szCs w:val="20"/>
                <w:color w:val="auto"/>
              </w:rPr>
            </w:pPr>
          </w:p>
        </w:tc>
      </w:tr>
      <w:tr>
        <w:trPr>
          <w:trHeight w:val="211"/>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shares pursuant to</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conversion of Related Party Notes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shd w:val="clear" w:color="auto" w:fill="CFF0FC"/>
          </w:tcPr>
          <w:p>
            <w:pPr>
              <w:spacing w:after="0"/>
              <w:rPr>
                <w:sz w:val="20"/>
                <w:szCs w:val="20"/>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translation gain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shelf fees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at-the-market placement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r>
      <w:tr>
        <w:trPr>
          <w:trHeight w:val="211"/>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 associated with at-the-</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 placement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(30,385)</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(30,385)</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126,013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2,658,957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(2,883,410)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(223,208)</w:t>
            </w:r>
          </w:p>
        </w:tc>
        <w:tc>
          <w:tcPr>
            <w:tcW w:w="100" w:type="dxa"/>
            <w:vAlign w:val="bottom"/>
            <w:tcBorders>
              <w:top w:val="single" w:sz="8" w:color="CFF0FC"/>
            </w:tcBorders>
            <w:shd w:val="clear" w:color="auto" w:fill="CFF0FC"/>
          </w:tcPr>
          <w:p>
            <w:pPr>
              <w:spacing w:after="0"/>
              <w:rPr>
                <w:sz w:val="19"/>
                <w:szCs w:val="19"/>
                <w:color w:val="auto"/>
              </w:rPr>
            </w:pPr>
          </w:p>
        </w:tc>
      </w:tr>
      <w:tr>
        <w:trPr>
          <w:trHeight w:val="317"/>
        </w:trPr>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780" w:type="dxa"/>
            <w:vAlign w:val="bottom"/>
          </w:tcPr>
          <w:p>
            <w:pPr>
              <w:spacing w:after="0"/>
              <w:rPr>
                <w:sz w:val="13"/>
                <w:szCs w:val="1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3"/>
                <w:szCs w:val="13"/>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2,763,067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(2,940,000)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11"/>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common shares from the</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1"/>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shares under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9"/>
                <w:szCs w:val="19"/>
                <w:color w:val="auto"/>
              </w:rPr>
            </w:pPr>
          </w:p>
        </w:tc>
      </w:tr>
      <w:tr>
        <w:trPr>
          <w:trHeight w:val="225"/>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 award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r>
      <w:tr>
        <w:trPr>
          <w:trHeight w:val="216"/>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shares pursuant to</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conversion of Senior Convertible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(14,883)</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(14,883)</w:t>
            </w: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187,778</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2,765,020</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(2,954,883)</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(188,004)</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(14,883)</w:t>
            </w:r>
          </w:p>
        </w:tc>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(30,385)</w:t>
            </w:r>
          </w:p>
        </w:tc>
        <w:tc>
          <w:tcPr>
            <w:tcW w:w="0" w:type="dxa"/>
            <w:vAlign w:val="bottom"/>
          </w:tcPr>
          <w:p>
            <w:pPr>
              <w:spacing w:after="0"/>
              <w:rPr>
                <w:sz w:val="1"/>
                <w:szCs w:val="1"/>
                <w:color w:val="auto"/>
              </w:rPr>
            </w:pPr>
          </w:p>
        </w:tc>
      </w:tr>
      <w:tr>
        <w:trPr>
          <w:trHeight w:val="205"/>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activities: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Restricted stock unit award</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(Gain) Loss on foreign currency translation</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(1,935)</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Interest on note payable to related party</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Write-off of inventory</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net</w:t>
            </w:r>
          </w:p>
        </w:tc>
        <w:tc>
          <w:tcPr>
            <w:tcW w:w="10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Inventory</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(1,836)</w:t>
            </w:r>
          </w:p>
        </w:tc>
        <w:tc>
          <w:tcPr>
            <w:tcW w:w="0" w:type="dxa"/>
            <w:vAlign w:val="bottom"/>
          </w:tcPr>
          <w:p>
            <w:pPr>
              <w:spacing w:after="0"/>
              <w:rPr>
                <w:sz w:val="1"/>
                <w:szCs w:val="1"/>
                <w:color w:val="auto"/>
              </w:rPr>
            </w:pPr>
          </w:p>
        </w:tc>
      </w:tr>
      <w:tr>
        <w:trPr>
          <w:trHeight w:val="213"/>
        </w:trPr>
        <w:tc>
          <w:tcPr>
            <w:tcW w:w="78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Right-of-use and other assets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Recognized loss on purchase commitments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(1,963)</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3"/>
        </w:trPr>
        <w:tc>
          <w:tcPr>
            <w:tcW w:w="78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Operating lease payments</w:t>
            </w:r>
          </w:p>
        </w:tc>
        <w:tc>
          <w:tcPr>
            <w:tcW w:w="10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(395)</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0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(24,764)</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(25,033)</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 of employment taxes related to vested restricted stock units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issuance of common stock pursuant to at-the-market issuance</w:t>
            </w:r>
          </w:p>
        </w:tc>
        <w:tc>
          <w:tcPr>
            <w:tcW w:w="10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cost of at-the-market transactions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 AND RESTRICTED</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0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(36,627)</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(21,122)</w:t>
            </w:r>
          </w:p>
        </w:tc>
        <w:tc>
          <w:tcPr>
            <w:tcW w:w="0" w:type="dxa"/>
            <w:vAlign w:val="bottom"/>
          </w:tcPr>
          <w:p>
            <w:pPr>
              <w:spacing w:after="0"/>
              <w:rPr>
                <w:sz w:val="1"/>
                <w:szCs w:val="1"/>
                <w:color w:val="auto"/>
              </w:rPr>
            </w:pPr>
          </w:p>
        </w:tc>
      </w:tr>
      <w:tr>
        <w:trPr>
          <w:trHeight w:val="197"/>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BEGINNING</w:t>
            </w: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71,684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END OF</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35,057</w:t>
            </w:r>
          </w:p>
        </w:tc>
        <w:tc>
          <w:tcPr>
            <w:tcW w:w="300" w:type="dxa"/>
            <w:vAlign w:val="bottom"/>
          </w:tcPr>
          <w:p>
            <w:pPr>
              <w:spacing w:after="0"/>
              <w:rPr>
                <w:sz w:val="22"/>
                <w:szCs w:val="22"/>
                <w:color w:val="auto"/>
              </w:rPr>
            </w:pPr>
          </w:p>
        </w:tc>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FLOWS DISCLOSURES:</w:t>
            </w: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paid in cash, net of amounts capitalized</w:t>
            </w: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note obligations through common stock issuance</w:t>
            </w: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 of note payable to related party through common stock issuance</w:t>
            </w:r>
          </w:p>
        </w:tc>
        <w:tc>
          <w:tcPr>
            <w:tcW w:w="1000" w:type="dxa"/>
            <w:vAlign w:val="bottom"/>
            <w:tcBorders>
              <w:top w:val="single" w:sz="8" w:color="auto"/>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Accrued but unpaid debt issuance costs related to note payable to related party</w:t>
            </w:r>
          </w:p>
        </w:tc>
        <w:tc>
          <w:tcPr>
            <w:tcW w:w="10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FF0FC"/>
            </w:tcBorders>
            <w:vMerge w:val="continue"/>
          </w:tcPr>
          <w:p>
            <w:pPr>
              <w:spacing w:after="0"/>
              <w:rPr>
                <w:sz w:val="20"/>
                <w:szCs w:val="20"/>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 of interest on senior convertible notes through common stock issuance</w:t>
            </w:r>
          </w:p>
        </w:tc>
        <w:tc>
          <w:tcPr>
            <w:tcW w:w="100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Property and equipment in progress in accounts payable</w:t>
            </w: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FF0FC"/>
            </w:tcBorders>
            <w:vMerge w:val="continue"/>
          </w:tcPr>
          <w:p>
            <w:pPr>
              <w:spacing w:after="0"/>
              <w:rPr>
                <w:sz w:val="20"/>
                <w:szCs w:val="20"/>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8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issuance to settle employee stock purchase plan liability</w:t>
            </w:r>
          </w:p>
        </w:tc>
        <w:tc>
          <w:tcPr>
            <w:tcW w:w="100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Addition of right-of-use assets</w:t>
            </w: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ind w:left="260" w:right="2740"/>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2018 filed with the SEC on February 26, 2019 (the “Annual Report”).</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may not be indicative of the results that may be expected for the full year.</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and gross-to-net adjustments, assessing long-lived assets for impairment, inventory costing and recoverability, recognized loss on purchase commitments, milestone rights liability, stock-based compensation and the determination of the provision for income taxes and corresponding deferred tax assets and liabilities and the valuation allowance recorded against net deferred tax assets.</w:t>
      </w:r>
    </w:p>
    <w:p>
      <w:pPr>
        <w:spacing w:after="0" w:line="18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The Company is a biopharmaceutical company focused on the development and commercialization of inhaled therapeutic products for diseases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diabetes and pulmonary arterial hypertension. The Company’s only approved product, Afrezza (insulin human) Inhalation Powder, is a rapid-acting 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w:t>
      </w:r>
    </w:p>
    <w:p>
      <w:pPr>
        <w:spacing w:after="0" w:line="18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accompanying condensed consolidated financial statements have been prepared assuming that the Company will continue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going concern which contemplates the realization of assets and satisfaction of liabilities in the normal course of business. The Company is not currently profitable and has rarely generated positive net cash flow from operations. As of March 31, 2019, the Company had an accumulated deficit of $3.0 billion.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March 31, 2019, the Company’s capital resources consisted of cash and cash equivalents of $34.5 million and short-term investments of $24.8 million. The Company expects to continue to incur significant expenditures to support commercial manufacturing, sales and marketing of Afrezza, collaboration work and the development of product candidates in the Company’s pipeline. The facility agreement (as amended, the “Facility Agreement” or “Facility Financing Obligation”) with Deerfield Private Design Fund II, L.P. and Deerfield Private Design International II, L.P. (collectively, “Deerfield”) that resulted in the issuance of 9.75% Senior Convertible Notes due 2019 (“2019 notes”) and 8.75% Senior Convertible Notes due 2019 (“Tranche B notes”) (see Note 7</w:t>
      </w:r>
    </w:p>
    <w:p>
      <w:pPr>
        <w:spacing w:after="0" w:line="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Borrowings) requires the Company to maintain at least $25.0 million in cash and cash equivalents as of the end of each fiscal quarter after December 31, 2018.</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2019, the Company had $101.7 million principal amount of outstanding borrowings. The Company has entered into certain transactions related to these borrowings that are more fully described in Note 6 — Related-Party Arrangements, and Note 7 – Borrowings.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t>The Company’s currently available cash and financing sources will not be sufficient to continue to meet its current and anticipated cash requirements within one year from the date these financial statements are issued. The Company plans to raise additional capital, whether through a sale of equity or debt securities, strategic business collaboration agreements with other companies,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Successful completion of these plans is dependent on factors outside of the Company’s control. As such, management cannot be certain that such plans will be effectively implemented within one year after the date that the financial statements are issued. These factors raise substantial doubt about the Company’s ability to continue as a going concern.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21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adopted Accounting Standards Codification (“ASC”) Topic 606 -</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guidance”), on January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2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up until December 31, 2018, specialty pharmacies and (ii) collaboration arrangements.</w:t>
      </w:r>
    </w:p>
    <w:p>
      <w:pPr>
        <w:spacing w:after="0" w:line="17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Afrezza to a limited number of wholesale distributors and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pharmacies in the U.S. (collectively, its “Customers”). These Customers subsequently resell the Company’s products to retail pharmacies and certain medical centers or hospitals. Specialty pharmacies sell directly to patients. In addition to distribution agreements with Customers, the Company enters into arrangements with health care providers and payors that provide for government mandated and/or privately negotiated rebates, chargebacks, and discounts with respect to the purchase of the Company’s products.</w:t>
      </w:r>
    </w:p>
    <w:p>
      <w:pPr>
        <w:spacing w:after="0" w:line="18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product sales when the Customer obtains control of the Company's product, which occurs at a point in time (based on the terms of the relevant contracts which are at delivery for wholesale distributors and at shipment for specialty pharmacies). Product revenues are recorded net of applicable reserves for variable consideration, including discounts and allowances.</w:t>
      </w:r>
    </w:p>
    <w:p>
      <w:pPr>
        <w:spacing w:after="0" w:line="2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Voucher (free goods) Program – </w:t>
      </w:r>
      <w:r>
        <w:rPr>
          <w:rFonts w:ascii="Times New Roman" w:cs="Times New Roman" w:eastAsia="Times New Roman" w:hAnsi="Times New Roman"/>
          <w:sz w:val="18"/>
          <w:szCs w:val="18"/>
          <w:color w:val="auto"/>
        </w:rPr>
        <w:t>Under the voucher (free goods) program, potential new patients are offered vouchers (free goods) which they can provide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retailers for free product. The retailers provide the product to the patient for free and pay the wholesaler for the product, who pays the Company. The retailers submit the vouchers or claims to a program administrator which pays the retailer for the product. The administrator then invoices the Company for the amount of vouchers or claims paid plus a fee. Accordingly, on a net basis, it is not probable that the Company will receive the consideration to which it is entitled for these products. Therefore, the Company excludes such amounts from both gross and net revenue. The cost of product associated with the voucher (free goods) program is included in the cost of goods sold.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amounts earned, or to be claimed on the related sales, and result in a reduction of accounts receivable or establishment of a current liability.</w:t>
      </w:r>
    </w:p>
    <w:p>
      <w:pPr>
        <w:spacing w:after="0" w:line="2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2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which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analyses also contemplates application of the constraint in accordance with the guidance, under which it determined a material reversal of revenue would not occur in a future period for the estimates detailed below as of March 31, 2019 and, therefore, the transaction price was not reduced further during the three months ended March 31, 2019.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22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Customers with discounts which include incentive fees, such as prompt pay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 reduction to accounts receivable, net.</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rate is estimated to be in the low single-digits.</w:t>
      </w: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which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2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state Medicaid programs and Medicare.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which is included in accrued expenses and other current liabilities.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0" w:name="page11"/>
    <w:bookmarkEnd w:id="10"/>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Payor Rebates </w:t>
      </w:r>
      <w:r>
        <w:rPr>
          <w:rFonts w:ascii="Times New Roman" w:cs="Times New Roman" w:eastAsia="Times New Roman" w:hAnsi="Times New Roman"/>
          <w:sz w:val="18"/>
          <w:szCs w:val="18"/>
          <w:color w:val="auto"/>
        </w:rPr>
        <w:t>— The Company contracts with certain private payor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and records such estimates in the same period the related revenue is recognized, resulting in a reduction of product revenue and the establishment of a current liability which is included in accrued expenses and other current liabilities.</w:t>
      </w:r>
    </w:p>
    <w:p>
      <w:pPr>
        <w:spacing w:after="0" w:line="20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which is included in accrued expenses and other current liabilities.</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 – Revenue – Collaborations and Services</w:t>
      </w:r>
      <w:r>
        <w:rPr>
          <w:rFonts w:ascii="Times New Roman" w:cs="Times New Roman" w:eastAsia="Times New Roman" w:hAnsi="Times New Roman"/>
          <w:sz w:val="18"/>
          <w:szCs w:val="18"/>
          <w:color w:val="auto"/>
        </w:rPr>
        <w:t>— The Company enters into licensing or research agreements under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certain rights to its product candidates to third parties or conducting research services to third parties. The terms of these arrangements may include, but are not limited to payment to the Company of one or more of the following: nonrefundable,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we expect will not be recognized within the next 12 months are classified as long-term deferred revenue. For further information see Note 8 — collaborations and Licensing Agreements.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collaboration agreements typically entitle the Company to additional payments upon the achievement of development, regulatory approval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collaborative agreements, for accounting purposes, represent contracts with customers and therefore are not subject to accounting literature on collaborative agreements. The Company grants to collaboration partners licenses to its intellectual property, supplies bulk fumaryl diketopiperazine (“FDKP”)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1" w:name="page12"/>
    <w:bookmarkEnd w:id="11"/>
    <w:p>
      <w:pPr>
        <w:ind w:right="20"/>
        <w:spacing w:after="0" w:line="255"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2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 milestones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2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A significant component of cost of goods sold is current period manufacturing costs in excess of costs capitalized into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capacity costs). These costs, in addition to the impact of the annual revaluation of inventory to standard costs, and write-offs of inventory are recorded as expenses in the period in which they are incurred, rather than as a portion of inventory costs. The cost of goods sold also excludes the write-off of the cost of insulin held in inventory at the end of 2015.</w:t>
      </w:r>
    </w:p>
    <w:p>
      <w:pPr>
        <w:spacing w:after="0" w:line="207"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The Company records restricted cash when cash and cash equivalents are restricted as to withdrawal or usage. The Company presents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 term assets.</w:t>
      </w:r>
    </w:p>
    <w:p>
      <w:pPr>
        <w:spacing w:after="0" w:line="21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—The Company’s short-term investments consist of U.S. Treasury securities stated at amortized cost which the Company intends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 until maturity. Those with maturities less than 12 months are included in short-term investments on our condensed consolidated balance sheets. Any investments with maturities in excess of twelve months will be included in long-term investments in our condensed consolidated balance sheets. The Company did not record any material gains or losses on these securities during the three months ended March 31, 2019. The estimated fair value of these investments approximated their carrying value as of March 31, 2019.</w:t>
      </w:r>
    </w:p>
    <w:p>
      <w:pPr>
        <w:spacing w:after="0" w:line="18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which potentially subject the Company to concentration of credit risk consist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Cash and cash equivalents are held in high credit quality institutions. Cash equivalents consist of interest-bearing money market accounts and U.S. Treasury securities, which are regularly monitored by management.</w:t>
      </w:r>
    </w:p>
    <w:p>
      <w:pPr>
        <w:spacing w:after="0" w:line="1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Doubtful Accounts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2" w:name="page13"/>
    <w:bookmarkEnd w:id="12"/>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inventory also excludes the cost of insulin which was previously written off, in association with the insulin purchase agreement.</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analyzes its inventory levels to identify inventory that may expire or has a cost basis in excess of its estimated realizable value. The Company performs an assessment of projected sales and evaluated the lower of cost or net realizable value and the potential excess inventory on hand at the end of each reporting period.</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assesses whether losses on long term purchase commitments should be accrued. Losses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is $94.4 million as of March 31, 2019. No new contracts were identified in 2019 or 2018 that required a new loss on purchase commitment accrual.</w:t>
      </w:r>
    </w:p>
    <w:p>
      <w:pPr>
        <w:spacing w:after="0" w:line="22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225"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2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stock options, restricted stock units, performance-based awards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3" w:name="page14"/>
    <w:bookmarkEnd w:id="13"/>
    <w:p>
      <w:pPr>
        <w:jc w:val="both"/>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Clinical Trial Expenses </w:t>
      </w:r>
      <w:r>
        <w:rPr>
          <w:rFonts w:ascii="Times New Roman" w:cs="Times New Roman" w:eastAsia="Times New Roman" w:hAnsi="Times New Roman"/>
          <w:sz w:val="18"/>
          <w:szCs w:val="18"/>
          <w:color w:val="auto"/>
        </w:rPr>
        <w:t>— Clinical trial expenses, which are primarily reflected in research and development expenses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result from obligations under contracts with vendors, consultants and clinical site agreements in connection with conducting clinical trials.</w:t>
      </w:r>
    </w:p>
    <w:p>
      <w:pPr>
        <w:spacing w:after="0" w:line="17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of Common Stock </w:t>
      </w:r>
      <w:r>
        <w:rPr>
          <w:rFonts w:ascii="Times New Roman" w:cs="Times New Roman" w:eastAsia="Times New Roman" w:hAnsi="Times New Roman"/>
          <w:sz w:val="18"/>
          <w:szCs w:val="18"/>
          <w:color w:val="auto"/>
        </w:rPr>
        <w:t>— Basic net income or loss per share excludes dilution for potentially dilutive securities and is computed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net loss per share for the three months ended March 31, 2019 and 2018 excludes the common stock equivalents of the following potentially dilutive securities because their inclusion, as the Company is in a net loss position, would be anti-dilutive:</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30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492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1,314,218</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1,073,036</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notes into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3,629,627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14,154,500</w:t>
            </w:r>
          </w:p>
        </w:tc>
        <w:tc>
          <w:tcPr>
            <w:tcW w:w="80" w:type="dxa"/>
            <w:vAlign w:val="bottom"/>
          </w:tcPr>
          <w:p>
            <w:pPr>
              <w:spacing w:after="0"/>
              <w:rPr>
                <w:sz w:val="19"/>
                <w:szCs w:val="19"/>
                <w:color w:val="auto"/>
              </w:rPr>
            </w:pPr>
          </w:p>
        </w:tc>
      </w:tr>
      <w:tr>
        <w:trPr>
          <w:trHeight w:val="21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convertible related party notes</w:t>
            </w: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into common stock</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21,909,541</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18,743,500</w:t>
            </w:r>
          </w:p>
        </w:tc>
        <w:tc>
          <w:tcPr>
            <w:tcW w:w="80" w:type="dxa"/>
            <w:vAlign w:val="bottom"/>
            <w:shd w:val="clear" w:color="auto" w:fill="CFF0FC"/>
          </w:tcPr>
          <w:p>
            <w:pPr>
              <w:spacing w:after="0"/>
              <w:rPr>
                <w:sz w:val="20"/>
                <w:szCs w:val="20"/>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31,856</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141,568</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111,020</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10,846,738</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7,212,239</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warrants associated with public offering</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26,666,667</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associated with direct placement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2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78,540,210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41,326,151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—The Company adopted Accounting Standards Codification (“ASC”) Topic 842 – Leases (“the new lease guidance”) on January 1, 2019.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842, the Company is required to recognize the assets and liabilities that arise from most operating leases on the balance sheet and disclose qualitative and quantitative information about its leasing arrangements.</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Upon adoption of the new lease guidance, the Company recognized a lease liability to make lease payments and a right-of-use-asset representing its right to use the underlying asset for the applicable lease term and requires using the optional transition method. In doing so, the Company elected the package of three practical expedients permitted under the transition guidance within the new standard, which among other things, allowed us to carry forward the historical lease classification. The Company also elected the practical expedient that permits not separating lease and non-lease components for all classes of underlying assets. For short-tern leases, the Company has elected not to apply the recognition requirements of this guidance. The Company did not elect to use the hindsight practical expedient.</w:t>
      </w:r>
    </w:p>
    <w:p>
      <w:pPr>
        <w:spacing w:after="0" w:line="188"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Upon the adoption as of January 1, 2019, the impact on total assets and total liabilities were an increase of $5.2 million. The standard did not materially impact net earnings and had no net impact on cash flow. See Note 11 — Commitments and Contingencies for further information related to leases.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From time to time, new accounting pronouncements are issued by the Financial Accounting Standards Board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returns</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1" w:right="219" w:bottom="1440" w:gutter="0" w:footer="0" w:header="0"/>
        </w:sectPr>
      </w:pPr>
    </w:p>
    <w:bookmarkStart w:id="14" w:name="page15"/>
    <w:bookmarkEnd w:id="14"/>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As of March 31, 2019 and December 31, 2018, the allowance for doubtful accounts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March 31, 2019 and December 31, 2018, the Company had three wholesale distributors representing approximately 99% and 89% of gross accounts receivable, respectively.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6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6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Work-in-process and finished goods as of March 31, 2019 and December 31, 2018 include conversion costs but not insulin cost because the insulin used in its production was previously written off in 2015. The Company analyzed its inventory levels to identify inventory that may expire or has a cost basis in excess of its estimated realizable value.</w:t>
      </w:r>
    </w:p>
    <w:p>
      <w:pPr>
        <w:spacing w:after="0" w:line="2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Company performed an assessment of projected sales and evaluated the lower of cost or net realizable value and the potential excess inventory on hand at March 31, 2019. Inventory that was forecasted to become obsolete due to expiration is recorded in costs of goods sold in the accompanying condensed consolidated statements of operations. For the three months ended March 31, 2019 and March 31, 2018 the Company recorded zero and a $0.6 million charge, respectively, to write-off inventory that may expire prior to sale which was recorded as cost of goods sold.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(100,865)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(100,497)</w:t>
            </w: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for the three months ended March 31, 2019 and 2018 was $0.4 million.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9,099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8,110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milestone rights liability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services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18,064</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15,022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Related-Party Arrangements</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71,506</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71,506</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premium</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Unaccreted debt issuance costs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65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October 2007, the Company entered into a loan agreement (the “Mann Group Loan Arrangement”) with The Mann Group LLC (“The Mann Group”), which has been amended from time to time. On March 11, 2018, the Company amended and restated the Mann Group Loan Arrangement to, among other things, (i) reflect the current outstanding principal balance of the existing loan of $71.5 million, after giving effect to the partial cancelation of principal in exchange for shares of the Company’s common stock described below; (ii) extend the maturity date of the loan to July 1, 2021; (iii) for periods beginning after April 1, 2018 require interest to compound quarterly; and (iv) permit the principal and any accrued and unpaid interest under the Mann Group Loan Arrangement to be converted, at the option of The Mann Group, at any time on or prior to close of business on the business day immediately preceding the stated maturity date, into shares of the Company’s common stock. The conversion rate of 250 shares per $1,000 principal amount of the Note, which is equal to $4.00 per share subject to adjustment under certain circumstances as described in the Mann Group Loan Arrangement.</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analyzed this amendment and concluded that the transaction represented an extinguishment of the related party note and recorded a $0.8 million loss on extinguishment of debt. As a result of the extinguishment the Company recorded a debt premium of $0.8 million and debt issuance costs of $0.1 million during 2018.</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11, 2018, the Company and The Mann Group entered into a common stock purchase agreement pursuant to which the Company agreed to issue to The Mann Group and The Mann Group agreed to purchase 3,000,000 shares of the Company’s common stock at a price per share of $2.72 which represented the closing price of the Company’s common stock on March 9, 2018. As payment for the purchase price for the shares, The Mann Group agreed to cancel $8.2 million in principal amount under the Mann Group Loan Arrangement, with the principal payment to be reflected in the amended and restated Mann Group Loan Arrangement. The purchased shares were issued in a private placement.</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Interest, at a fixed rate of 5.84%, is due and payable quarterly in arrears on the first day of each calendar quarter for the preceding quarter, or at such other time as the Company and The Mann Group mutually agree. Under the agreement, accrued and unpaid interest may be paid-in-kind. The Mann Group can require the Company to prepay up to $200.0 million in advances that have been outstanding for at least 12 months, less approximately $105.0 million aggregate principal amount that has been cancelled in connection with three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on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5" w:right="299" w:bottom="1440" w:gutter="0" w:footer="0" w:header="0"/>
        </w:sectPr>
      </w:pPr>
    </w:p>
    <w:bookmarkStart w:id="16" w:name="page17"/>
    <w:bookmarkEnd w:id="16"/>
    <w:p>
      <w:pPr>
        <w:ind w:right="220"/>
        <w:spacing w:after="0" w:line="266" w:lineRule="auto"/>
        <w:rPr>
          <w:sz w:val="20"/>
          <w:szCs w:val="20"/>
          <w:color w:val="auto"/>
        </w:rPr>
      </w:pPr>
      <w:r>
        <w:rPr>
          <w:rFonts w:ascii="Times New Roman" w:cs="Times New Roman" w:eastAsia="Times New Roman" w:hAnsi="Times New Roman"/>
          <w:sz w:val="18"/>
          <w:szCs w:val="18"/>
          <w:color w:val="auto"/>
        </w:rPr>
        <w:t>As of March 31, 2019 and December 31, 2018, the Company had accrued unpaid interest related to the above note of $8.0 million and $6.8 million, respectively. As of March 31, 2019 there were no additional amounts available for future borrowings. Interest expense (excluding the amortization of debt premium and debt issuance costs) for the three months ended March 31, 2019 and 2018 was as follows (in thousands):</w:t>
      </w:r>
    </w:p>
    <w:p>
      <w:pPr>
        <w:spacing w:after="0" w:line="25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7620</wp:posOffset>
            </wp:positionV>
            <wp:extent cx="1929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62" w:lineRule="exact"/>
        <w:rPr>
          <w:sz w:val="20"/>
          <w:szCs w:val="20"/>
          <w:color w:val="auto"/>
        </w:rPr>
      </w:pPr>
    </w:p>
    <w:p>
      <w:pPr>
        <w:ind w:left="7160"/>
        <w:spacing w:after="0"/>
        <w:tabs>
          <w:tab w:leader="none" w:pos="87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7620</wp:posOffset>
            </wp:positionV>
            <wp:extent cx="506857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9" w:lineRule="exact"/>
        <w:rPr>
          <w:sz w:val="20"/>
          <w:szCs w:val="20"/>
          <w:color w:val="auto"/>
        </w:rPr>
      </w:pPr>
    </w:p>
    <w:p>
      <w:pPr>
        <w:ind w:left="1720"/>
        <w:spacing w:after="0"/>
        <w:tabs>
          <w:tab w:leader="none" w:pos="6580" w:val="left"/>
          <w:tab w:leader="none" w:pos="7580" w:val="left"/>
          <w:tab w:leader="none" w:pos="8200" w:val="left"/>
          <w:tab w:leader="none" w:pos="9200" w:val="left"/>
        </w:tabs>
        <w:rPr>
          <w:sz w:val="20"/>
          <w:szCs w:val="20"/>
          <w:color w:val="auto"/>
        </w:rPr>
      </w:pPr>
      <w:r>
        <w:rPr>
          <w:rFonts w:ascii="Times New Roman" w:cs="Times New Roman" w:eastAsia="Times New Roman" w:hAnsi="Times New Roman"/>
          <w:sz w:val="18"/>
          <w:szCs w:val="18"/>
          <w:color w:val="auto"/>
        </w:rPr>
        <w:t>Interest expense on note payable to related party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1,075</w:t>
        <w:tab/>
        <w:t>$</w:t>
      </w:r>
      <w:r>
        <w:rPr>
          <w:sz w:val="20"/>
          <w:szCs w:val="20"/>
          <w:color w:val="auto"/>
        </w:rPr>
        <w:tab/>
      </w:r>
      <w:r>
        <w:rPr>
          <w:rFonts w:ascii="Times New Roman" w:cs="Times New Roman" w:eastAsia="Times New Roman" w:hAnsi="Times New Roman"/>
          <w:sz w:val="17"/>
          <w:szCs w:val="17"/>
          <w:color w:val="auto"/>
        </w:rPr>
        <w:t>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29210</wp:posOffset>
            </wp:positionV>
            <wp:extent cx="1929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Amortization of the premium and accretion of debt issuance costs related to the related party notes for the three months ended March 31, 2019 and 2018 are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premium</w:t>
            </w:r>
          </w:p>
        </w:tc>
        <w:tc>
          <w:tcPr>
            <w:tcW w:w="104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Accretion expense - debt issuance cost</w:t>
            </w: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11 —Commitments and Contingencies).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consist of the following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4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Facility Financing Obligation (2019 Notes and</w:t>
            </w:r>
          </w:p>
        </w:tc>
        <w:tc>
          <w:tcPr>
            <w:tcW w:w="14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Tranche B Notes)</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Unamortized debt issuance costs and debt discount</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Senior Convertible Notes (2021 Notes)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Unamortized debt issuance costs and debt premium</w:t>
            </w: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4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Note payable to related party - net carrying</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72,036</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 - net carrying amount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102,486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102,486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Mann Group Loan Arrangement described in Note 6, the Company has $18.7 million principal amount of Senior Convertible Notes due 2021 bearing interest at 5.75% per annum and maturing on October 23, 2021, and $11.5 million principal amount outstanding under the Facility Agreement, which is comprised of the following:</w:t>
      </w:r>
    </w:p>
    <w:p>
      <w:pPr>
        <w:spacing w:after="0" w:line="68" w:lineRule="exact"/>
        <w:rPr>
          <w:sz w:val="20"/>
          <w:szCs w:val="20"/>
          <w:color w:val="auto"/>
        </w:rPr>
      </w:pPr>
    </w:p>
    <w:p>
      <w:pPr>
        <w:ind w:left="104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principal amount of $9.0 million of 2019 notes bearing interest at 9.75% per annum. Interest is payable in cash quarterly in arrears in the last business day of each calendar quarter. The principal amount will become due and payable in July 2019; and</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principal amount of $2.5 million of Tranche B notes bearing interest at 8.75% per annum. Interest is payable in cash quarterly in arrears on the last business day of each calendar quarter. The principal amount will become due and payable in May 2019.</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These borrowings are further described below:</w:t>
      </w:r>
    </w:p>
    <w:p>
      <w:pPr>
        <w:spacing w:after="0" w:line="2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Facility Financing Obligation (2019 Notes and Tranche B Notes) </w:t>
      </w:r>
      <w:r>
        <w:rPr>
          <w:rFonts w:ascii="Times New Roman" w:cs="Times New Roman" w:eastAsia="Times New Roman" w:hAnsi="Times New Roman"/>
          <w:sz w:val="18"/>
          <w:szCs w:val="18"/>
          <w:color w:val="auto"/>
        </w:rPr>
        <w:t>– On July 1, 2013, the Company entered into the Facility Agreement, which permitted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 $160.0 million through the issuance of the 2019 notes, $100.0 million of which were converted into shares of the Company’s common stock during 2013 and 2014. The Company and Deerfield amended the Facility Agreement in 2014 to permit the Company to borrow an additional $20 million through the issuance of Tranche B notes. The remaining $80.0 million in principal amount that was not converted during 2013 and 2014 ($60.0 million in 2019 notes and $20.0 million in Tranche B notes) is subject to a repayment schedule that began in July 2016 and will end in July 2019. The table below summarizes all principal payments since July 2016, indicating whether the amount was settled in cash or in exchange for the issuance of shares of the Company’s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2019 notes</w:t>
            </w:r>
          </w:p>
        </w:tc>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Tranche B notes</w:t>
            </w:r>
          </w:p>
        </w:tc>
      </w:tr>
      <w:tr>
        <w:trPr>
          <w:trHeight w:val="223"/>
        </w:trPr>
        <w:tc>
          <w:tcPr>
            <w:tcW w:w="2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2016</w:t>
            </w:r>
          </w:p>
        </w:tc>
        <w:tc>
          <w:tcPr>
            <w:tcW w:w="220" w:type="dxa"/>
            <w:vAlign w:val="bottom"/>
            <w:tcBorders>
              <w:top w:val="single" w:sz="8" w:color="CFF0FC"/>
            </w:tcBorders>
            <w:shd w:val="clear" w:color="auto" w:fill="CFF0FC"/>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$5.0 million (cash)</w:t>
            </w:r>
          </w:p>
        </w:tc>
        <w:tc>
          <w:tcPr>
            <w:tcW w:w="220" w:type="dxa"/>
            <w:vAlign w:val="bottom"/>
            <w:tcBorders>
              <w:top w:val="single" w:sz="8" w:color="CFF0FC"/>
            </w:tcBorders>
            <w:shd w:val="clear" w:color="auto" w:fill="CFF0FC"/>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19"/>
                <w:szCs w:val="19"/>
                <w:color w:val="auto"/>
              </w:rPr>
            </w:pPr>
          </w:p>
        </w:tc>
      </w:tr>
      <w:tr>
        <w:trPr>
          <w:trHeight w:val="211"/>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$4.0 million (cash)</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2017</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 million (equity exchange)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$1.0 million (equity exchange)</w:t>
            </w: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2017</w:t>
            </w:r>
          </w:p>
        </w:tc>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$5.0 million (equity exchange)</w:t>
            </w:r>
          </w:p>
        </w:tc>
        <w:tc>
          <w:tcPr>
            <w:tcW w:w="4260" w:type="dxa"/>
            <w:vAlign w:val="bottom"/>
            <w:shd w:val="clear" w:color="auto" w:fill="CFF0FC"/>
          </w:tcPr>
          <w:p>
            <w:pPr>
              <w:spacing w:after="0"/>
              <w:rPr>
                <w:sz w:val="19"/>
                <w:szCs w:val="19"/>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2017</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$5.6 million (equity exchange)</w:t>
            </w:r>
          </w:p>
        </w:tc>
        <w:tc>
          <w:tcPr>
            <w:tcW w:w="4260" w:type="dxa"/>
            <w:vAlign w:val="bottom"/>
          </w:tcPr>
          <w:p>
            <w:pPr>
              <w:spacing w:after="0"/>
              <w:rPr>
                <w:sz w:val="19"/>
                <w:szCs w:val="19"/>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$3.2 million (equity exchange)</w:t>
            </w:r>
          </w:p>
        </w:tc>
        <w:tc>
          <w:tcPr>
            <w:tcW w:w="4260" w:type="dxa"/>
            <w:vAlign w:val="bottom"/>
            <w:shd w:val="clear" w:color="auto" w:fill="CFF0FC"/>
          </w:tcPr>
          <w:p>
            <w:pPr>
              <w:spacing w:after="0"/>
              <w:rPr>
                <w:sz w:val="19"/>
                <w:szCs w:val="19"/>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2018</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million (equity exchange)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 million (equity exchange)</w:t>
            </w: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2018</w:t>
            </w:r>
          </w:p>
        </w:tc>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$3.0 million (equity exchange)</w:t>
            </w: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$3.0 million (equity exchange)</w:t>
            </w:r>
          </w:p>
        </w:tc>
      </w:tr>
      <w:tr>
        <w:trPr>
          <w:trHeight w:val="211"/>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 million (cash)</w:t>
            </w:r>
          </w:p>
        </w:tc>
        <w:tc>
          <w:tcPr>
            <w:tcW w:w="4260" w:type="dxa"/>
            <w:vAlign w:val="bottom"/>
          </w:tcPr>
          <w:p>
            <w:pPr>
              <w:spacing w:after="0"/>
              <w:rPr>
                <w:sz w:val="18"/>
                <w:szCs w:val="18"/>
                <w:color w:val="auto"/>
              </w:rPr>
            </w:pP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2018</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million (equity exchange)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$2.0 million (equity exchange)</w:t>
            </w: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$8.0 million (equity exchange)</w:t>
            </w: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$2.5 million (equity exchange)</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million (cash)</w:t>
            </w:r>
          </w:p>
        </w:tc>
        <w:tc>
          <w:tcPr>
            <w:tcW w:w="4260" w:type="dxa"/>
            <w:vAlign w:val="bottom"/>
          </w:tcPr>
          <w:p>
            <w:pPr>
              <w:spacing w:after="0"/>
              <w:rPr>
                <w:sz w:val="20"/>
                <w:szCs w:val="20"/>
                <w:color w:val="auto"/>
              </w:rPr>
            </w:pPr>
          </w:p>
        </w:tc>
      </w:tr>
    </w:tbl>
    <w:p>
      <w:pPr>
        <w:spacing w:after="0" w:line="16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Facility Agreement includes customary representations, warranties and covenants, including a restriction on the incurrence of additional indebtedness, and a financial covenant which requires the Company’s cash and cash equivalents on the last day of each fiscal quarter to not be less than $25.0 million. As discussed in Note 1 – Description of Business and Summary of Significant Accounting Policies, the Company will need to raise additional capital to support its current operating plans. In the event of non-compliance, Deerfield may declare all or any portion of the Facility Financing Obligation to be immediately due and payable.</w:t>
      </w:r>
    </w:p>
    <w:p>
      <w:pPr>
        <w:spacing w:after="0" w:line="182" w:lineRule="exact"/>
        <w:rPr>
          <w:sz w:val="20"/>
          <w:szCs w:val="20"/>
          <w:color w:val="auto"/>
        </w:rPr>
      </w:pPr>
    </w:p>
    <w:p>
      <w:pPr>
        <w:ind w:right="340"/>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Milestone Rights </w:t>
      </w:r>
      <w:r>
        <w:rPr>
          <w:rFonts w:ascii="Times New Roman" w:cs="Times New Roman" w:eastAsia="Times New Roman" w:hAnsi="Times New Roman"/>
          <w:sz w:val="18"/>
          <w:szCs w:val="18"/>
          <w:color w:val="auto"/>
        </w:rPr>
        <w:t>— On July 1, 2013, in conjunction with the execution of the Facility Agreement, the Company issued Milestone Rights to the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March 31, 2019 and December 31, 2018, the remaining milestone rights liability balance was $8.9 million. The Company currently estimates that it will reach the next milestone in the second or third quarter of 2019, at which point the Company will be required to make a $5.0 million payment. The carrying value of the Milestone Rights liability related to this $5.0 million payment is $1.6 million, which represents the fair value related to this payment that was determined in 2013 (the most recent measurement date). Accordingly, $1.6 million in value related to the next milestone payment was recorded in accrued expenses and other current liabilities as of March 31, 2019 and December 31, 2018, resulting in $7.2 million being recorded in milestone rights liability, which is non-current, in the accompanying condensed consolidated balance sheets as of March 31, 2019 and December 31, 2018,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debt issuance cost and debt discount during the three months ended March 31, 2019 and 2018, are as follows (in thousands):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1040" w:type="dxa"/>
            <w:vAlign w:val="bottom"/>
          </w:tcPr>
          <w:p>
            <w:pPr>
              <w:jc w:val="right"/>
              <w:ind w:right="1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0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expense - debt issuance cost</w:t>
            </w:r>
          </w:p>
        </w:tc>
        <w:tc>
          <w:tcPr>
            <w:tcW w:w="104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Accretion expense - debt discount</w:t>
            </w: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04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7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Security Agreement </w:t>
      </w:r>
      <w:r>
        <w:rPr>
          <w:rFonts w:ascii="Times New Roman" w:cs="Times New Roman" w:eastAsia="Times New Roman" w:hAnsi="Times New Roman"/>
          <w:sz w:val="18"/>
          <w:szCs w:val="18"/>
          <w:color w:val="auto"/>
        </w:rPr>
        <w:t>— In connection with the Facility Agreement and Milestone Agreement, the Company and its subsidiary, MannKind LLC,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Guaranty and Security 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Facility Financing Obligation in full, if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right="4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Embedded Derivatives </w:t>
      </w:r>
      <w:r>
        <w:rPr>
          <w:rFonts w:ascii="Times New Roman" w:cs="Times New Roman" w:eastAsia="Times New Roman" w:hAnsi="Times New Roman"/>
          <w:sz w:val="18"/>
          <w:szCs w:val="18"/>
          <w:color w:val="auto"/>
        </w:rPr>
        <w:t>— The Company identified and evaluated a number of embedded features in the notes issued under the Facility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value as of March 31, 2019 and December 31, 2018.</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Due 2021 </w:t>
      </w:r>
      <w:r>
        <w:rPr>
          <w:rFonts w:ascii="Times New Roman" w:cs="Times New Roman" w:eastAsia="Times New Roman" w:hAnsi="Times New Roman"/>
          <w:sz w:val="18"/>
          <w:szCs w:val="18"/>
          <w:color w:val="auto"/>
        </w:rPr>
        <w:t>— On October 23, 2017, the Company entered into exchange agreements with the holders of the Company’s 5.75%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Convertible Notes due 2018 (the “2018 notes”), pursuant to which the Company agreed to exchange all of the outstanding 2018 notes in the aggregate principal amount of $27.7 million for (i) new 5.75% $23.7 million aggregate principal amount of Senior Convertible notes due 2021 (the “2021” notes or “senior convertible note”) and (ii) an aggregate of 973,236 shares of its common stock. In addition, the conversion rate was adjusted from $34 per share to $5.15 per share. The senior convertible notes were issued at the closing of the exchange on October 23, 2017. The Company analyzed this exchange and concluded that the exchange represents an extinguishment of the 2018 notes and recorded a $0.8 million loss on extinguishment of debt during the last quarter of fiscal year 2017. In addition, unamortized debt issuance costs of $0.3 million and unamortized debt premium of $0.2 million were also written-off during the last quarter of fiscal year 2017.</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May 25, 2018, the Company entered into a privately-negotiated exchange agreement (the “Exchange Agreement”) with certain holders of its senior convertible notes, pursuant to which the Company agreed to issue 2,250,000 shares of its common stock in exchange for the cancellation of $5.0 million principal amount of the senior convertible notes and unpaid accrued interest thereon. The exchange price for these exchange shares was $2.2567 per share. The exchange was completed on May 31, 2018. As a result, the Company recognized approximately $0.8 million as extinguishment gain which was calculated based on the difference between the reacquisition price and the net carrying amount of the payment on the debt.</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2019 and December 31, 2018, there was $18.7 million principal amount of senior convertible notes outstanding. The senior convertible notes are the Company’s general, unsecured, senior obligations, except that they are subordinated in right of payment to the Facility Financing Obligation. The senior convertible notes rank equally in right of payment with the Company’s other unsecured senior debt. The senior convertible notes bear interest at the rate of 5.75% per year on the principal amount, payable semiannually in arrears in cash or, at the option of the Company if certain conditions are met, in shares of the Company’s common stock (the “Interest Shares”), on February 15 and August 15. The aggregate number of Interest Shares that the Company may issue may not exceed 13,648,300, unless the Company receives stockholder approval to issue Interest Shares in excess of such a number in accordance with the listing standards of the Nasdaq Global Market. Accrued interest related to these notes is recorded in accrued expenses and other current liabilities on the accompanying condensed consolidated balance sheets.</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senior convertible notes are convertible, at the option of the holder, at any time on or prior to the close of business on the business day immediately preceding the stated maturity date, into shares of the Company’s common stock at an initial conversion rate of 194.1748 shares per $1,000 principal amount of senior convertible notes, which is equal to the initial conversion price of approximately $5.15 per share. The conversion rate is subject to adjustment under certain circumstances described in an indenture governing the senior convertible notes.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the Company undergoes certain fundamental changes, except in certain circumstances, each holder of senior convertible notes will have the option to require the Company to repurchase all or any portion of that holder’s senior convertible notes. The fundamental change repurchase price will be 100% of the principal amount of the senior convertible notes to be repurchased plus accrued and unpaid interest, if any.</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may elect at its option to cause all or any portion of the senior convertible notes to be mandatorily converted in whole or part at any time prior to the close of business on the business day immediately preceding the maturity date, if the last reported sale price of its common stock exceeds 120% of the conversion price then in effect for at least 10 trading days in any 20 consecutive trading day period, ending within five business days prior to the date of the mandatory conversion notice. The redemption price is equal the sum of 100% of the principal amount of the senior convertible notes to be redeemed, plus accrued and unpaid interest. Under the terms of the indenture, the conversion option can be net-share settled and the maximum number of shares that could be required to be delivered under the indenture is fixed and less than the number of authorized and unissued shares less the maximum number of shares that could be required to be delivered during the term of the senior convertible notes under existing commitments. Applying the Company’s sequencing policy, the Company performed an analysis at the time of the offering of the senior convertible notes and each reporting date since and has concluded that the number of available authorized shares at the time of the offering and each reporting date since was sufficient to deliver the number of shares that could be required to be delivered during the term of the senior convertible notes under existing commitments.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9" w:name="page20"/>
    <w:bookmarkEnd w:id="19"/>
    <w:p>
      <w:pPr>
        <w:ind w:right="380"/>
        <w:spacing w:after="0" w:line="282" w:lineRule="auto"/>
        <w:rPr>
          <w:sz w:val="20"/>
          <w:szCs w:val="20"/>
          <w:color w:val="auto"/>
        </w:rPr>
      </w:pPr>
      <w:r>
        <w:rPr>
          <w:rFonts w:ascii="Times New Roman" w:cs="Times New Roman" w:eastAsia="Times New Roman" w:hAnsi="Times New Roman"/>
          <w:sz w:val="18"/>
          <w:szCs w:val="18"/>
          <w:color w:val="auto"/>
        </w:rPr>
        <w:t>The senior convertible notes provide that upon acceleration of certain indebtedness, including the Facility Financing Obligation, the holders may elect to accelerate the Company’s repayment obligations under the notes if such acceleration is not cured, waived, rescinded or annulled.</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exchange of the senior convertible notes during the last quarter of 2017, the Company recorded approximately $0.8 million in debt premium, which is recorded with the senior convertible notes, in the accompanying condensed consolidated balance sheets. The premium is being accreted to interest expense using the effective interest method over the term of the senior convertible notes.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Amortization of the premium and accretion of debt issuance costs related to the 2021 notes for the three months ended March 31, 2019 and 2018 are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80" w:type="dxa"/>
            <w:vAlign w:val="bottom"/>
          </w:tcPr>
          <w:p>
            <w:pPr>
              <w:spacing w:after="0"/>
              <w:rPr>
                <w:sz w:val="13"/>
                <w:szCs w:val="13"/>
                <w:color w:val="auto"/>
              </w:rPr>
            </w:pPr>
          </w:p>
        </w:tc>
        <w:tc>
          <w:tcPr>
            <w:tcW w:w="1040" w:type="dxa"/>
            <w:vAlign w:val="bottom"/>
          </w:tcPr>
          <w:p>
            <w:pPr>
              <w:jc w:val="right"/>
              <w:ind w:right="12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16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premium</w:t>
            </w:r>
          </w:p>
        </w:tc>
        <w:tc>
          <w:tcPr>
            <w:tcW w:w="1040" w:type="dxa"/>
            <w:vAlign w:val="bottom"/>
            <w:tcBorders>
              <w:top w:val="single" w:sz="8" w:color="auto"/>
              <w:bottom w:val="single" w:sz="8" w:color="auto"/>
            </w:tcBorders>
            <w:shd w:val="clear" w:color="auto" w:fill="CFF0FC"/>
          </w:tcPr>
          <w:p>
            <w:pPr>
              <w:jc w:val="right"/>
              <w:ind w:right="88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Accretion expense - debt issuance cost</w:t>
            </w: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6 – Related Party Arrangements for information regarding the Note payable to related party.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Collaborations and Licensing Arrangements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for the three months ended March 31, 2019 and 2018 are as follows (in thousands):</w:t>
      </w:r>
    </w:p>
    <w:p>
      <w:pPr>
        <w:spacing w:after="0" w:line="327"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48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88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UT Research Agreement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Receptor Collaboration and License Agreement</w:t>
            </w: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63</w:t>
            </w:r>
          </w:p>
        </w:tc>
        <w:tc>
          <w:tcPr>
            <w:tcW w:w="6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63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8"/>
          <w:szCs w:val="18"/>
          <w:i w:val="1"/>
          <w:iCs w:val="1"/>
          <w:color w:val="auto"/>
        </w:rPr>
        <w:t>United Therapeutics License Agreement (“UT License Agreement”)</w:t>
      </w:r>
      <w:r>
        <w:rPr>
          <w:rFonts w:ascii="Times New Roman" w:cs="Times New Roman" w:eastAsia="Times New Roman" w:hAnsi="Times New Roman"/>
          <w:sz w:val="18"/>
          <w:szCs w:val="18"/>
          <w:color w:val="auto"/>
        </w:rPr>
        <w:t>– In September 2018, the Company and United Therapeutics Corporation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or “UT”) entered into an exclusive global license and collaboration agreement for the rights to the Company’s dry powder formulation of treprostinil and associated inhalation delivery devices. Under the UT License Agreement, UT will be responsible for global development, regulatory and commercial activities with respect to Treprostinil (internally designated “TreT”). The Company will manufacture clinical supplies and initial commercial supplies of TreT.</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UT License Agreement, the Company received an upfront payment of $45.0 million in October 2018 and a $12.5 million milestone payment on March 29, 2019. The Company may receive additional milestone payments of up to $37.5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in accordance with the new revenue recognition requirements that become effective for the Company on January 1, 2018, recognized revenue on a ratable basis from October 2018 through December 2021 – the estimated date when its performance obligations for development activities under UT License Agreement will be substantially completed. During the three months ended March 31, 2019, the Company recognized $7.6 million as revenue - collaborations and services. The $43.5 million balance of the upfront payment was deferred as follows: $30.5 million as deferred revenue – current and $13.0 million as deferred revenue – long term. Deferred revenue is classified as part of current or long-term liability in the accompanying condensed consolidated balance sheets based on the Company’s estimate of the portion of the performance obligation regarding that revenue will be completed within the next 12 months, and includes payments received as well as payments receivable.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the UT License Agreement in accordance with the revenue recognition requirements pursuant to ASC 606:</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0" w:name="page21"/>
    <w:bookmarkEnd w:id="20"/>
    <w:p>
      <w:pPr>
        <w:ind w:right="40"/>
        <w:spacing w:after="0" w:line="256" w:lineRule="auto"/>
        <w:rPr>
          <w:sz w:val="20"/>
          <w:szCs w:val="20"/>
          <w:color w:val="auto"/>
        </w:rPr>
      </w:pPr>
      <w:r>
        <w:rPr>
          <w:rFonts w:ascii="Times New Roman" w:cs="Times New Roman" w:eastAsia="Times New Roman" w:hAnsi="Times New Roman"/>
          <w:sz w:val="18"/>
          <w:szCs w:val="18"/>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covered to include products with other active ingredients is not a material right, and thus, not a performance obligation at the onset of the agreement. The consideration for the option will be accounted for if and when it is exercised.</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expects to complete the activities specified in the development plan and to achieve the remaining milestone events for total consideration for approximately $97.5 million, which includes an upfront payment, four milestone payments and various pass-through costs. Future commercial supply remains at UT’s option, is valued at a stand-alone selling price and is therefore not accounted for the current arrangement. The Company believes that this method best reflects the measure of progress toward complete satisfaction of the performance obligation.</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United Therapeutics Research Agreement (“UT Research Agreement”) </w:t>
      </w:r>
      <w:r>
        <w:rPr>
          <w:rFonts w:ascii="Times New Roman" w:cs="Times New Roman" w:eastAsia="Times New Roman" w:hAnsi="Times New Roman"/>
          <w:sz w:val="18"/>
          <w:szCs w:val="18"/>
          <w:color w:val="auto"/>
        </w:rPr>
        <w:t>– In September 2018, the Company and UT also entered into a research agreement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conduct of research and consulting services in connection with multiple potential products, 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The Company received an upfront payment of $10.0 million in 2018, which it will recognize as revenue as the performance obligations under the UT Research Agreement are satisfied. During the three months ended March 31, 2019, the Company recognized $4.7 million as revenue - collaborations and services and deferred $1.6 million as deferred revenue, the majority of which is in current deferred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the UT Research Agreement in accordance with the new revenue recognition requirements that became effective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on January 1, 2018:</w:t>
      </w: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if and when it is exercised.</w:t>
      </w:r>
    </w:p>
    <w:p>
      <w:pPr>
        <w:spacing w:after="0" w:line="2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is recognized using an output method (based on project milestones achieved and surveys of performance completed to date). The Company believes that this method best reflects the measure of progress toward complete satisfaction of the performance obligation. The revenue for the engineering consulting services is recognized using a ratable method until the obligation is satisfied and the Company believes that this method best reflects the measure of progress toward complete satisfaction of the performance obligation.</w:t>
      </w:r>
    </w:p>
    <w:p>
      <w:pPr>
        <w:spacing w:after="0" w:line="19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Receptor Collaboration and License Agreement </w:t>
      </w:r>
      <w:r>
        <w:rPr>
          <w:rFonts w:ascii="Times New Roman" w:cs="Times New Roman" w:eastAsia="Times New Roman" w:hAnsi="Times New Roman"/>
          <w:sz w:val="18"/>
          <w:szCs w:val="18"/>
          <w:color w:val="auto"/>
        </w:rPr>
        <w:t>— In 2016 the Company entered into a Collaboration and License Agreement (the “CLA”) with Receptor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Sciences, Inc. (“Receptor”) pursuant to which Receptor obtained the option to acquire an exclusive license to develop, manufacture and commercialize products that use the Company’s technology to deliver certain compounds via oral inhalation.</w:t>
      </w:r>
    </w:p>
    <w:p>
      <w:pPr>
        <w:spacing w:after="0" w:line="21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December 30, 2016 Receptor exercised its option and paid the Company a $1.0 million nonrefundable option exercise and license fee. Under the Receptor CLA, the Company may also receive nonrefundable milestone payments upon the completion of certain technology transfer activities and the achievement of specified sales targets as well as royalties upon Receptor’s and its sublicensees’ sale of products.</w:t>
      </w:r>
    </w:p>
    <w:p>
      <w:pPr>
        <w:spacing w:after="0" w:line="19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$1.0 million license fee received in 2016 was recorded in deferred revenue from collaborations as of December 31, 2016 and is being recognized in net revenue — collaborations over four years, the estimated period over which the Company was required to satisfy the remaining performance obligations. The remaining performance obligations are to provide certain technology transfer activities. Deferred revenue related to this contract was $0.4 million at March 31, 2019 of which $0.3 million was recorded in current liabilities.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1" w:name="page22"/>
    <w:bookmarkEnd w:id="21"/>
    <w:p>
      <w:pPr>
        <w:ind w:right="40"/>
        <w:spacing w:after="0" w:line="256" w:lineRule="auto"/>
        <w:rPr>
          <w:sz w:val="20"/>
          <w:szCs w:val="20"/>
          <w:color w:val="auto"/>
        </w:rPr>
      </w:pPr>
      <w:r>
        <w:rPr>
          <w:rFonts w:ascii="Times New Roman" w:cs="Times New Roman" w:eastAsia="Times New Roman" w:hAnsi="Times New Roman"/>
          <w:sz w:val="18"/>
          <w:szCs w:val="18"/>
          <w:color w:val="auto"/>
        </w:rPr>
        <w:t>The additional payments referred to above represent variable consideration for which the Company has not recognized any revenue because it is uncertain that Receptor will be able to successfully develop, manufacture or sell product related to this license. Therefore, the receipt of such payments is highly susceptible to factors outside of the Company’s influence, the uncertainty regarding the receipt of these payments is not expected to be resolved for years, and the Company has limited experience with similar contracts. There was no change to the accounting for this contract as a result of the initial application of the new revenue guidance. See Note 1 – Description of Business and Summary of Significant Accounting Policies for additional information on the Company’s revenue recognition accounting policy</w:t>
      </w:r>
    </w:p>
    <w:p>
      <w:pPr>
        <w:spacing w:after="0" w:line="21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2017, the Company entered into a Manufacturing and Supply Agreement with Receptor pursuant to which the Company will provide certain raw materials to Receptor and agreed to provide certain additional research and formulation consulting services to Receptor. For the three months ended March 31, 2019 and 2018 the additional research and formulation services provided to Receptor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 payments, minimum purchase commitment revenue and royalties on Afrezza sales in India once cumulative gross sales have reached a specified threshold.</w:t>
      </w:r>
    </w:p>
    <w:p>
      <w:pPr>
        <w:spacing w:after="0" w:line="17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 approval. The Company also recognized $0.2 million as income tax expense for a payment made to the India tax authority in 2018. Deferred revenue related to this contract was $2.1 million at March 31, 2019 of which $0.2 million was recorded in current liabilities.</w:t>
      </w:r>
    </w:p>
    <w:p>
      <w:pPr>
        <w:spacing w:after="0" w:line="209" w:lineRule="exact"/>
        <w:rPr>
          <w:sz w:val="20"/>
          <w:szCs w:val="20"/>
          <w:color w:val="auto"/>
        </w:rPr>
      </w:pPr>
    </w:p>
    <w:p>
      <w:pPr>
        <w:ind w:right="5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S.A. entered into a supply and distribution agreement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of Afrezza in Brazil. Under this agreement, Biomm is responsible for preparing and filing the necessary applications for regulatory approval of Afrezza in Brazil, including from the Agência Nacional de Vigilância Sanitária and, with respect to pricing matters, from the Camara de Regulação de Mercado de Medicamentos. Upon satisfactory approval from these regulatory bodies, the parties will finalize the economic terms of the collaboration; thereafter, the Company will manufacture and supply Afrezza to Biomm, and Biomm will be responsible for promoting and distributing Afrezza within Brazil.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of Financial Instruments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accompanying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note payable to related party (also referred to as The Mann Group Loan Arrangement), senior convertible notes, the Facility Financing Obligation and the milestone rights liability are disclosed below.</w:t>
      </w:r>
    </w:p>
    <w:p>
      <w:pPr>
        <w:spacing w:after="0" w:line="178"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i w:val="1"/>
          <w:iCs w:val="1"/>
          <w:color w:val="auto"/>
        </w:rPr>
        <w:t>Cash Equivalents and restricted cash</w:t>
      </w:r>
      <w:r>
        <w:rPr>
          <w:rFonts w:ascii="Times New Roman" w:cs="Times New Roman" w:eastAsia="Times New Roman" w:hAnsi="Times New Roman"/>
          <w:sz w:val="17"/>
          <w:szCs w:val="17"/>
          <w:color w:val="auto"/>
        </w:rPr>
        <w:t>— Cash equivalents consist of highly liquid investments with original or remaining maturities of 90 days or less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of purchase that are readily convertible into cash. As of March 31, 2019 and December 31, 2018, the Company held $34.5 million and $71.7 million, respectively, of cash and cash equivalents. Restricted cash is held in an escrow account as well as used to collateralize a letter of credit. The Company</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held $0.5 million in restricted cash as of March 31, 2019 and December 31, 2018. Both are comprised of money market funds. The fair value of these money market funds was determined by using quoted prices for identical investments in an active market (Level 1 in the fair value hierarchy).</w:t>
      </w:r>
    </w:p>
    <w:p>
      <w:pPr>
        <w:spacing w:after="0" w:line="17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Short-term investments consist of highly liquid investments that are intended to facilitate liquidity and capital preservation.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2019 the Company held $24.8 million of short-term investments in U.S. Treasury bills or notes. The fair value of short-term investments approximate their carrying value. The measurement of which is based on a market approach using quoted market values (Level 1 in the fair value hierarchy).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Note Payable to Related Party — </w:t>
      </w:r>
      <w:r>
        <w:rPr>
          <w:rFonts w:ascii="Times New Roman" w:cs="Times New Roman" w:eastAsia="Times New Roman" w:hAnsi="Times New Roman"/>
          <w:sz w:val="18"/>
          <w:szCs w:val="18"/>
          <w:color w:val="auto"/>
        </w:rPr>
        <w:t>The fair value measurement of the note payable is based on discounted cash flow model and it is sensitive to the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(Level 3 in the fair value hierarchy). If the yield increases by approximately 2% from 22% to 24%, the fair value of the note payable with the conversion feature would change from $69.4 million to $67.6 million, or a decrease of $1.8 million and -2.6%; if the yield decreases 2% from 22% to 20%, the fair value of the note payable with conversion feature would change from $69.4 million to $71.3 million, or an increase of $1.9 million or 2.7%. If the yield increases by approximately 4% from 22% to 26%, the fair value of the note payable with the conversion feature would change from $69.4 million to $65.9 million, or a decrease of $3.5 million and -5.0%; if the yield decreases 4% from 22% to 18%, the fair value of the note payable with conversion feature would change from $69.4 million to $73.2 million, or an increase of $3.8 million and 5.5%.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8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convertible notes (2021 notes)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9"/>
                <w:szCs w:val="19"/>
                <w:color w:val="auto"/>
              </w:rPr>
            </w:pPr>
          </w:p>
        </w:tc>
        <w:tc>
          <w:tcPr>
            <w:tcW w:w="2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payable to related party</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Milestone rights</w:t>
            </w: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8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convertible notes (2021 notes)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2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payable to related party</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Milestone rights</w:t>
            </w:r>
          </w:p>
        </w:tc>
        <w:tc>
          <w:tcPr>
            <w:tcW w:w="8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8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liability is sensitive to the discount rate and the timing and probability of making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If the achievement of each of the milestones which require payments were to be six months later than in the current forecast, the fair value of the liability would decrease by 6%. If the probabilities of meeting the $50.0 million to $200.0 million milestones were to decrease by 5% or 10%, the fair value of the liability would decrease by 13% and 25%,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21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Embedded Derivatives </w:t>
      </w:r>
      <w:r>
        <w:rPr>
          <w:rFonts w:ascii="Times New Roman" w:cs="Times New Roman" w:eastAsia="Times New Roman" w:hAnsi="Times New Roman"/>
          <w:sz w:val="18"/>
          <w:szCs w:val="18"/>
          <w:color w:val="auto"/>
        </w:rPr>
        <w:t>— The Company identified and evaluated a number of embedded features in the notes issued under the Facility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All of the embedded derivatives were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value at March 31, 2019 and December 31, 2018.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Expense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accompanying condensed consolidated statements of operations for the three months ended March 31, 2019 and 2018 was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980" w:type="dxa"/>
            <w:vAlign w:val="bottom"/>
          </w:tcPr>
          <w:p>
            <w:pPr>
              <w:jc w:val="right"/>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Pr>
          <w:p>
            <w:pPr>
              <w:spacing w:after="0"/>
              <w:rPr>
                <w:sz w:val="13"/>
                <w:szCs w:val="13"/>
                <w:color w:val="auto"/>
              </w:rPr>
            </w:pPr>
          </w:p>
        </w:tc>
        <w:tc>
          <w:tcPr>
            <w:tcW w:w="1140" w:type="dxa"/>
            <w:vAlign w:val="bottom"/>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Borders>
              <w:top w:val="single" w:sz="8" w:color="auto"/>
            </w:tcBorders>
            <w:shd w:val="clear" w:color="auto" w:fill="CFF0FC"/>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60" w:type="dxa"/>
            <w:vAlign w:val="bottom"/>
            <w:tcBorders>
              <w:top w:val="single" w:sz="8" w:color="CFF0FC"/>
            </w:tcBorders>
            <w:shd w:val="clear" w:color="auto" w:fill="CFF0FC"/>
          </w:tcPr>
          <w:p>
            <w:pPr>
              <w:spacing w:after="0"/>
              <w:rPr>
                <w:sz w:val="19"/>
                <w:szCs w:val="19"/>
                <w:color w:val="auto"/>
              </w:rPr>
            </w:pPr>
          </w:p>
        </w:tc>
      </w:tr>
    </w:tbl>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the Company issued 754,729 restricted stock unit awards to employees. Each such restricted stock award vests 100% in February 2020. The grant date fair value of the restricted stock units was $1.49 with a weighted average grant date fair value per share of $1.49.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3" w:name="page24"/>
    <w:bookmarkEnd w:id="23"/>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the Company granted certain employees stock options to purchase an aggregate of 294,900 shares of common stock at a weighted average exercise price of $1.49 per share. The options vest over a four year period. The grant date fair value of these awards is $0.3 million with a weighted average grant date fair value of $1.06 per share, as determined using a Black-Scholes option pricing model.</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2019, there were $8.6 million of unrecognized compensation expense related to restricted stock units and options, respectively, which vest over the vesting period.</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of March 31, 2019, there was $1.2 million of unrecognized compensation costs related to stock options subject to performance conditions. The Company evaluates stock awards with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As of March 31, 2019,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Following the public announcement of Sanofi’s election to terminate the license and collaboration agreement between the Company and Sanofi (the “Sanofi License Agreement”)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and following an oral hearing before the Supreme Court of Israel, has decided to withdraw his appeal. Subsequently, in November 2018, the Company filed a motion to dismiss the certification motion. At a case conference in February 2019, the court directed the parties to negotiate a procedure for determining whether the plaintiff can distinguish the claims in the Israeli litigation from those in a U.S. case against the Company based on the same events (which was dismissed by the U.S. district court for the Central District of California in August 2016). The Company will continue to vigorously defend against the claims advanced.</w:t>
      </w:r>
    </w:p>
    <w:p>
      <w:pPr>
        <w:spacing w:after="0" w:line="19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In connection with the Facility Agreement, on July 1, 2013, the Company also entered into a the Milestone Agreement with the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7 – Borrowings).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On July 31, 2014, the Company entered into a supply agreement (the “Insulin Supply Agreement”) with Amphastar France Pharmaceuticals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ind w:right="160"/>
        <w:spacing w:after="0" w:line="282" w:lineRule="auto"/>
        <w:rPr>
          <w:sz w:val="20"/>
          <w:szCs w:val="20"/>
          <w:color w:val="auto"/>
        </w:rPr>
      </w:pPr>
      <w:r>
        <w:rPr>
          <w:rFonts w:ascii="Times New Roman" w:cs="Times New Roman" w:eastAsia="Times New Roman" w:hAnsi="Times New Roman"/>
          <w:sz w:val="18"/>
          <w:szCs w:val="18"/>
          <w:color w:val="auto"/>
        </w:rPr>
        <w:t>In December 2018, the supply agreement with Amphastar was amended to extend the term over which the Company is required to purchase insulin, without reducing the total amount of insulin to be purchased. Under the amendment, annual minimum quantities of insulin to be purchased for calendar years 2018 through 2024 total an aggregate purchase price of €90.3 million. As of March 31, 2019, the remaining purchase amount is €84.1 million.</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920" w:type="dxa"/>
            <w:vAlign w:val="bottom"/>
            <w:shd w:val="clear" w:color="auto" w:fill="CFF0FC"/>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2019</w:t>
            </w:r>
          </w:p>
        </w:tc>
        <w:tc>
          <w:tcPr>
            <w:tcW w:w="2840" w:type="dxa"/>
            <w:vAlign w:val="bottom"/>
            <w:shd w:val="clear" w:color="auto" w:fill="CFF0FC"/>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million</w:t>
            </w:r>
          </w:p>
        </w:tc>
      </w:tr>
      <w:tr>
        <w:trPr>
          <w:trHeight w:val="230"/>
        </w:trPr>
        <w:tc>
          <w:tcPr>
            <w:tcW w:w="29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2020</w:t>
            </w:r>
          </w:p>
        </w:tc>
        <w:tc>
          <w:tcPr>
            <w:tcW w:w="2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million</w:t>
            </w:r>
          </w:p>
        </w:tc>
      </w:tr>
      <w:tr>
        <w:trPr>
          <w:trHeight w:val="230"/>
        </w:trPr>
        <w:tc>
          <w:tcPr>
            <w:tcW w:w="2920" w:type="dxa"/>
            <w:vAlign w:val="bottom"/>
            <w:shd w:val="clear" w:color="auto" w:fill="CFF0FC"/>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2021</w:t>
            </w:r>
          </w:p>
        </w:tc>
        <w:tc>
          <w:tcPr>
            <w:tcW w:w="2840" w:type="dxa"/>
            <w:vAlign w:val="bottom"/>
            <w:shd w:val="clear" w:color="auto" w:fill="CFF0FC"/>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 million</w:t>
            </w:r>
          </w:p>
        </w:tc>
      </w:tr>
      <w:tr>
        <w:trPr>
          <w:trHeight w:val="230"/>
        </w:trPr>
        <w:tc>
          <w:tcPr>
            <w:tcW w:w="29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2022</w:t>
            </w:r>
          </w:p>
        </w:tc>
        <w:tc>
          <w:tcPr>
            <w:tcW w:w="2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million</w:t>
            </w:r>
          </w:p>
        </w:tc>
      </w:tr>
      <w:tr>
        <w:trPr>
          <w:trHeight w:val="230"/>
        </w:trPr>
        <w:tc>
          <w:tcPr>
            <w:tcW w:w="2920" w:type="dxa"/>
            <w:vAlign w:val="bottom"/>
            <w:shd w:val="clear" w:color="auto" w:fill="CFF0FC"/>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2023</w:t>
            </w:r>
          </w:p>
        </w:tc>
        <w:tc>
          <w:tcPr>
            <w:tcW w:w="2840" w:type="dxa"/>
            <w:vAlign w:val="bottom"/>
            <w:shd w:val="clear" w:color="auto" w:fill="CFF0FC"/>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 million</w:t>
            </w:r>
          </w:p>
        </w:tc>
      </w:tr>
      <w:tr>
        <w:trPr>
          <w:trHeight w:val="234"/>
        </w:trPr>
        <w:tc>
          <w:tcPr>
            <w:tcW w:w="29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4"/>
              </w:rPr>
              <w:t>2024</w:t>
            </w:r>
          </w:p>
        </w:tc>
        <w:tc>
          <w:tcPr>
            <w:tcW w:w="28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million</w:t>
            </w:r>
          </w:p>
        </w:tc>
      </w:tr>
    </w:tbl>
    <w:p>
      <w:pPr>
        <w:spacing w:after="0" w:line="16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Unless terminated earlier, the term of the Insulin Supply Agreement with Amphastar expires on December 31, 2024 and can be renewed for additional, successive two year term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Warrants - </w:t>
      </w:r>
      <w:r>
        <w:rPr>
          <w:rFonts w:ascii="Times New Roman" w:cs="Times New Roman" w:eastAsia="Times New Roman" w:hAnsi="Times New Roman"/>
          <w:sz w:val="18"/>
          <w:szCs w:val="18"/>
          <w:color w:val="auto"/>
        </w:rPr>
        <w:t>On April 5, 2018, the Company entered into securities purchase agreements with certain institutional investors. Pursuant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agreements, the Company sold to the purchasers in a registered offering an aggregate of 14,000,000 shares of its common stock and warrants to purchase up to an aggregate of 14,000,000 shares of its common stock at a combined purchase price of $2.00 per share and accompanying warrant. The shares of the common stock and the warrants were immediately separable. The warrants were exercisable at a price of $2.38 per share and expired unexercised on April 9, 2019. The net proceeds to the Company from the offering were approximately $26.4 million. The offering closed on April 9, 2018. Additionally, on December 19, 2018, the Company entered into an underwriting agreement with Leerink Partners LLC relating to the issuance and sale in a public offering of 26,666,667 shares of the Company’s common stock and warrants to purchase up to an aggregate of 26,666,667 shares of the Company’s common stock at a combined purchase price of $1.50 per share and accompanying warrant. The shares of common stock and the warrants were immediately separable. The warrants are exercisable at a price of $1.60 per share and will expire on December 26, 2019. The net proceeds to the Company from the offering were approximately $37.3 million. The offering closed on December 26, 2018. The Company determined that these warrants met the criteria for equity classification and accounted for such warrants in additional paid-in capital.</w:t>
      </w:r>
    </w:p>
    <w:p>
      <w:pPr>
        <w:spacing w:after="0" w:line="22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Vehicle Leases – </w:t>
      </w:r>
      <w:r>
        <w:rPr>
          <w:rFonts w:ascii="Times New Roman" w:cs="Times New Roman" w:eastAsia="Times New Roman" w:hAnsi="Times New Roman"/>
          <w:sz w:val="18"/>
          <w:szCs w:val="18"/>
          <w:color w:val="auto"/>
        </w:rPr>
        <w:t>During the second quarter of 2018, the Company entered into a lease agreement with Enterprise Fleet Management Inc. for the lease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118 vehicles. The lease requires monthly payments of approximately $83,000 per month including the cost of maintaining the vehicles, taxes and insurance. This amount excludes other variable payments such as storage fees. The lease commenced when the Company took possession of the majority of the vehicles in the second quarter of 2018 and expires 48 months after the delivery date. The lease expense is included in selling, general and administrative expenses in the accompanying condensed consolidated statement of operations for the quarter ended March 31, 2019.</w:t>
      </w:r>
    </w:p>
    <w:p>
      <w:pPr>
        <w:spacing w:after="0" w:line="2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Upon adoption of the new guidance, the agreement was classified as an operating lease which resulted in recording right-of-use assets and lease liabilities of approximately $1.6 million, respectively, as of January 1, 2019. These amounts included approximately $1.6 million of non-current other assets and approximately $0.6 million and $1.3 million of other current liabilities and operating lease liabilities, respectively.</w:t>
      </w:r>
    </w:p>
    <w:p>
      <w:pPr>
        <w:spacing w:after="0" w:line="24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Lease </w:t>
      </w:r>
      <w:r>
        <w:rPr>
          <w:rFonts w:ascii="Times New Roman" w:cs="Times New Roman" w:eastAsia="Times New Roman" w:hAnsi="Times New Roman"/>
          <w:sz w:val="18"/>
          <w:szCs w:val="18"/>
          <w:color w:val="auto"/>
        </w:rPr>
        <w:t>— On May 5, 2017, the Company executed an office lease with Russell Ranch Road II LLC for the Company’s corporate headquarters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Westlake Village, California. The office lease commenced in August 2017. The lease requires monthly payments of $40,951, increased by 3% annually, plus the estimated cost of maintaining the property and common areas by the landlord with a five month concession from October 2017 through February 2018 and allowances for tenant alterations and maintenance. The lease expires in January 2023 and provides the Company with a five year renewal option. The lease expense is included in selling, general and administrative expenses in the accompanying condensed consolidated statement of operations for the quarter ended March 31,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5" w:name="page26"/>
    <w:bookmarkEnd w:id="25"/>
    <w:p>
      <w:pPr>
        <w:ind w:right="100"/>
        <w:spacing w:after="0" w:line="258" w:lineRule="auto"/>
        <w:rPr>
          <w:sz w:val="20"/>
          <w:szCs w:val="20"/>
          <w:color w:val="auto"/>
        </w:rPr>
      </w:pPr>
      <w:r>
        <w:rPr>
          <w:rFonts w:ascii="Times New Roman" w:cs="Times New Roman" w:eastAsia="Times New Roman" w:hAnsi="Times New Roman"/>
          <w:sz w:val="18"/>
          <w:szCs w:val="18"/>
          <w:color w:val="auto"/>
        </w:rPr>
        <w:t>On November 29, 2017, the Company executed an office lease with Russell Ranch Road II LLC to expand the office space for the Company’s corporate headquarters in Westlake Village, California. The office lease commenced in October 2018. The lease requires monthly payments of $35,969, increased by 3% annually, plus the estimated operating costs of maintaining the property by the landlord, which are allocable based an annual assessment made by the landlord. In addition, the Company was entitled to reimbursement from the landlord of up to $56,325 for tenant improvements and zero first-year common area maintenance fee. The lease expires in January 2023 and provides the Company with a five year renewal option.</w:t>
      </w:r>
    </w:p>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Upon adoption of the new guidance,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under all operating leases including office space and equipment for the three months ended March 31, 2019 was approximately</w:t>
      </w:r>
    </w:p>
    <w:p>
      <w:pPr>
        <w:spacing w:after="0" w:line="3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$0.5 million. Cash paid for all operating leases for the three months ended March 31, 2019 was $0.5 million. Variable lease costs were approximately $0.1 million for the three months ended March 31, 2019. The weighted average discount rate used was 7.2%. The weighted-average remaining lease term for all operating leases is 3.8 years.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Rent expense under all operating leases as of March 31, 2018 including office space and equipment was approximately $0.1 million, prior to the adoption of ASC topic 842.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office and vehicle lease payments as of March 31, 2019 and December 31, 2018, are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2620" w:type="dxa"/>
            <w:vAlign w:val="bottom"/>
            <w:tcBorders>
              <w:top w:val="single" w:sz="8" w:color="CFF0FC"/>
            </w:tcBorders>
            <w:shd w:val="clear" w:color="auto" w:fill="CFF0FC"/>
          </w:tcPr>
          <w:p>
            <w:pPr>
              <w:jc w:val="right"/>
              <w:ind w:right="2170"/>
              <w:spacing w:after="0"/>
              <w:rPr>
                <w:sz w:val="20"/>
                <w:szCs w:val="20"/>
                <w:color w:val="auto"/>
              </w:rPr>
            </w:pPr>
            <w:r>
              <w:rPr>
                <w:rFonts w:ascii="Times New Roman" w:cs="Times New Roman" w:eastAsia="Times New Roman" w:hAnsi="Times New Roman"/>
                <w:sz w:val="18"/>
                <w:szCs w:val="18"/>
                <w:color w:val="auto"/>
                <w:w w:val="94"/>
              </w:rPr>
              <w:t>2019</w:t>
            </w:r>
          </w:p>
        </w:tc>
        <w:tc>
          <w:tcPr>
            <w:tcW w:w="2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1,198,910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1,595,421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62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w w:val="94"/>
              </w:rPr>
              <w:t>2020</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1,623,835</w:t>
            </w:r>
          </w:p>
        </w:tc>
        <w:tc>
          <w:tcPr>
            <w:tcW w:w="80" w:type="dxa"/>
            <w:vAlign w:val="bottom"/>
          </w:tcPr>
          <w:p>
            <w:pPr>
              <w:spacing w:after="0"/>
              <w:rPr>
                <w:sz w:val="19"/>
                <w:szCs w:val="19"/>
                <w:color w:val="auto"/>
              </w:rPr>
            </w:pPr>
          </w:p>
        </w:tc>
      </w:tr>
      <w:tr>
        <w:trPr>
          <w:trHeight w:val="230"/>
        </w:trPr>
        <w:tc>
          <w:tcPr>
            <w:tcW w:w="2620" w:type="dxa"/>
            <w:vAlign w:val="bottom"/>
            <w:shd w:val="clear" w:color="auto" w:fill="CFF0FC"/>
          </w:tcPr>
          <w:p>
            <w:pPr>
              <w:jc w:val="right"/>
              <w:ind w:right="2170"/>
              <w:spacing w:after="0"/>
              <w:rPr>
                <w:sz w:val="20"/>
                <w:szCs w:val="20"/>
                <w:color w:val="auto"/>
              </w:rPr>
            </w:pPr>
            <w:r>
              <w:rPr>
                <w:rFonts w:ascii="Times New Roman" w:cs="Times New Roman" w:eastAsia="Times New Roman" w:hAnsi="Times New Roman"/>
                <w:sz w:val="18"/>
                <w:szCs w:val="18"/>
                <w:color w:val="auto"/>
                <w:w w:val="94"/>
              </w:rPr>
              <w:t>2021</w:t>
            </w:r>
          </w:p>
        </w:tc>
        <w:tc>
          <w:tcPr>
            <w:tcW w:w="2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1,653,101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1,653,101</w:t>
            </w:r>
          </w:p>
        </w:tc>
        <w:tc>
          <w:tcPr>
            <w:tcW w:w="80" w:type="dxa"/>
            <w:vAlign w:val="bottom"/>
            <w:shd w:val="clear" w:color="auto" w:fill="CFF0FC"/>
          </w:tcPr>
          <w:p>
            <w:pPr>
              <w:spacing w:after="0"/>
              <w:rPr>
                <w:sz w:val="19"/>
                <w:szCs w:val="19"/>
                <w:color w:val="auto"/>
              </w:rPr>
            </w:pPr>
          </w:p>
        </w:tc>
      </w:tr>
      <w:tr>
        <w:trPr>
          <w:trHeight w:val="230"/>
        </w:trPr>
        <w:tc>
          <w:tcPr>
            <w:tcW w:w="262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w w:val="94"/>
              </w:rPr>
              <w:t>2022</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1,305,096</w:t>
            </w:r>
          </w:p>
        </w:tc>
        <w:tc>
          <w:tcPr>
            <w:tcW w:w="80" w:type="dxa"/>
            <w:vAlign w:val="bottom"/>
          </w:tcPr>
          <w:p>
            <w:pPr>
              <w:spacing w:after="0"/>
              <w:rPr>
                <w:sz w:val="19"/>
                <w:szCs w:val="19"/>
                <w:color w:val="auto"/>
              </w:rPr>
            </w:pPr>
          </w:p>
        </w:tc>
      </w:tr>
      <w:tr>
        <w:trPr>
          <w:trHeight w:val="230"/>
        </w:trPr>
        <w:tc>
          <w:tcPr>
            <w:tcW w:w="2620" w:type="dxa"/>
            <w:vAlign w:val="bottom"/>
            <w:shd w:val="clear" w:color="auto" w:fill="CFF0FC"/>
          </w:tcPr>
          <w:p>
            <w:pPr>
              <w:jc w:val="right"/>
              <w:ind w:right="2170"/>
              <w:spacing w:after="0"/>
              <w:rPr>
                <w:sz w:val="20"/>
                <w:szCs w:val="20"/>
                <w:color w:val="auto"/>
              </w:rPr>
            </w:pPr>
            <w:r>
              <w:rPr>
                <w:rFonts w:ascii="Times New Roman" w:cs="Times New Roman" w:eastAsia="Times New Roman" w:hAnsi="Times New Roman"/>
                <w:sz w:val="18"/>
                <w:szCs w:val="18"/>
                <w:color w:val="auto"/>
                <w:w w:val="94"/>
              </w:rPr>
              <w:t>2023</w:t>
            </w:r>
          </w:p>
        </w:tc>
        <w:tc>
          <w:tcPr>
            <w:tcW w:w="2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80" w:type="dxa"/>
            <w:vAlign w:val="bottom"/>
            <w:shd w:val="clear" w:color="auto" w:fill="CFF0FC"/>
          </w:tcPr>
          <w:p>
            <w:pPr>
              <w:spacing w:after="0"/>
              <w:rPr>
                <w:sz w:val="19"/>
                <w:szCs w:val="19"/>
                <w:color w:val="auto"/>
              </w:rPr>
            </w:pPr>
          </w:p>
        </w:tc>
      </w:tr>
      <w:tr>
        <w:trPr>
          <w:trHeight w:val="223"/>
        </w:trPr>
        <w:tc>
          <w:tcPr>
            <w:tcW w:w="2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5,868,899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6,265,410</w:t>
            </w:r>
          </w:p>
        </w:tc>
        <w:tc>
          <w:tcPr>
            <w:tcW w:w="8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2018 amounts above are inclusive of office and vehicle lease payments in order to conform to the current year presentation.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2015 remain subject to examination by federal, state and foreign tax authorities.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3"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2018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inhaled therapeutic products for patients with diseases such as diabetes and pulmonary arterial hypertension. Our only approved product, Afrezza, is a rapid-acting inhaled insulin that was approved by the FDA in June 2014 to improve glycemic control in adult patients with diabetes. Afrezza became available by prescription in United States retail pharmacies in February 2015.</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2019, we had an accumulated deficit of $3.0 billion and a stockholders’ deficit of $188.0 million. We had a net loss of $14.9 million for the three months ended March 31, 2019. We have funded our operations primarily through the sale of equity securities and convertible debt securities, borrowings under the Facility Agreement with Deerfield, borrowings under the Mann Group Loan Arrangement, receipt of upfront and milestone payments under the UT License Agreement, receipt of upfront and milestone payments under the Sanofi License Agreement and borrowings under a senior secured revolving promissory note that we entered into with an affiliate of Sanofi in September 2014 in connection with the Sanofi License Agreement (the “Sanofi Loan Facility”), which was terminated in 2016. As discussed below in “Liquidity and Capital Resources,” if we are unable to obtain additional funding, there is substantial doubt about our ability to continue as a going concern.</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need to raise additional capital to fund our operations, our ability to successfully commercialize Afrezza and manufacture sufficient quantities of Afrezza, competition from other products and technologies and uncertainties associated with obtaining and enforcing patent rights. Additional significant risks also include the risks inherent in clinical trials and the regulatory approval process for our product candidates, which in some cases depends upon the efforts of our partners.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can be found in Item 7. Management’s Discussion and Analysis of Financial Condition and Results of Operations in our Form 10-K for the year ended December 31, 2018. See Note 1 – Description of Business and Significant Accounting Policies in the condensed consolidated financial statements included in Part I – Financial Statements (Unaudited) for descriptions of the new accounting policies and impact of adoption.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 and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three months ended March 31, 2019 and 2018 (dollars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revenue from product sales</w:t>
            </w:r>
          </w:p>
        </w:tc>
        <w:tc>
          <w:tcPr>
            <w:tcW w:w="10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1"/>
        </w:trPr>
        <w:tc>
          <w:tcPr>
            <w:tcW w:w="44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Wholesaler distribution fees, rebates and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discounts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8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 collaborations and services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19,538%</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17,448</w:t>
            </w:r>
          </w:p>
        </w:tc>
        <w:tc>
          <w:tcPr>
            <w:tcW w:w="12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Gross revenue from the sales of Afrezza for the quarter ended March 31, 2019 increased by $3.0 million, or 58%, compared to the same quarter in the prior year primarily driven by higher product demand and price increases, as well as a more favorable mix of Afrezza cartridges. The estimated gross-to-net adjustment of $3.1 million (38% of gross revenue) for the quarter ended March 31, 2019 increased from $1.8 million (35% of gross revenue) for the same quarter in the prior year primarily due to increased commercial and government rebates related to the increased wholesale acquisition cost of Afrezza.</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revenue from collaborations and services for the quarter ended March 31, 2019 increased by $12.3 million compared to the same quarter in the prior year, primarily attributable to the UT License Agreement ($7.6 million) and the UT Research Agreement ($4.7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three months ended March 31, 2019 and 2018 (dollars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 - commercial product sales</w:t>
            </w:r>
          </w:p>
        </w:tc>
        <w:tc>
          <w:tcPr>
            <w:tcW w:w="1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0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Commercial product gross profit for the quarter ended March 31, 2019 increased by $1.7 million, or 274%, compared to the same quarter in the prior year, primarily attributable to higher commercial sales.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three months ended March 31, 2019 and 2018 (dollars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(4,919)</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8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goods sold for the quarter ended March 31, 2019 was consistent with the same quarter in the prior year. For the quarter ended March 31, 2019, lower absorption of $0.8 million was offset by a decrease in an inventory write-off of $0.6 million, compared to the quarter ended March 31, 2018.</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revenue - collaborations and services was $1.5 million for the quarter ended March 31, 2019 compared to zero for the same quarter in the prior year. Cost of revenue - collaborations and services for 2019 was attributable to resource costs related to conducting activities under the UT License Agreement and UT Research Agreement.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quarter ended March 31, 2019 decreased by $1.0 million, or 37%, compared with the same quarter in the prior year. This was primarily attributable to $0.4 million decreases in both clinical trial spending and personnel costs.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Selling expenses for the quarter ended March 31, 2019 increased by $7.7 million, or 70%, compared to the same quarter in the prior year. The increase was primarily attributable to $9.3 million in costs for a television campaign for Afrezza, offset by a decrease of $1.2 million resulting from the realignment of sales force territories.</w:t>
      </w: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quarter ended March 31, 2019 decreased by $2.6 million, or 27%, compared to the same quarter in the prior year. This decrease was primarily attributable to a $0.9 million decrease in stock-based compensation expenses, a $0.8 million decrease in personnel costs, and a $0.7 million decrease in professional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three months ended March 31, 2019 and 2018 (dollars in thousands):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notes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note payable to related party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income increased by $0.2 million for the three months ended March 31, 2019, or 200%, compared to the same quarter in the prior year, which was primarily attributable to a higher balance on our money market funds and short-term investments.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expense on notes, which includes the Facility Financing Obligation and senior convertible notes, decreased by $1.2 million for the three months ended March 31, 2019, or 67%, compared to the same quarter in the prior year, which was primarily attributable to a reduction in principal debt balances.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through the sale of equity securities and convertible debt securities, borrowings under the Mann Group Loan Arrangement, under which we can no longer borrow as we have used all amounts available for borrowing, borrowings under the Facility Agreement with Deerfield, receipt of upfront and milestone payments under the Sanofi License Agreement, borrowings under a senior secured promissory note and a guaranty and security agreement with an affiliate of Sanofi, which terminated in 2016.</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2019, we had $101.7 million principal amount of outstanding debt, exclusive of $8.0 million accrued interest owed to the related party that will be paid-in-kind, consisting of:</w:t>
      </w:r>
    </w:p>
    <w:p>
      <w:pPr>
        <w:spacing w:after="0" w:line="54" w:lineRule="exact"/>
        <w:rPr>
          <w:sz w:val="20"/>
          <w:szCs w:val="20"/>
          <w:color w:val="auto"/>
        </w:rPr>
      </w:pPr>
    </w:p>
    <w:p>
      <w:pPr>
        <w:ind w:left="1040" w:right="160" w:hanging="519"/>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 million principal amount of senior convertible notes bearing interest at 5.75% per annum and maturing in October, 2021, all of which is convertible;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under the Facility Financing Obligation:</w:t>
      </w:r>
    </w:p>
    <w:p>
      <w:pPr>
        <w:spacing w:after="0" w:line="117" w:lineRule="exact"/>
        <w:rPr>
          <w:rFonts w:ascii="Times New Roman" w:cs="Times New Roman" w:eastAsia="Times New Roman" w:hAnsi="Times New Roman"/>
          <w:sz w:val="18"/>
          <w:szCs w:val="18"/>
          <w:color w:val="auto"/>
        </w:rPr>
      </w:pPr>
    </w:p>
    <w:p>
      <w:pPr>
        <w:ind w:left="1540" w:right="660" w:hanging="506"/>
        <w:spacing w:after="0" w:line="282"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million principal amount due and payable in July 2019 and bearing interest at 9.75% per annum. Interest is payable in cash quarterly in arrears on the last business day of each calendar quarter. The principal amount is due in July 2019; and</w:t>
      </w:r>
    </w:p>
    <w:p>
      <w:pPr>
        <w:spacing w:after="0" w:line="53" w:lineRule="exact"/>
        <w:rPr>
          <w:rFonts w:ascii="Times New Roman" w:cs="Times New Roman" w:eastAsia="Times New Roman" w:hAnsi="Times New Roman"/>
          <w:sz w:val="18"/>
          <w:szCs w:val="18"/>
          <w:color w:val="auto"/>
        </w:rPr>
      </w:pPr>
    </w:p>
    <w:p>
      <w:pPr>
        <w:ind w:left="1540" w:right="640" w:hanging="506"/>
        <w:spacing w:after="0" w:line="282"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principal amount due and payable in May 2019 and bearing interest at 8.75% per annum. Interest is payable in cash quarterly in arrears on the last business day of each calendar quarter. The principal amount is due in May 2019.</w:t>
      </w:r>
    </w:p>
    <w:p>
      <w:pPr>
        <w:spacing w:after="0" w:line="53" w:lineRule="exact"/>
        <w:rPr>
          <w:rFonts w:ascii="Times New Roman" w:cs="Times New Roman" w:eastAsia="Times New Roman" w:hAnsi="Times New Roman"/>
          <w:sz w:val="18"/>
          <w:szCs w:val="18"/>
          <w:color w:val="auto"/>
        </w:rPr>
      </w:pPr>
    </w:p>
    <w:p>
      <w:pPr>
        <w:ind w:left="1040" w:right="14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$71.5 million principal amount of indebtedness under the Mann Group Loan Arrangement bearing interest at a fixed rate of 5.84% per annum compound quarterly beginning April 1, 2018 and maturing on July 1, 2021, all of which is convertible. Interest is due and payable quarterly in arrears on the first day of each calendar quarter for the preceding quarter, except that interest payments are subject to deferral under a subordination agreement with Deerfield until our payment obligations to Deerfield have been satisfied in full.</w:t>
      </w:r>
    </w:p>
    <w:p>
      <w:pPr>
        <w:spacing w:after="0" w:line="207"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We have entered into certain transactions related to these borrowings that are more fully described in Note 6 – Related Party Arrangements, Note 7 – Borrowings, Note 9 – Fair Value of Financial Instruments, and Note 11 – Commitments and Contingencies, as well as the related notes in our Annual Report.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5, 2018, we entered into securities purchase agreements (the “Purchase Agreements”) with certain institutional investors (the “Purchasers”). Pursuant to the terms of the Purchase Agreements, we sold to the Purchasers in a registered offering an aggregate of 14,000,000 shares of our common stock and warrants to purchase up to an aggregate of 14,000,000 shares of our common stock at a combined purchase price of $2.00 per share and accompanying warrant. The net proceeds from the offering were approximately $26.4 million. The offering closed on April 9, 2018. The warrants were exercisable at a price of $2.38 per share and expired unexercised on April 9, 2019.</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19, 2018, we entered into an underwriting agreement with Leerink Partners LLC relating to the issuance and sale in a public offering of 26,666,667 shares of our common stock and warrants to purchase up to an aggregate of 26,666,667 shares of our common stock at a combined purchase price of $1.50 per share and accompanying warrant. The shares of common stock and the warrants were immediately separable. The warrants were immediately exercisable at issuance at a price of $1.60 per share and will expire on December 26, 2019. The net proceeds to us from the offering were approximately $37.5 million. The offering closed on December 26, 2018.</w:t>
      </w:r>
    </w:p>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July 31, 2014, we entered into the Insulin Supply Agreement, pursuant to which we agreed to purchase certain annual minimum quantities of insulin. See Note 11 — Commitments and Contingencies for further information related to the Insulin Supply Agreement.</w:t>
      </w:r>
    </w:p>
    <w:p>
      <w:pPr>
        <w:spacing w:after="0" w:line="162"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There can be no assurance that we will have sufficient resources to make any required repayments of principal under the senior convertible notes, Facility Financing Obligation, or the Mann Group Loan Arrangement when required. Further, if we undergo a fundamental change, as that term is defined in the indentures governing the terms of the senior convertible notes, or certain Major Transactions as defined in the Facility Agreement, the holders of the respective debt securities will have the option to require us to repurchase all or any portion of such debt securities at a repurchase price of 100% of the principal amount of such debt securities to be repurchased plus accrued and unpaid interest, if any. The senior convertible notes and the Mann Group Loan Arrangement are fully convertible at any time prior to maturity as further disclosed in Note 6 – Related Party Arrangements and Note 7 – Borrowings.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0" w:name="page31"/>
    <w:bookmarkEnd w:id="30"/>
    <w:p>
      <w:pPr>
        <w:ind w:right="80"/>
        <w:spacing w:after="0" w:line="256" w:lineRule="auto"/>
        <w:rPr>
          <w:sz w:val="20"/>
          <w:szCs w:val="20"/>
          <w:color w:val="auto"/>
        </w:rPr>
      </w:pPr>
      <w:r>
        <w:rPr>
          <w:rFonts w:ascii="Times New Roman" w:cs="Times New Roman" w:eastAsia="Times New Roman" w:hAnsi="Times New Roman"/>
          <w:sz w:val="18"/>
          <w:szCs w:val="18"/>
          <w:color w:val="auto"/>
        </w:rPr>
        <w:t>While we have been able to timely make our required interest payments to date, we cannot guarantee that we will be able to do so in the future. If we fail to pay interest on the senior convertible notes and the Facility Financing Obligation or if we fail to repay or repurchase the senior convertible notes, Facility Financing Obligation,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8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$75 million of which remain unachieved. In addition, the Facility Agreement includes customary representations, warranties and covenants, including, a restriction on the incurrence of additional indebtedness, and a financial covenant which requires our cash and cash equivalents on the last day of each fiscal quarter to not be less than $25.0 million. See Note 11 — Commitments and Contingencies and Note 7 — Borrowings for further information related to the Facility Agreement.</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2019, we used $11.6 million of cash for our operating activities as a result of our net loss of $14.9 million, offset by a net increase in operating assets and liabilities of $2.2 million and non-cash charges of $1.1 million. The increase in operating assets and liabilities was primarily as a result of increases in accrued expenses and other current liabilities of $2.3 million, accounts payable of $1.6 million, offset by recognized loss on purchase commitments of $2.0 million and an increase in right-of-use and other assets of $0.3 million. The non-cash charges included $1.9 million from gains on foreign currency exchange, $1.0 million of stock-based compensation and $1.1 million of interest accrued through notes payable to related party.</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2018, we used $21.7 million of cash for our operating activities as a result of our net loss of $30.4 million, offset by a net decrease in operating assets and liabilities of $0.4 million and non-cash charges of $8.3 million. The decrease in operating assets and liabilities was primarily as a result of decreases in accounts receivable of $1.1 million and prepaid expenses and other assets of $0.7 million and increases in accrued expenses and other current liabilities of $2.7 million offset by a $1.8 million increase in inventory and decreases in accounts payable of $2.0 million, deferred payments from collaboration of $0.1 million, and recognized loss on purchase commitments of $0.1 million. The non-cash charges included $3.0 million from losses on foreign currency exchange, $1.9 million of stock-based compensation, $1.1 million of interest accrued through notes payable to related party, $0.8 million from loss on extinguishment of the notes payable to related party, $0.6 million in write-off of inventory, and $0.7 million of depreciation, amortization and accretion.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$25.0 million for the three months ended March 31, 2019, primarily driven by investments in short-term treasury bills.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cash provided from investing activities for the three months ended March 31, 2018.</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was no cash provided by financing activities for the three months ended March 31, 2019. Cash provided by financing activities was $0.5 million for the three months ended March 31, 2018 which related to $0.6 million of net proceeds from the sale of shares of our common stock pursuant to our Sales Agreement with Cantor Fitzgerald offset by $0.1 million for employment taxes related to vested restricted stock units.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11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As of March 31, 2019, we had $35.1 million in cash and cash equivalents and restricted cash and $24.8 million in short-term investments. Our cash position and short-term investments, together with our short-term debt obligations and anticipated operating expenses, raises substantial doubt about our ability to continue as a going concern. We expect to expend our capital resources for the manufacturing, sales and marketing of Afrezza and to develop our product pipeline candidates. We also intend to use our capital resources for general corporate purposes. We will need to raise additional capital before we exhaust our current cash resources in order to continue to fund our research and development, support continued product growth and commercialization efforts, and to fund operations, generally. We will seek to raise additional funds through various potential sources, such as equity and debt financings, or through collaboration and licensing agreements.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t>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collaboration, license, sale of securities or sale or license of assets will be available to us on a timely basis or on acceptable terms, or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when needed,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we did not have any off-balance sheet arrangements.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2019, there were no material changes outside of the ordinary course of business in our contractual obligations from those disclosed within “Management’s Discussion and Analysis of Financial Condition and Results of Operations,” as contained in the Annual Report.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2" w:name="page33"/>
    <w:bookmarkEnd w:id="32"/>
    <w:p>
      <w:pPr>
        <w:ind w:right="42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Interest Rate Risk</w:t>
      </w:r>
    </w:p>
    <w:p>
      <w:pPr>
        <w:ind w:right="100"/>
        <w:spacing w:after="0" w:line="266" w:lineRule="auto"/>
        <w:rPr>
          <w:sz w:val="20"/>
          <w:szCs w:val="20"/>
          <w:color w:val="auto"/>
        </w:rPr>
      </w:pPr>
      <w:r>
        <w:rPr>
          <w:rFonts w:ascii="Times New Roman" w:cs="Times New Roman" w:eastAsia="Times New Roman" w:hAnsi="Times New Roman"/>
          <w:sz w:val="18"/>
          <w:szCs w:val="18"/>
          <w:color w:val="auto"/>
        </w:rPr>
        <w:t>Due to the fixed interest rates of our debt, we currently do not have exposure to changes in our interest expense as a result of changes in interest rates. See Note 6 – Related Party Arrangements and Note 7 – Borrowings in the Notes to the condensed consolidated financial statements included in Part I – Financial Statements (Unaudited) for information about the principal amount of outstanding debt.</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interest rate on amounts borrowed under The Mann Group Loan Arrangement is fixed at 5.84%. As of March 31, 2019, we also have debt related to the senior convertible notes at a fixed interest rate of 5.75%, debt related to the 2019 notes at a fixed interest rate of 9.75% and debt related to the Tranche B notes at a fixed interest rate of 8.75%.</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current policy requires us to maintain a highly liquid short-term investment portfolio consisting mainly of U.S. money market funds, U.S. Treasury bills or notes and investment-grade corporate, government and municipal debt. None of these investments are entered into for trading purposes. Our cash is deposited in and invested through highly rated financial institutions in North America.</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 change in interest rates equal to 10% of the interest rates on March 31, 2019 were to have occurred, this change would not have had a material effect on the value of our short-term investment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foreign currencies. On April 2, 2018, we entered into a foreign currency short-term (90 days) hedging transactions to mitigate our currency exposure risks to foreign currency exchange risks. For the three months ended March 31, 2019, we realized a currency gain of approximately $1.9 million. This amount was recorded in other income and expense. Exchange rate fluctuations may adversely affect our expenses, results of operations, financial position and cash flows. If a change in the U.S. dollar to Euro exchange rate equal to 10% of the U.S. dollar to Euro exchange rate on March 31, 2019 were to occur, this change would have resulted in a foreign currency impact to our pre-tax income (losses) of approximately $9.4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March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2019, we have concluded, as of such date, that our disclosure controls and procedures were effective.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At a case conference in February 2019, the court directed the parties to negotiate a procedure for determining whether the plaintiff can distinguish the claims in the Israeli litigation from those in a U.S. case against us based on the same events (which was dismissed by the U.S. district court for the Central District of California in August 2016). We will continue to vigorously defend against the claims advanced.</w:t>
      </w:r>
    </w:p>
    <w:p>
      <w:pPr>
        <w:spacing w:after="0" w:line="1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operations, and there is substantial doubt about our ability to continue as a going concern.*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report includes disclosures stating that our existing cash resources and our accumulated stockholder’s deficit raise substantial doubt about our ability to continue as a going concern. As of March 31, 2019, we had cash and cash equivalents of $34.5 million and a stockholders’ deficit of $188.0 million.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financial covenant in the Facility Agreement which requires us to maintain at least $25.0 million in cash and cash equivalents as of the last day of each fiscal quarter. It may be difficult for us to raise additional funds on favorable terms, or at all. The extent of our additional funding requirements will depend on a number of factors, including:</w:t>
      </w:r>
    </w:p>
    <w:p>
      <w:pPr>
        <w:spacing w:after="0" w:line="68"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Afrezza is commercially successful;</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our Technosphere drug delivery platform, including through our collaborations;</w:t>
      </w:r>
    </w:p>
    <w:p>
      <w:pPr>
        <w:spacing w:after="0" w:line="90" w:lineRule="exact"/>
        <w:rPr>
          <w:rFonts w:ascii="Times New Roman" w:cs="Times New Roman" w:eastAsia="Times New Roman" w:hAnsi="Times New Roman"/>
          <w:sz w:val="18"/>
          <w:szCs w:val="18"/>
          <w:color w:val="auto"/>
        </w:rPr>
      </w:pPr>
    </w:p>
    <w:p>
      <w:pPr>
        <w:ind w:left="1040" w:right="120" w:hanging="519"/>
        <w:spacing w:after="0" w:line="25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Afrezza on our own in the United States, including the costs of expanding our commercialization capabilities;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debt instruments to require us to repay or repurchase such debt securities if and when required;</w:t>
      </w:r>
    </w:p>
    <w:p>
      <w:pPr>
        <w:spacing w:after="0" w:line="90" w:lineRule="exact"/>
        <w:rPr>
          <w:rFonts w:ascii="Times New Roman" w:cs="Times New Roman" w:eastAsia="Times New Roman" w:hAnsi="Times New Roman"/>
          <w:sz w:val="18"/>
          <w:szCs w:val="18"/>
          <w:color w:val="auto"/>
        </w:rPr>
      </w:pPr>
    </w:p>
    <w:p>
      <w:pPr>
        <w:ind w:left="1040" w:right="140" w:hanging="519"/>
        <w:spacing w:after="0" w:line="25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4" w:name="page35"/>
    <w:bookmarkEnd w:id="34"/>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research and development activities;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milestone payments to Deerfield;</w:t>
      </w:r>
    </w:p>
    <w:p>
      <w:pPr>
        <w:spacing w:after="0" w:line="90" w:lineRule="exact"/>
        <w:rPr>
          <w:rFonts w:ascii="Times New Roman" w:cs="Times New Roman" w:eastAsia="Times New Roman" w:hAnsi="Times New Roman"/>
          <w:sz w:val="18"/>
          <w:szCs w:val="18"/>
          <w:color w:val="auto"/>
        </w:rPr>
      </w:pPr>
    </w:p>
    <w:p>
      <w:pPr>
        <w:ind w:left="1040" w:right="240" w:hanging="519"/>
        <w:spacing w:after="0" w:line="25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and our product candidates and competitive products;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90" w:lineRule="exact"/>
        <w:rPr>
          <w:rFonts w:ascii="Times New Roman" w:cs="Times New Roman" w:eastAsia="Times New Roman" w:hAnsi="Times New Roman"/>
          <w:sz w:val="18"/>
          <w:szCs w:val="18"/>
          <w:color w:val="auto"/>
        </w:rPr>
      </w:pPr>
    </w:p>
    <w:p>
      <w:pPr>
        <w:ind w:left="1040" w:right="220" w:hanging="519"/>
        <w:spacing w:after="0" w:line="25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9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will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 In addition, if we default under the Facility Agreement, Deerfield could foreclose on substantially all of our assets</w:t>
      </w: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5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2" w:right="259" w:bottom="1440" w:gutter="0" w:footer="0" w:header="0"/>
        </w:sectPr>
      </w:pPr>
    </w:p>
    <w:bookmarkStart w:id="35" w:name="page36"/>
    <w:bookmarkEnd w:id="35"/>
    <w:p>
      <w:pPr>
        <w:ind w:right="40"/>
        <w:spacing w:after="0" w:line="253" w:lineRule="auto"/>
        <w:rPr>
          <w:sz w:val="20"/>
          <w:szCs w:val="20"/>
          <w:color w:val="auto"/>
        </w:rPr>
      </w:pPr>
      <w:r>
        <w:rPr>
          <w:rFonts w:ascii="Times New Roman" w:cs="Times New Roman" w:eastAsia="Times New Roman" w:hAnsi="Times New Roman"/>
          <w:sz w:val="18"/>
          <w:szCs w:val="18"/>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we fail to achieve commercialize success with Afrezza in the United States, our business, financial condition and results of operations will be materially and adversely affected.</w:t>
      </w:r>
    </w:p>
    <w:p>
      <w:pPr>
        <w:spacing w:after="0" w:line="26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there is substantial doubt about our ability to continue as a going concern.”</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or maintaining regional partnerships or other arrangements with third parties for the commercialization of Afrezza outside of the United States.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Afrezza has been approved in the United States by the FDA for glycemic control in adult patients with diabetes, we have not yet obtained approval in any other jurisdiction.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and commercialize our product candidates.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likely not be able to advance these programs unless we are able to enter into collaborations with third parties to fund these programs or to obtain funding to enable us to continue these programs.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incur losses in the future and we may not generate positive cash flow from operations in the future.*</w:t>
      </w:r>
    </w:p>
    <w:p>
      <w:pPr>
        <w:spacing w:after="0" w:line="12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We are not currently profitable and have rarely generated positive net cash flow from operations. As of March 31, 2019, we had an accumulated deficit of $3.0 billion. The accumulated deficit has resulted principally from costs incurred in our research and development programs, the write-off of goodwill, inventory and property, plant and equipment, and general operating expenses. We expect to make substantial expenditures and to incur increasing operating losses in the future in order to continue the commercialization of Afrezza. In addition, under the amended Insulin Supply Agreement with Amphastar, we agreed to purchase certain annual minimum quantities of insulin through 2024. As of March 31, 2019, there was €84.1 million remaining in aggregate purchase commitments under this agreement. We may not have the necessary capital resources on hand in order to service this contractual commitment.</w:t>
      </w:r>
    </w:p>
    <w:p>
      <w:pPr>
        <w:spacing w:after="0" w:line="17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and we may be unable to make required payments of interest and principal as they become due.*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2019, we had $101.7 million principal amount of outstanding debt, exclusive of $8.0 million accrued interest owed to the related party that will be paid-in-kind, consisting of:</w:t>
      </w:r>
    </w:p>
    <w:p>
      <w:pPr>
        <w:spacing w:after="0" w:line="54" w:lineRule="exact"/>
        <w:rPr>
          <w:sz w:val="20"/>
          <w:szCs w:val="20"/>
          <w:color w:val="auto"/>
        </w:rPr>
      </w:pPr>
    </w:p>
    <w:p>
      <w:pPr>
        <w:ind w:left="1040" w:right="140" w:hanging="519"/>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 million principal amount of senior convertible notes bearing interest at 5.75% per annum, with interest payable in cash semiannually in arrears on February 15 and August 15 of each year, and maturing on October 23, 2021;</w:t>
      </w:r>
    </w:p>
    <w:p>
      <w:pPr>
        <w:spacing w:after="0" w:line="67" w:lineRule="exact"/>
        <w:rPr>
          <w:rFonts w:ascii="Times New Roman" w:cs="Times New Roman" w:eastAsia="Times New Roman" w:hAnsi="Times New Roman"/>
          <w:sz w:val="18"/>
          <w:szCs w:val="18"/>
          <w:color w:val="auto"/>
        </w:rPr>
      </w:pPr>
    </w:p>
    <w:p>
      <w:pPr>
        <w:ind w:left="1660" w:right="20" w:hanging="518"/>
        <w:spacing w:after="0" w:line="235" w:lineRule="auto"/>
        <w:tabs>
          <w:tab w:leader="none" w:pos="16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$9.0 million principal amount of 2019 notes due and payable in July 2019 and bearing interest at 9.75% per annum. Interest is payable in cash quarterly in arrears on the last business day of each calendar quarter;</w:t>
      </w:r>
    </w:p>
    <w:p>
      <w:pPr>
        <w:spacing w:after="0" w:line="103" w:lineRule="exact"/>
        <w:rPr>
          <w:rFonts w:ascii="Times New Roman" w:cs="Times New Roman" w:eastAsia="Times New Roman" w:hAnsi="Times New Roman"/>
          <w:sz w:val="22"/>
          <w:szCs w:val="22"/>
          <w:color w:val="auto"/>
        </w:rPr>
      </w:pPr>
    </w:p>
    <w:p>
      <w:pPr>
        <w:ind w:left="1660" w:right="200" w:hanging="518"/>
        <w:spacing w:after="0" w:line="282" w:lineRule="auto"/>
        <w:tabs>
          <w:tab w:leader="none" w:pos="1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principal amount of Tranche B notes due and payable in May 2019 and bearing interest at 8.75% per annum. Interest is payable in cash quarterly in arrears on the last business day of each calendar quarter; and</w:t>
      </w:r>
    </w:p>
    <w:p>
      <w:pPr>
        <w:spacing w:after="0" w:line="67" w:lineRule="exact"/>
        <w:rPr>
          <w:rFonts w:ascii="Times New Roman" w:cs="Times New Roman" w:eastAsia="Times New Roman" w:hAnsi="Times New Roman"/>
          <w:sz w:val="18"/>
          <w:szCs w:val="18"/>
          <w:color w:val="auto"/>
        </w:rPr>
      </w:pPr>
    </w:p>
    <w:p>
      <w:pPr>
        <w:ind w:left="1040" w:right="120" w:hanging="519"/>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$71.5 million principal amount of indebtedness under the Mann Group Loan Arrangement bearing interest at a fixed rate of 5.84% per annum compounded quarterly and maturing on July 1, 2021, all of which is convertible at a conversion price per share of $4.00. Interest is due and payable quarterly in arrears on the first day of each calendar quarter for the preceding quarter, except that interest payments are subject to deferral under a subordination agreement with Deerfield until our payment obligations to Deerfield have been satisfied in full.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37" w:name="page38"/>
    <w:bookmarkEnd w:id="37"/>
    <w:p>
      <w:pPr>
        <w:ind w:right="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senior convertible notes, or certain Major Transactions as defined in the Facility Agreement, the holders of the respective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senior convertible notes, 2019 notes, or Tranche B notes, or if we fail to repay or repurchase the senior convertible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obligations under the Facility Agreement and the Milestone Agreement are secured by substantially all of our assets, including our intellectual property, accounts receivables, equipment, general intangibles, inventory (excluding insulin inventory) and investment property, and all of the proceeds and products of the foregoing.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Facility Financing Obligation;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falling below $25.0 million as of the end of each fiscal quarter. There have been no events of default under the Facility Financing Obligation. If we fail to timely pay accrued interest under The Mann Group Loan Arrangement when required, we will be in default under The Mann Group Loan Arrangement. If one or more events of default under the Facility Agreement occurs and continues beyond any applicable cure period, the holders of the Facility Financing Obligation may declare all or any portion of the Facility Financing Obligation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covenants under any of the foregoing agreements, and we cannot predict whether the holders of the Facility Financing Obligation would demand repayment of the outstanding balance of the Facility Financing Obligation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senior convertible notes. In the event of certain future defaults under the foregoing agreements for which we are not able to obtain waivers, the holders of the senior convertible notes and Facility Financing Obligation may accelerate all of our repayment obligations, and, with respect to the Facility Financing Obligation,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8" w:name="page39"/>
    <w:bookmarkEnd w:id="38"/>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6"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 and</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Afrezza or our product candidates may be rendered obsolete by rapid technological change.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jc w:val="both"/>
        <w:ind w:left="1040" w:right="40" w:hanging="519"/>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1"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9" w:name="page40"/>
    <w:bookmarkEnd w:id="39"/>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 and</w:t>
      </w:r>
    </w:p>
    <w:p>
      <w:pPr>
        <w:spacing w:after="0" w:line="130"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commercial manufacture of Afrezza, we need access to sufficient, reliable and affordable supplies of insulin, our Afrezza inhaler, the related cartridges and other materials. Currently, the only source of insulin that we have qualified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9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 packs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88"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51"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degree of market acceptance of Afrezza and other products that we may develop in the future depends on many factors, including the:</w:t>
      </w:r>
    </w:p>
    <w:p>
      <w:pPr>
        <w:spacing w:after="0" w:line="117"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30"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30"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payors, regarding the safety, efficacy and benefits compared to competing products or therapies;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September 2018, CMS announced that it will allow Medicare Advantage Plans the option to use step therapy for Part B drugs beginning January 1, 2019. In addition, on January 31, 2019, the United States Department of Health and Human Services Office of Inspector General, proposed modifications to the federal Anti-Kickback Statute discount safe harbor for the purpose of reducing the cost of drugs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will require additional authorization to become effective, Congress and the Trump administration have stated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t>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in many foreign countries,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PPACA of importance to us are the following:</w:t>
      </w:r>
    </w:p>
    <w:p>
      <w:pPr>
        <w:spacing w:after="0" w:line="99" w:lineRule="exact"/>
        <w:rPr>
          <w:sz w:val="20"/>
          <w:szCs w:val="20"/>
          <w:color w:val="auto"/>
        </w:rPr>
      </w:pPr>
    </w:p>
    <w:p>
      <w:pPr>
        <w:ind w:left="1040" w:right="26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auto"/>
        </w:rPr>
      </w:pPr>
    </w:p>
    <w:p>
      <w:pPr>
        <w:jc w:val="both"/>
        <w:ind w:left="1040" w:right="42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medical device excise tax on certain transactions, including many U.S. sales of medical devices, which currently includes and we expect will continue to include U.S. sales of certain drug-device combination products, which has been suspended for calendar years 2016 through 2019;</w:t>
      </w:r>
    </w:p>
    <w:p>
      <w:pPr>
        <w:spacing w:after="0" w:line="81"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biological products;</w:t>
      </w:r>
    </w:p>
    <w:p>
      <w:pPr>
        <w:spacing w:after="0" w:line="130" w:lineRule="exact"/>
        <w:rPr>
          <w:rFonts w:ascii="Times New Roman" w:cs="Times New Roman" w:eastAsia="Times New Roman" w:hAnsi="Times New Roman"/>
          <w:sz w:val="18"/>
          <w:szCs w:val="18"/>
          <w:color w:val="auto"/>
        </w:rPr>
      </w:pPr>
    </w:p>
    <w:p>
      <w:pPr>
        <w:ind w:left="1040" w:right="70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federal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1040" w:right="6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now offer 70%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jc w:val="both"/>
        <w:ind w:left="1040" w:right="62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8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left="1040" w:right="40" w:hanging="519"/>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8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certain manufacturers and authorized distributors provide to physicians; and</w:t>
      </w:r>
    </w:p>
    <w:p>
      <w:pPr>
        <w:spacing w:after="0" w:line="130"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of the provisions of the PPACA have yet to be fully implemented, while certain provisions have been subject to judicial and congressional challenges, as well as efforts by the Trump administration to repeal or replace certain aspects of the PPACA.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PPACA, effective January 1, 2019, to close the coverage gap in most Medicare drug plans.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PPACA will impact the PPACA and our business.</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BBA, will stay in effect through 2027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 w:name="page44"/>
    <w:bookmarkEnd w:id="43"/>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6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72" w:lineRule="exact"/>
        <w:rPr>
          <w:sz w:val="20"/>
          <w:szCs w:val="20"/>
          <w:color w:val="auto"/>
        </w:rPr>
      </w:pPr>
    </w:p>
    <w:p>
      <w:pPr>
        <w:ind w:left="1040" w:right="80" w:hanging="519"/>
        <w:spacing w:after="0" w:line="25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93" w:lineRule="exact"/>
        <w:rPr>
          <w:rFonts w:ascii="Times New Roman" w:cs="Times New Roman" w:eastAsia="Times New Roman" w:hAnsi="Times New Roman"/>
          <w:sz w:val="18"/>
          <w:szCs w:val="18"/>
          <w:color w:val="auto"/>
        </w:rPr>
      </w:pPr>
    </w:p>
    <w:p>
      <w:pPr>
        <w:ind w:left="1040" w:right="60" w:hanging="519"/>
        <w:spacing w:after="0" w:line="25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93" w:lineRule="exact"/>
        <w:rPr>
          <w:rFonts w:ascii="Times New Roman" w:cs="Times New Roman" w:eastAsia="Times New Roman" w:hAnsi="Times New Roman"/>
          <w:sz w:val="18"/>
          <w:szCs w:val="18"/>
          <w:color w:val="auto"/>
        </w:rPr>
      </w:pPr>
    </w:p>
    <w:p>
      <w:pPr>
        <w:ind w:left="1040" w:right="40" w:hanging="519"/>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81" w:lineRule="exact"/>
        <w:rPr>
          <w:rFonts w:ascii="Times New Roman" w:cs="Times New Roman" w:eastAsia="Times New Roman" w:hAnsi="Times New Roman"/>
          <w:sz w:val="18"/>
          <w:szCs w:val="18"/>
          <w:color w:val="auto"/>
        </w:rPr>
      </w:pPr>
    </w:p>
    <w:p>
      <w:pPr>
        <w:ind w:left="1040" w:hanging="519"/>
        <w:spacing w:after="0" w:line="255"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w:t>
      </w:r>
    </w:p>
    <w:p>
      <w:pPr>
        <w:spacing w:after="0" w:line="2" w:lineRule="exact"/>
        <w:rPr>
          <w:rFonts w:ascii="Times New Roman" w:cs="Times New Roman" w:eastAsia="Times New Roman" w:hAnsi="Times New Roman"/>
          <w:sz w:val="18"/>
          <w:szCs w:val="18"/>
          <w:color w:val="auto"/>
        </w:rPr>
      </w:pPr>
    </w:p>
    <w:p>
      <w:pPr>
        <w:ind w:left="104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92" w:lineRule="exact"/>
        <w:rPr>
          <w:rFonts w:ascii="Times New Roman" w:cs="Times New Roman" w:eastAsia="Times New Roman" w:hAnsi="Times New Roman"/>
          <w:sz w:val="18"/>
          <w:szCs w:val="18"/>
          <w:color w:val="auto"/>
        </w:rPr>
      </w:pPr>
    </w:p>
    <w:p>
      <w:pPr>
        <w:ind w:left="1040" w:hanging="519"/>
        <w:spacing w:after="0" w:line="255"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recently enacted legislation that has been dubbed the first “GDPR-like” law in the United States. Known as the California Consumer Privacy Act (“CCPA”), it will create new individual privacy rights for consumers (as that word is broadly defined in the law) and place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will likely impact (possibly significantly) our business activities and exemplifies the vulnerability of our business to not only cyber threats but also the evolving regulatory environment related to personal data;</w:t>
      </w:r>
    </w:p>
    <w:p>
      <w:pPr>
        <w:spacing w:after="0" w:line="90" w:lineRule="exact"/>
        <w:rPr>
          <w:rFonts w:ascii="Times New Roman" w:cs="Times New Roman" w:eastAsia="Times New Roman" w:hAnsi="Times New Roman"/>
          <w:sz w:val="18"/>
          <w:szCs w:val="18"/>
          <w:color w:val="auto"/>
        </w:rPr>
      </w:pPr>
    </w:p>
    <w:p>
      <w:pPr>
        <w:ind w:left="1040" w:right="180" w:hanging="519"/>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85" w:lineRule="exact"/>
        <w:rPr>
          <w:rFonts w:ascii="Times New Roman" w:cs="Times New Roman" w:eastAsia="Times New Roman" w:hAnsi="Times New Roman"/>
          <w:sz w:val="18"/>
          <w:szCs w:val="18"/>
          <w:color w:val="auto"/>
        </w:rPr>
      </w:pPr>
    </w:p>
    <w:p>
      <w:pPr>
        <w:ind w:left="1040" w:right="120" w:hanging="519"/>
        <w:spacing w:after="0" w:line="255"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4" w:name="page45"/>
    <w:bookmarkEnd w:id="44"/>
    <w:p>
      <w:pPr>
        <w:ind w:right="40"/>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including those related to revenue recognition, may harm our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the Financial Accounting Standards Board (“FASB”), either alone or jointly with other organizations, promulgates new accounting principles that could have an adverse impact on our financial position, results of operations or reported cash flows. In May 2014, the FASB issued Accounting Standards Update (ASU) No. 2014-09, Revenue </w:t>
      </w:r>
      <w:r>
        <w:rPr>
          <w:rFonts w:ascii="Times New Roman" w:cs="Times New Roman" w:eastAsia="Times New Roman" w:hAnsi="Times New Roman"/>
          <w:sz w:val="18"/>
          <w:szCs w:val="18"/>
          <w:i w:val="1"/>
          <w:iCs w:val="1"/>
          <w:color w:val="auto"/>
        </w:rPr>
        <w:t>from Contracts with Customers (Topic 606)</w:t>
      </w:r>
      <w:r>
        <w:rPr>
          <w:rFonts w:ascii="Times New Roman" w:cs="Times New Roman" w:eastAsia="Times New Roman" w:hAnsi="Times New Roman"/>
          <w:sz w:val="18"/>
          <w:szCs w:val="18"/>
          <w:color w:val="auto"/>
        </w:rPr>
        <w:t>, which was subsequently clarified by additional ASUs. The standard requires a company to recognize revenue to depict the transfer of goods or services when transferred to customers in the amount that reflects the consideration it expects to be entitled to receive in exchange for those goods or services. We adopted the new standard for the year beginning January 1, 2018.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2018 we had federal and state net operating loss carryforwards of $2.1 billion and $2.4 billion, respectively, which we assess annually. The federal and state net operating loss carryforwards have begun to expire.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the net operating loss carryforwards and other tax attributes, and no additional changes in ownership that met Section 382 study ownership change threshold has been identified through December 31, 2018. There is a risk that changes in ownership can and may occur in tax years after December 31, 2018. If a change in ownership were to occur,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w:t>
      </w:r>
    </w:p>
    <w:p>
      <w:pPr>
        <w:spacing w:after="0" w:line="30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7" w:name="page48"/>
    <w:bookmarkEnd w:id="47"/>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has appealed this ruling, and following an oral hearing before the Supreme Court of Israel, has decided to withdraw his appeal. Subsequently, in November 2018, we filed a motion to dismiss the certification motion. At a case conference in February 2019, the court directed the parties to negotiate a procedure for determining whether the plaintiff can distinguish the claims in the Israeli litigation from those in a U.S. case against us based on the same events (which was dismissed by the U.S. district court for the Central District of California in August 2016).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that at least for the foreseeable future, our manufacturing facility in Danbury, Connecticut will be the sole location for the manufacturing of Afrezza. It will also serve as the initial production facility for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systems, infrastructure and data security.</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303"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w:t>
      </w:r>
    </w:p>
    <w:p>
      <w:pPr>
        <w:spacing w:after="0" w:line="2"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 For example, with the approval of Afrezza, the FDA has required a five-year, randomized, controlled trial with type 2 diabetes, the primary objective of which is to compare the incidence of pulmonary malignancy observed with Afrezza to that observed in a standard of care control group. To date, we have not enrolled any subjects in this trial.</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0" w:name="page51"/>
    <w:bookmarkEnd w:id="50"/>
    <w:p>
      <w:pPr>
        <w:ind w:right="160"/>
        <w:spacing w:after="0" w:line="256" w:lineRule="auto"/>
        <w:rPr>
          <w:sz w:val="20"/>
          <w:szCs w:val="20"/>
          <w:color w:val="auto"/>
        </w:rPr>
      </w:pPr>
      <w:r>
        <w:rPr>
          <w:rFonts w:ascii="Times New Roman" w:cs="Times New Roman" w:eastAsia="Times New Roman" w:hAnsi="Times New Roman"/>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80" w:lineRule="exact"/>
        <w:rPr>
          <w:sz w:val="20"/>
          <w:szCs w:val="20"/>
          <w:color w:val="auto"/>
        </w:rPr>
      </w:pPr>
    </w:p>
    <w:p>
      <w:pPr>
        <w:ind w:left="104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700"/>
        <w:spacing w:after="0" w:line="257"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initially inactivated all Afrezza social media accounts (including Facebook, Instagram and Twitter) then, after consultation with OPDP, placed a corrective post on Facebook and Instagram.</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suppliers are subject to FDA inspection.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8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2" w:name="page53"/>
    <w:bookmarkEnd w:id="52"/>
    <w:p>
      <w:pPr>
        <w:ind w:right="40"/>
        <w:spacing w:after="0" w:line="255"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3" w:name="page54"/>
    <w:bookmarkEnd w:id="53"/>
    <w:p>
      <w:pPr>
        <w:ind w:right="20"/>
        <w:spacing w:after="0" w:line="255" w:lineRule="auto"/>
        <w:rPr>
          <w:sz w:val="20"/>
          <w:szCs w:val="20"/>
          <w:color w:val="auto"/>
        </w:rPr>
      </w:pPr>
      <w:r>
        <w:rPr>
          <w:rFonts w:ascii="Times New Roman" w:cs="Times New Roman" w:eastAsia="Times New Roman" w:hAnsi="Times New Roman"/>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4" w:name="page55"/>
    <w:bookmarkEnd w:id="5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future, we may sell additional shares of our common stock to raise capital. In addition, a substantial number of shares of our common stock is reserved for: issuance upon the exercise of stock options and the vesting of restricted stock unit awards and the purchase of shares of common stock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may affect the market price of our common stock and other securities.*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Between January 1, 2016 and March 31, 2019, our closing stock price as reported on The Nasdaq Global Market has ranged from $0.71 to $10.80, adjusted for the 1-for-5 reverse stock split that occurred during this period.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4" w:lineRule="exact"/>
        <w:rPr>
          <w:sz w:val="20"/>
          <w:szCs w:val="20"/>
          <w:color w:val="auto"/>
        </w:rPr>
      </w:pPr>
    </w:p>
    <w:p>
      <w:pPr>
        <w:ind w:left="104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Afrezza outside of the United States and to find collaboration partners for the commercialization of Afrezza in foreign jurisdictions;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estimates of Afrezza sales, prescriptions or other operating metrics;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 (in addition to Afrezza) based on our Technosphere drug delivery platform;</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preclinical and clinical studies of our product candidates and of post-approval studies of Afrezza required by the FDA;</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and clinical studies of our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especially for emerging growth and pharmaceutical market sectors;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30"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Afrezza or other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55" w:name="page56"/>
    <w:bookmarkEnd w:id="55"/>
    <w:p>
      <w:pPr>
        <w:ind w:left="1040" w:right="36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30" w:lineRule="exact"/>
        <w:rPr>
          <w:rFonts w:ascii="Times New Roman" w:cs="Times New Roman" w:eastAsia="Times New Roman" w:hAnsi="Times New Roman"/>
          <w:sz w:val="18"/>
          <w:szCs w:val="18"/>
          <w:color w:val="auto"/>
        </w:rPr>
      </w:pPr>
    </w:p>
    <w:p>
      <w:pPr>
        <w:ind w:left="1040" w:right="200" w:hanging="519"/>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April 15, 2019, we had 187,782,578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senior convertible notes or notes payable to related party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329" w:lineRule="exact"/>
        <w:rPr>
          <w:sz w:val="20"/>
          <w:szCs w:val="20"/>
          <w:color w:val="auto"/>
        </w:rPr>
      </w:pPr>
    </w:p>
    <w:p>
      <w:pPr>
        <w:ind w:right="4300"/>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980" w:type="dxa"/>
            <w:vAlign w:val="bottom"/>
            <w:gridSpan w:val="2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80" w:type="dxa"/>
            <w:vAlign w:val="bottom"/>
            <w:gridSpan w:val="26"/>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160" w:type="dxa"/>
            <w:vAlign w:val="bottom"/>
            <w:tcBorders>
              <w:top w:val="single" w:sz="8" w:color="auto"/>
              <w:bottom w:val="single" w:sz="8" w:color="0000EE"/>
            </w:tcBorders>
            <w:gridSpan w:val="30"/>
          </w:tcPr>
          <w:p>
            <w:pPr>
              <w:spacing w:after="0"/>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Amended and Restated Certificate of Incorporation (incorporated by reference to Exhibit 3.1 to MannKind’s Quarterly Report on Form 10-Q</w:t>
              </w:r>
            </w:hyperlink>
          </w:p>
        </w:tc>
        <w:tc>
          <w:tcPr>
            <w:tcW w:w="320" w:type="dxa"/>
            <w:vAlign w:val="bottom"/>
            <w:tcBorders>
              <w:top w:val="single" w:sz="8" w:color="auto"/>
            </w:tcBorders>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(File No. 000-50865), filed with the SEC on August 9, 2016).</w:t>
              </w:r>
            </w:hyperlink>
          </w:p>
        </w:tc>
        <w:tc>
          <w:tcPr>
            <w:tcW w:w="604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w:t>
              </w:r>
            </w:hyperlink>
          </w:p>
        </w:tc>
        <w:tc>
          <w:tcPr>
            <w:tcW w:w="5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Exhibit 3.1 to MannKind’s Current Report on Form 8-K (File No. 000-50865), filed with the SEC on March 2, 2017).</w:t>
              </w:r>
            </w:hyperlink>
          </w:p>
        </w:tc>
        <w:tc>
          <w:tcPr>
            <w:tcW w:w="20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Amendment of Amended and Restated Certificate of Incorporation of MannKind Corporation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MannKind’s Current Report on Form 8-K (File No. 000-50865), filed with the SEC on December 13,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104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Amended and Restated Bylaws (incorporated by reference to MannKind’s Current Report on Form 8-K (File No. 000-50865), filed with the SEC</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on November 19, 2007).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480" w:type="dxa"/>
            <w:vAlign w:val="bottom"/>
            <w:gridSpan w:val="3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79">
              <w:r>
                <w:rPr>
                  <w:rFonts w:ascii="Times New Roman" w:cs="Times New Roman" w:eastAsia="Times New Roman" w:hAnsi="Times New Roman"/>
                  <w:sz w:val="18"/>
                  <w:szCs w:val="18"/>
                  <w:color w:val="0000EE"/>
                </w:rPr>
                <w:t>3.1</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0000EE"/>
                </w:rPr>
                <w:t>3.2</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0000EE"/>
                </w:rPr>
                <w:t>3.3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82">
              <w:r>
                <w:rPr>
                  <w:rFonts w:ascii="Times New Roman" w:cs="Times New Roman" w:eastAsia="Times New Roman" w:hAnsi="Times New Roman"/>
                  <w:sz w:val="18"/>
                  <w:szCs w:val="18"/>
                  <w:color w:val="0000EE"/>
                </w:rPr>
                <w:t>3.4</w:t>
              </w:r>
            </w:hyperlink>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38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Form of common stock certificate (incorporated by reference to Exhibit 4.2 to MannKind’s Annual Report on Form 10-K (File No. 000-50865),</w:t>
              </w:r>
            </w:hyperlink>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filed with the SEC on March 16, 2017).</w:t>
              </w:r>
            </w:hyperlink>
          </w:p>
        </w:tc>
        <w:tc>
          <w:tcPr>
            <w:tcW w:w="762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480" w:type="dxa"/>
            <w:vAlign w:val="bottom"/>
            <w:tcBorders>
              <w:bottom w:val="single" w:sz="8" w:color="0000EE"/>
            </w:tcBorders>
            <w:gridSpan w:val="39"/>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9.75% Senior Secured Convertible Promissory Note due 2019 (incorporated by reference Exhibit 99.2 to MannKind’s Current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8-K (File No. 000-50865), filed with the SEC on July 1, 2013).</w:t>
              </w:r>
            </w:hyperlink>
          </w:p>
        </w:tc>
        <w:tc>
          <w:tcPr>
            <w:tcW w:w="550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0480" w:type="dxa"/>
            <w:vAlign w:val="bottom"/>
            <w:gridSpan w:val="39"/>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Amended and Restated 9.75% Senior Secured Convertible Promissory Note due 2019 (incorporated by reference to Exhibit 4.7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MannKind’s Annual Report on Form 10-K (File No. 000-50865), filed with the SEC on March 3, 2014).</w:t>
              </w:r>
            </w:hyperlink>
          </w:p>
        </w:tc>
        <w:tc>
          <w:tcPr>
            <w:tcW w:w="2460" w:type="dxa"/>
            <w:vAlign w:val="bottom"/>
            <w:tcBorders>
              <w:top w:val="single" w:sz="8" w:color="0000EE"/>
            </w:tcBorders>
            <w:gridSpan w:val="8"/>
          </w:tcPr>
          <w:p>
            <w:pPr>
              <w:spacing w:after="0"/>
              <w:rPr>
                <w:sz w:val="17"/>
                <w:szCs w:val="17"/>
                <w:color w:val="auto"/>
              </w:rPr>
            </w:pPr>
          </w:p>
        </w:tc>
        <w:tc>
          <w:tcPr>
            <w:tcW w:w="5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10480" w:type="dxa"/>
            <w:vAlign w:val="bottom"/>
            <w:gridSpan w:val="39"/>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Tranche B Senior Secured Note due 2019 (incorporated by reference to Exhibit 4.8 to MannKind’s Quarterly Report on Form 10-Q (File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No. 000-50856), filed with the SEC on May 12, 2014).</w:t>
              </w:r>
            </w:hyperlink>
          </w:p>
        </w:tc>
        <w:tc>
          <w:tcPr>
            <w:tcW w:w="6500" w:type="dxa"/>
            <w:vAlign w:val="bottom"/>
            <w:tcBorders>
              <w:top w:val="single" w:sz="8" w:color="0000EE"/>
            </w:tcBorders>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102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Milestone Rights Purchase Agreement, dated as of July 1, 2013, by and among MannKind, Deerfield Private Design Fund II, L.P. and Horizon</w:t>
              </w:r>
            </w:hyperlink>
          </w:p>
        </w:tc>
        <w:tc>
          <w:tcPr>
            <w:tcW w:w="2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Santé FLML SÁRL (incorporated by reference to Exhibit 99.3 to MannKind’s Current Report on Form 8-K (File No. 000-50865), filed with the</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SEC on July 1, 2013).</w:t>
              </w:r>
            </w:hyperlink>
          </w:p>
        </w:tc>
        <w:tc>
          <w:tcPr>
            <w:tcW w:w="8880" w:type="dxa"/>
            <w:vAlign w:val="bottom"/>
            <w:gridSpan w:val="3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1034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Guaranty and Security Agreement, dated as of July 1, 2013, by and among MannKind, MannKind LLC, Deerfield Private Design Fund II, L.P.,</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Deerfield Private Design International II, L.P. and Horizon Santé FLML SÁRL (incorporated by reference to Exhibit 99.4 to MannKind’s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Current Report on Form 8-K (File No. 000-50865), filed with the SEC on July 1, 2013).</w:t>
              </w:r>
            </w:hyperlink>
          </w:p>
        </w:tc>
        <w:tc>
          <w:tcPr>
            <w:tcW w:w="3560" w:type="dxa"/>
            <w:vAlign w:val="bottom"/>
            <w:tcBorders>
              <w:top w:val="single" w:sz="8" w:color="0000EE"/>
            </w:tcBorders>
            <w:gridSpan w:val="8"/>
          </w:tcPr>
          <w:p>
            <w:pPr>
              <w:spacing w:after="0"/>
              <w:rPr>
                <w:sz w:val="17"/>
                <w:szCs w:val="17"/>
                <w:color w:val="auto"/>
              </w:rPr>
            </w:pPr>
          </w:p>
        </w:tc>
        <w:tc>
          <w:tcPr>
            <w:tcW w:w="5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104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Facility Agreement, dated as of July 1, 2013, by and among MannKind Corporation, Deerfield Private Design Fund II, L.P. and Deerfield Private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Design International II, L.P. (incorporated by reference to Exhibit 99.1 MannKind’s Current Report on Form 8-K (File No. 000-50865),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with the SEC on July 1, 2013).</w:t>
              </w:r>
            </w:hyperlink>
          </w:p>
        </w:tc>
        <w:tc>
          <w:tcPr>
            <w:tcW w:w="7920" w:type="dxa"/>
            <w:vAlign w:val="bottom"/>
            <w:tcBorders>
              <w:top w:val="single" w:sz="8" w:color="0000EE"/>
            </w:tcBorders>
            <w:gridSpan w:val="26"/>
          </w:tcPr>
          <w:p>
            <w:pPr>
              <w:spacing w:after="0"/>
              <w:rPr>
                <w:sz w:val="17"/>
                <w:szCs w:val="17"/>
                <w:color w:val="auto"/>
              </w:rPr>
            </w:pPr>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10480" w:type="dxa"/>
            <w:vAlign w:val="bottom"/>
            <w:gridSpan w:val="39"/>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First Amendment to Facility Agreement and Registration Rights Agreement, dated as of February 28, 2014, by and among MannKind, Deerfield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2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Private Design Fund II, L.P. and Deerfield Private Design International II, L.P. (incorporated by reference to Exhibit 10.39 to MannKind’s</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Annual Report on Form 10-K (File No. 000-50865), filed with the SEC on March 3, 2014).</w:t>
              </w:r>
            </w:hyperlink>
          </w:p>
        </w:tc>
        <w:tc>
          <w:tcPr>
            <w:tcW w:w="3360" w:type="dxa"/>
            <w:vAlign w:val="bottom"/>
            <w:tcBorders>
              <w:top w:val="single" w:sz="8" w:color="0000EE"/>
            </w:tcBorders>
            <w:gridSpan w:val="8"/>
          </w:tcPr>
          <w:p>
            <w:pPr>
              <w:spacing w:after="0"/>
              <w:rPr>
                <w:sz w:val="17"/>
                <w:szCs w:val="17"/>
                <w:color w:val="auto"/>
              </w:rPr>
            </w:pPr>
          </w:p>
        </w:tc>
        <w:tc>
          <w:tcPr>
            <w:tcW w:w="5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4"/>
                <w:szCs w:val="24"/>
                <w:color w:val="auto"/>
              </w:rPr>
            </w:pPr>
          </w:p>
        </w:tc>
        <w:tc>
          <w:tcPr>
            <w:tcW w:w="10480" w:type="dxa"/>
            <w:vAlign w:val="bottom"/>
            <w:gridSpan w:val="39"/>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Second Amendment to Facility Agreement and Registration Rights Agreement, dated as of August 11, 2014, by and among MannKind,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Deerfield Private Design Fund II, L.P. and Deerfield Private Design International II, L.P. (incorporated by reference to Exhibit 4.14 to</w:t>
              </w:r>
            </w:hyperlink>
          </w:p>
        </w:tc>
        <w:tc>
          <w:tcPr>
            <w:tcW w:w="120" w:type="dxa"/>
            <w:vAlign w:val="bottom"/>
            <w:tcBorders>
              <w:top w:val="single" w:sz="8" w:color="0000EE"/>
            </w:tcBorders>
          </w:tcPr>
          <w:p>
            <w:pPr>
              <w:spacing w:after="0"/>
              <w:rPr>
                <w:sz w:val="17"/>
                <w:szCs w:val="17"/>
                <w:color w:val="auto"/>
              </w:rPr>
            </w:pPr>
          </w:p>
        </w:tc>
        <w:tc>
          <w:tcPr>
            <w:tcW w:w="7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MannKind’s Quarterly Report on Form 10-Q (File No. 000-50865), filed with the SEC on November 10, 2014).</w:t>
              </w:r>
            </w:hyperlink>
          </w:p>
        </w:tc>
        <w:tc>
          <w:tcPr>
            <w:tcW w:w="24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24"/>
                <w:szCs w:val="24"/>
                <w:color w:val="auto"/>
              </w:rPr>
            </w:pPr>
          </w:p>
        </w:tc>
        <w:tc>
          <w:tcPr>
            <w:tcW w:w="100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Exchange and Third Amendment to Facility Agreement, dated June 29, 2017 by and among MannKind, MannKind LLC, Deerfield Private</w:t>
              </w:r>
            </w:hyperlink>
          </w:p>
        </w:tc>
        <w:tc>
          <w:tcPr>
            <w:tcW w:w="4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Design Fund II, L.P. and Deerfield Private Design International II, L.P. (incorporated by reference to Exhibit 99.2 to MannKind’s Current Report</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on Form 8-K (File No. 000-50865), filed with the SEC on June 29,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92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4"/>
                <w:szCs w:val="24"/>
                <w:color w:val="auto"/>
              </w:rPr>
            </w:pPr>
          </w:p>
        </w:tc>
        <w:tc>
          <w:tcPr>
            <w:tcW w:w="10480" w:type="dxa"/>
            <w:vAlign w:val="bottom"/>
            <w:gridSpan w:val="39"/>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Fourth Amendment to Facility Agreement, dated October 23, 2017 by and among MannKind, MannKind LLC, Deerfield Private Design Fund II,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L.P. and Deerfield Private Design International II, L.P. (incorporated by reference to Exhibit 99.1 to MannKind’s Current Report on Form 8-K</w:t>
              </w:r>
            </w:hyperlink>
          </w:p>
        </w:tc>
        <w:tc>
          <w:tcPr>
            <w:tcW w:w="2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(File No. 000-50865), filed with the SEC on October 23,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1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70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4"/>
                <w:szCs w:val="24"/>
                <w:color w:val="auto"/>
              </w:rPr>
            </w:pPr>
          </w:p>
        </w:tc>
        <w:tc>
          <w:tcPr>
            <w:tcW w:w="103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Fifth Amendment to Facility Agreement, dated January 15, 2018 by and among MannKind, MannKind LLC, Deerfield Private Design Fund II,</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3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L.P., and Deerfield Private Design International II, L.P. (incorporated by reference to Exhibit 99.1 to MannKind’s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(File No. 000-50865), filed with the SEC on January 19, 2018.</w:t>
              </w:r>
            </w:hyperlink>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top w:val="single" w:sz="8" w:color="0000EE"/>
            </w:tcBorders>
            <w:gridSpan w:val="13"/>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740" w:type="dxa"/>
            <w:vAlign w:val="bottom"/>
            <w:gridSpan w:val="25"/>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74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24"/>
                <w:szCs w:val="24"/>
                <w:color w:val="auto"/>
              </w:rPr>
            </w:pPr>
          </w:p>
        </w:tc>
        <w:tc>
          <w:tcPr>
            <w:tcW w:w="10480" w:type="dxa"/>
            <w:vAlign w:val="bottom"/>
            <w:tcBorders>
              <w:top w:val="single" w:sz="8" w:color="auto"/>
            </w:tcBorders>
            <w:gridSpan w:val="27"/>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Exchange and Sixth Amendment to Facility Agreement, dated January 18, 2018 by and among MannKind, MannKind LLC, Deerfield Private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Design Fund II, L.P., and Deerfield Private Design International II, L.P. (incorporated by reference to Exhibit 99.2 to MannKind’s Current Report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on Form 8-K (File No. 000-50865), filed with the SEC on January 19, 2018.</w:t>
              </w:r>
            </w:hyperlink>
          </w:p>
        </w:tc>
        <w:tc>
          <w:tcPr>
            <w:tcW w:w="49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4"/>
                <w:szCs w:val="24"/>
                <w:color w:val="auto"/>
              </w:rPr>
            </w:pPr>
          </w:p>
        </w:tc>
        <w:tc>
          <w:tcPr>
            <w:tcW w:w="101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Exchange and Seventh Amendment to Facility Agreement, dated June 8, 2018 by and among MannKind, MannKind LLC, Deerfield Private</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Design Fund II, L.P. and Deerfield Private Design International II, L.P. (incorporated by reference to Exhibit 99.1 to MannKind’s Current Report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on Form 8-K (File No. 000-50865), filed with the SEC on June 11, 2018).</w:t>
              </w:r>
            </w:hyperlink>
          </w:p>
        </w:tc>
        <w:tc>
          <w:tcPr>
            <w:tcW w:w="51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4"/>
                <w:szCs w:val="24"/>
                <w:color w:val="auto"/>
              </w:rPr>
            </w:pPr>
          </w:p>
        </w:tc>
        <w:tc>
          <w:tcPr>
            <w:tcW w:w="10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Exchange and Eighth Amendment to Facility Agreement, dated July 12, 2018 by and among MannKind, MannKind LLC, Deerfield Private</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Design Fund II, L.P. and Deerfield Private Design International II, L.P. (incorporated by reference to Exhibit 99.1 to MannKind’s Current Report</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on Form 8-K (File No. 000-50865), filed with the SEC on July 13, 2018).</w:t>
              </w:r>
            </w:hyperlink>
          </w:p>
        </w:tc>
        <w:tc>
          <w:tcPr>
            <w:tcW w:w="51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24"/>
                <w:szCs w:val="24"/>
                <w:color w:val="auto"/>
              </w:rPr>
            </w:pPr>
          </w:p>
        </w:tc>
        <w:tc>
          <w:tcPr>
            <w:tcW w:w="10480" w:type="dxa"/>
            <w:vAlign w:val="bottom"/>
            <w:gridSpan w:val="2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Ninth Amendment to Facility Agreement, dated September 5, 2018 by and among MannKind, MannKind LLC, Deerfield Private Design Fund</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2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II, L.P. and Deerfield Private Design International II, L.P. (incorporated by reference to Exhibit 99.1 to MannKind’s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(File No. 000-50865), filed with the SEC on September 5, 2018).</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4"/>
                <w:szCs w:val="24"/>
                <w:color w:val="auto"/>
              </w:rPr>
            </w:pPr>
          </w:p>
        </w:tc>
        <w:tc>
          <w:tcPr>
            <w:tcW w:w="103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Tenth Amendment to Facility Agreement, dated September 26, 2018 by and among MannKind, MannKind LLC, Deerfield Private Design Fund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2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II, L.P. and Deerfield Private Design International II, L.P. (incorporated by reference to Exhibit 99.1 to MannKind’s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(File No. 000-50865), filed with the SEC on September 27, 2018).</w:t>
              </w:r>
            </w:hyperlink>
          </w:p>
        </w:tc>
        <w:tc>
          <w:tcPr>
            <w:tcW w:w="5660" w:type="dxa"/>
            <w:vAlign w:val="bottom"/>
            <w:tcBorders>
              <w:top w:val="single" w:sz="8" w:color="0000EE"/>
            </w:tcBorders>
            <w:gridSpan w:val="2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24"/>
                <w:szCs w:val="24"/>
                <w:color w:val="auto"/>
              </w:rPr>
            </w:pPr>
          </w:p>
        </w:tc>
        <w:tc>
          <w:tcPr>
            <w:tcW w:w="103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Indenture, by and between MannKind and U.S. Bank (dated October 30, 2017 (incorporated by reference to Exhibit 4.1 to MannKind’s Current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Report on Form 8-K (File No. 000-50865), filed with the SEC on October 30, 2017).</w:t>
              </w:r>
            </w:hyperlink>
          </w:p>
        </w:tc>
        <w:tc>
          <w:tcPr>
            <w:tcW w:w="43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24"/>
                <w:szCs w:val="24"/>
                <w:color w:val="auto"/>
              </w:rPr>
            </w:pPr>
          </w:p>
        </w:tc>
        <w:tc>
          <w:tcPr>
            <w:tcW w:w="10480" w:type="dxa"/>
            <w:vAlign w:val="bottom"/>
            <w:gridSpan w:val="2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5.75% Convertible Senior Subordinated Exchange Note due 2021 (incorporated by reference to Exhibit A of Exhibit 4.1 to MannKind’s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Current Report on Form 8-K (File No. 000-50865), filed with the SEC on October 30, 2017).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24"/>
                <w:szCs w:val="24"/>
                <w:color w:val="auto"/>
              </w:rPr>
            </w:pPr>
          </w:p>
        </w:tc>
        <w:tc>
          <w:tcPr>
            <w:tcW w:w="10480" w:type="dxa"/>
            <w:vAlign w:val="bottom"/>
            <w:gridSpan w:val="27"/>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Warrant to Purchase Common Stock issued November 16, 2015 (incorporated by reference to Exhibit 4.17 to MannKind’s Annual</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Report on Form 10-K (File No. 000-50865), filed with the SEC on March 15, 2016).</w:t>
              </w:r>
            </w:hyperlink>
          </w:p>
        </w:tc>
        <w:tc>
          <w:tcPr>
            <w:tcW w:w="3880" w:type="dxa"/>
            <w:vAlign w:val="bottom"/>
            <w:tcBorders>
              <w:top w:val="single" w:sz="8" w:color="0000EE"/>
            </w:tcBorders>
            <w:gridSpan w:val="5"/>
          </w:tcPr>
          <w:p>
            <w:pPr>
              <w:spacing w:after="0"/>
              <w:rPr>
                <w:sz w:val="17"/>
                <w:szCs w:val="17"/>
                <w:color w:val="auto"/>
              </w:rPr>
            </w:pPr>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24"/>
                <w:szCs w:val="24"/>
                <w:color w:val="auto"/>
              </w:rPr>
            </w:pPr>
          </w:p>
        </w:tc>
        <w:tc>
          <w:tcPr>
            <w:tcW w:w="10480" w:type="dxa"/>
            <w:vAlign w:val="bottom"/>
            <w:gridSpan w:val="27"/>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Promissory Note made by MannKind in favor of The Mann Group LLC, dated March 11, 2018 (incorporated by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reference to Exhibit 99.1 to MannKind’s Current Report on Form 8-K (File No. 000-50865), filed with the SEC on March 12, 2018).</w:t>
              </w:r>
            </w:hyperlink>
          </w:p>
        </w:tc>
        <w:tc>
          <w:tcPr>
            <w:tcW w:w="240" w:type="dxa"/>
            <w:vAlign w:val="bottom"/>
            <w:tcBorders>
              <w:top w:val="single" w:sz="8" w:color="0000EE"/>
            </w:tcBorders>
          </w:tcPr>
          <w:p>
            <w:pPr>
              <w:spacing w:after="0"/>
              <w:rPr>
                <w:sz w:val="17"/>
                <w:szCs w:val="17"/>
                <w:color w:val="auto"/>
              </w:rPr>
            </w:pPr>
          </w:p>
        </w:tc>
        <w:tc>
          <w:tcPr>
            <w:tcW w:w="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24"/>
                <w:szCs w:val="24"/>
                <w:color w:val="auto"/>
              </w:rPr>
            </w:pPr>
          </w:p>
        </w:tc>
        <w:tc>
          <w:tcPr>
            <w:tcW w:w="10480" w:type="dxa"/>
            <w:vAlign w:val="bottom"/>
            <w:gridSpan w:val="27"/>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Common Stock Purchase Warrant issued December 26, 2018 (incorporated by reference to Exhibit 4.1 to MannKind’s Current Report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on Form 8-K (File No. 000-50865), filed with the SEC on December 21, 2018).</w:t>
              </w:r>
            </w:hyperlink>
          </w:p>
        </w:tc>
        <w:tc>
          <w:tcPr>
            <w:tcW w:w="4540" w:type="dxa"/>
            <w:vAlign w:val="bottom"/>
            <w:tcBorders>
              <w:top w:val="single" w:sz="8" w:color="0000EE"/>
            </w:tcBorders>
            <w:gridSpan w:val="14"/>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4"/>
                <w:szCs w:val="24"/>
                <w:color w:val="auto"/>
              </w:rPr>
            </w:pPr>
          </w:p>
        </w:tc>
        <w:tc>
          <w:tcPr>
            <w:tcW w:w="1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Opinion of Cooley LLP.</w:t>
              </w:r>
            </w:hyperlink>
          </w:p>
        </w:tc>
        <w:tc>
          <w:tcPr>
            <w:tcW w:w="874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480" w:type="dxa"/>
            <w:vAlign w:val="bottom"/>
            <w:gridSpan w:val="27"/>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Certification of the Chief Executive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60" w:type="dxa"/>
            <w:vAlign w:val="bottom"/>
            <w:tcBorders>
              <w:top w:val="single" w:sz="8" w:color="0000EE"/>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Certification of the Chief Financial Officer pursuant to Rules 13a-14(a) and 15d-14(a) of the Securities Exchange Act of 1934, as amended.</w:t>
              </w:r>
            </w:hyperlink>
          </w:p>
        </w:tc>
        <w:tc>
          <w:tcPr>
            <w:tcW w:w="40" w:type="dxa"/>
            <w:vAlign w:val="bottom"/>
            <w:tcBorders>
              <w:top w:val="single" w:sz="8" w:color="0000EE"/>
            </w:tcBorders>
            <w:gridSpan w:val="2"/>
          </w:tcPr>
          <w:p>
            <w:pPr>
              <w:spacing w:after="0"/>
              <w:rPr>
                <w:sz w:val="24"/>
                <w:szCs w:val="24"/>
                <w:color w:val="auto"/>
              </w:rPr>
            </w:pPr>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480" w:type="dxa"/>
            <w:vAlign w:val="bottom"/>
            <w:gridSpan w:val="27"/>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Certification of the Chief Executive Officer pursuant to Rules 13a-14(b) and 15d-14(b) of the Securities Exchange Act of 1934, as amended and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Section 1350 of Chapter 63 of Title 18 of the United States Code (18 U.S.C. §1350).</w:t>
              </w:r>
            </w:hyperlink>
          </w:p>
        </w:tc>
        <w:tc>
          <w:tcPr>
            <w:tcW w:w="428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Certification of the Chief Financial Officer pursuant to Rules 13a-14(b) and 15d-14(b) of the Securities Exchange Act of 1934, as amended and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80" w:type="dxa"/>
            <w:vAlign w:val="bottom"/>
            <w:gridSpan w:val="27"/>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Section 1350 of Chapter 63 of Title 18 of the United States Code (18 U.S.C. §1350).</w:t>
              </w:r>
            </w:hyperlink>
          </w:p>
        </w:tc>
        <w:tc>
          <w:tcPr>
            <w:tcW w:w="0" w:type="dxa"/>
            <w:vAlign w:val="bottom"/>
          </w:tcPr>
          <w:p>
            <w:pPr>
              <w:spacing w:after="0"/>
              <w:rPr>
                <w:sz w:val="1"/>
                <w:szCs w:val="1"/>
                <w:color w:val="auto"/>
              </w:rPr>
            </w:pPr>
          </w:p>
        </w:tc>
      </w:tr>
      <w:tr>
        <w:trPr>
          <w:trHeight w:val="3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60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w:t>
            </w:r>
          </w:p>
        </w:tc>
        <w:tc>
          <w:tcPr>
            <w:tcW w:w="44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May 7, 2019</w:t>
      </w:r>
      <w:r>
        <w:rPr>
          <w:sz w:val="20"/>
          <w:szCs w:val="20"/>
          <w:color w:val="auto"/>
        </w:rPr>
        <w:tab/>
      </w:r>
      <w:r>
        <w:rPr>
          <w:rFonts w:ascii="Times New Roman" w:cs="Times New Roman" w:eastAsia="Times New Roman" w:hAnsi="Times New Roman"/>
          <w:sz w:val="17"/>
          <w:szCs w:val="17"/>
          <w:color w:val="auto"/>
        </w:rPr>
        <w:t>MANNKIND CORPORATION</w:t>
      </w:r>
    </w:p>
    <w:p>
      <w:pPr>
        <w:spacing w:after="0" w:line="252" w:lineRule="exact"/>
        <w:rPr>
          <w:sz w:val="20"/>
          <w:szCs w:val="20"/>
          <w:color w:val="auto"/>
        </w:rPr>
      </w:pPr>
    </w:p>
    <w:p>
      <w:pPr>
        <w:ind w:left="5940"/>
        <w:spacing w:after="0"/>
        <w:tabs>
          <w:tab w:leader="none" w:pos="6360" w:val="left"/>
        </w:tabs>
        <w:rPr>
          <w:sz w:val="20"/>
          <w:szCs w:val="20"/>
          <w:color w:val="auto"/>
        </w:rPr>
      </w:pPr>
      <w:r>
        <w:rPr>
          <w:rFonts w:ascii="Times New Roman" w:cs="Times New Roman" w:eastAsia="Times New Roman" w:hAnsi="Times New Roman"/>
          <w:sz w:val="18"/>
          <w:szCs w:val="18"/>
          <w:color w:val="auto"/>
        </w:rPr>
        <w:t>By:</w:t>
        <w:tab/>
        <w:t>/s/ MICHAEL E. CASTAGNA</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Executive</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ind w:left="5940"/>
        <w:spacing w:after="0"/>
        <w:tabs>
          <w:tab w:leader="none" w:pos="6360" w:val="left"/>
        </w:tabs>
        <w:rPr>
          <w:sz w:val="20"/>
          <w:szCs w:val="20"/>
          <w:color w:val="auto"/>
        </w:rPr>
      </w:pPr>
      <w:r>
        <w:rPr>
          <w:rFonts w:ascii="Times New Roman" w:cs="Times New Roman" w:eastAsia="Times New Roman" w:hAnsi="Times New Roman"/>
          <w:sz w:val="18"/>
          <w:szCs w:val="18"/>
          <w:color w:val="auto"/>
        </w:rPr>
        <w:t>By:</w:t>
        <w:tab/>
        <w:t>/s/ STEVEN B. BINDER</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and Accounting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333" w:right="27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66495" cy="377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Sean M. Clayton</w:t>
      </w:r>
    </w:p>
    <w:p>
      <w:pPr>
        <w:spacing w:after="0" w:line="28"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+1 858 550 6034</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sclayton@cooley.com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5.1</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May 7, 2019</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MannKind Corporation</w:t>
      </w:r>
    </w:p>
    <w:p>
      <w:pPr>
        <w:spacing w:after="0" w:line="238" w:lineRule="auto"/>
        <w:rPr>
          <w:sz w:val="20"/>
          <w:szCs w:val="20"/>
          <w:color w:val="auto"/>
        </w:rPr>
      </w:pPr>
      <w:r>
        <w:rPr>
          <w:rFonts w:ascii="Arial" w:cs="Arial" w:eastAsia="Arial" w:hAnsi="Arial"/>
          <w:sz w:val="20"/>
          <w:szCs w:val="20"/>
          <w:color w:val="auto"/>
        </w:rPr>
        <w:t>30930 Russell Ranch Road, Suite 300</w:t>
      </w:r>
    </w:p>
    <w:p>
      <w:pPr>
        <w:spacing w:after="0"/>
        <w:rPr>
          <w:sz w:val="20"/>
          <w:szCs w:val="20"/>
          <w:color w:val="auto"/>
        </w:rPr>
      </w:pPr>
      <w:r>
        <w:rPr>
          <w:rFonts w:ascii="Arial" w:cs="Arial" w:eastAsia="Arial" w:hAnsi="Arial"/>
          <w:sz w:val="20"/>
          <w:szCs w:val="20"/>
          <w:color w:val="auto"/>
        </w:rPr>
        <w:t>Westlake Village, CA 91362</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You have requested our opinion, as counsel to MannKind Corporation,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respect to certain matters in connection with the offering by the Company of $50,000,000 of shares of the Company’s common stock, par value $0.01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pursuant to a Registration Statement on Form S-3 (No. 333-230633)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Registration Statement</w:t>
      </w:r>
      <w:r>
        <w:rPr>
          <w:rFonts w:ascii="Arial" w:cs="Arial" w:eastAsia="Arial" w:hAnsi="Arial"/>
          <w:sz w:val="19"/>
          <w:szCs w:val="19"/>
          <w:i w:val="1"/>
          <w:iCs w:val="1"/>
          <w:color w:val="auto"/>
        </w:rPr>
        <w:t>”</w:t>
      </w:r>
      <w:r>
        <w:rPr>
          <w:rFonts w:ascii="Arial" w:cs="Arial" w:eastAsia="Arial" w:hAnsi="Arial"/>
          <w:sz w:val="19"/>
          <w:szCs w:val="19"/>
          <w:color w:val="auto"/>
        </w:rPr>
        <w:t xml:space="preserve">), filed with the Securities and Exchange Commission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Commission</w:t>
      </w:r>
      <w:r>
        <w:rPr>
          <w:rFonts w:ascii="Arial" w:cs="Arial" w:eastAsia="Arial" w:hAnsi="Arial"/>
          <w:sz w:val="19"/>
          <w:szCs w:val="19"/>
          <w:i w:val="1"/>
          <w:iCs w:val="1"/>
          <w:color w:val="auto"/>
        </w:rPr>
        <w:t>”</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i w:val="1"/>
          <w:iCs w:val="1"/>
          <w:color w:val="auto"/>
        </w:rPr>
        <w:t>”</w:t>
      </w:r>
      <w:r>
        <w:rPr>
          <w:rFonts w:ascii="Arial" w:cs="Arial" w:eastAsia="Arial" w:hAnsi="Arial"/>
          <w:sz w:val="19"/>
          <w:szCs w:val="19"/>
          <w:color w:val="auto"/>
        </w:rPr>
        <w:t>), the prospectus included within the Registration Statement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and the prospectus supplement to be filed with the Commission pursuant to Rule 424(b) of the Rules and Regulations of the Act (together with the Base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The Shares are to be sold by the Company in accordance with a Controlled Equity Offering</w:t>
      </w:r>
      <w:r>
        <w:rPr>
          <w:rFonts w:ascii="Arial" w:cs="Arial" w:eastAsia="Arial" w:hAnsi="Arial"/>
          <w:sz w:val="15"/>
          <w:szCs w:val="15"/>
          <w:color w:val="auto"/>
        </w:rPr>
        <w:t>SM</w:t>
      </w:r>
      <w:r>
        <w:rPr>
          <w:rFonts w:ascii="Arial" w:cs="Arial" w:eastAsia="Arial" w:hAnsi="Arial"/>
          <w:sz w:val="19"/>
          <w:szCs w:val="19"/>
          <w:color w:val="auto"/>
        </w:rPr>
        <w:t xml:space="preserve"> Sales Agreement, dated February 27, 2018, between the Company and Cantor Fitzgerald &amp; Co.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as described in the Prospectus.</w:t>
      </w:r>
    </w:p>
    <w:p>
      <w:pPr>
        <w:spacing w:after="0" w:line="15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connection with this opinion, we have examined and relied upon the Registration Statement and the Prospectus, the Agreement, the Company’s Amended and Restated Certificate of Incorporation, as amended, its Amended and Restated Bylaws, and the originals or copies certified to our satisfaction of such records, documents, certificates, memoranda and other instruments as in our judgment are necessary or appropriate to enable us to render the opinion expressed below. In rendering this opinion, we have assumed the genuineness and authenticity of all signatures on original documents; the genuineness and authenticity of all documents submitted to us as originals; the conformity to originals of all documents submitted to us as copies; and the accuracy, completeness and authenticity of certificates of public officials. As to certain factual matters, we have relied upon a certificate of an officer of the Company and have not sought independently to verify such matters.</w:t>
      </w:r>
    </w:p>
    <w:p>
      <w:pPr>
        <w:spacing w:after="0" w:line="16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 (ii) that no more than 50,000,000 Shares will be sold under the Agreement and (iii) that the price at which the Shares are sold will equal or exceed the par value of the Shares. We express no opinion to the extent that future issuances of securities of the Company and/or anti-dilution adjustments to outstanding securities of the Company cause the number of shares of the Company’s common stock outstanding or issuable upon conversion or exercise of outstanding securities of the Company to exceed the number of Shares then issuable under the Agreement.</w:t>
      </w:r>
    </w:p>
    <w:p>
      <w:pPr>
        <w:spacing w:after="0" w:line="187" w:lineRule="exact"/>
        <w:rPr>
          <w:sz w:val="20"/>
          <w:szCs w:val="20"/>
          <w:color w:val="auto"/>
        </w:rPr>
      </w:pPr>
    </w:p>
    <w:p>
      <w:pPr>
        <w:jc w:val="center"/>
        <w:ind w:right="-19"/>
        <w:spacing w:after="0"/>
        <w:tabs>
          <w:tab w:leader="none" w:pos="100" w:val="left"/>
          <w:tab w:leader="none" w:pos="80" w:val="left"/>
        </w:tabs>
        <w:rPr>
          <w:sz w:val="20"/>
          <w:szCs w:val="20"/>
          <w:color w:val="auto"/>
        </w:rPr>
      </w:pPr>
      <w:r>
        <w:rPr>
          <w:rFonts w:ascii="Arial" w:cs="Arial" w:eastAsia="Arial" w:hAnsi="Arial"/>
          <w:sz w:val="13"/>
          <w:szCs w:val="13"/>
          <w:color w:val="auto"/>
        </w:rPr>
        <w:t xml:space="preserve">Cooley </w:t>
      </w:r>
      <w:r>
        <w:rPr>
          <w:rFonts w:ascii="Arial" w:cs="Arial" w:eastAsia="Arial" w:hAnsi="Arial"/>
          <w:sz w:val="9"/>
          <w:szCs w:val="9"/>
          <w:color w:val="auto"/>
        </w:rPr>
        <w:t>LLP</w:t>
      </w:r>
      <w:r>
        <w:rPr>
          <w:rFonts w:ascii="Arial" w:cs="Arial" w:eastAsia="Arial" w:hAnsi="Arial"/>
          <w:sz w:val="13"/>
          <w:szCs w:val="13"/>
          <w:color w:val="auto"/>
        </w:rPr>
        <w:tab/>
        <w:t>4401 Eastgate Mall</w:t>
      </w:r>
      <w:r>
        <w:rPr>
          <w:sz w:val="20"/>
          <w:szCs w:val="20"/>
          <w:color w:val="auto"/>
        </w:rPr>
        <w:tab/>
      </w:r>
      <w:r>
        <w:rPr>
          <w:rFonts w:ascii="Arial" w:cs="Arial" w:eastAsia="Arial" w:hAnsi="Arial"/>
          <w:sz w:val="12"/>
          <w:szCs w:val="12"/>
          <w:color w:val="auto"/>
        </w:rPr>
        <w:t>San Diego, CA  92121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(858) 550-6000 f: (858) 550-6420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909955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166495" cy="377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MannKind Corporation</w:t>
      </w:r>
    </w:p>
    <w:p>
      <w:pPr>
        <w:spacing w:after="0" w:line="238" w:lineRule="auto"/>
        <w:rPr>
          <w:sz w:val="20"/>
          <w:szCs w:val="20"/>
          <w:color w:val="auto"/>
        </w:rPr>
      </w:pPr>
      <w:r>
        <w:rPr>
          <w:rFonts w:ascii="Arial" w:cs="Arial" w:eastAsia="Arial" w:hAnsi="Arial"/>
          <w:sz w:val="20"/>
          <w:szCs w:val="20"/>
          <w:color w:val="auto"/>
        </w:rPr>
        <w:t>May 7,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Our opinion herein is expressed solely with respect to the General Corporation Law of the State of Delaware.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the basis of the foregoing, and in reliance thereon, we are of the opinion that the Shares, when sold and issued against payment therefor in accordance with the Agreement, the Registration Statement and the Prospectus, will be validly issued, fully paid and nonassessable.</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We consent to the reference to our firm under the caption “Legal Matters” in the Prospectus and to the filing of this opinion as an exhibit to the Company’s Quarterly Report on Form 10-Q to be filed with the Commission for incorporation by reference into the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Cooley </w:t>
      </w:r>
      <w:r>
        <w:rPr>
          <w:rFonts w:ascii="Arial" w:cs="Arial" w:eastAsia="Arial" w:hAnsi="Arial"/>
          <w:sz w:val="13"/>
          <w:szCs w:val="13"/>
          <w:color w:val="auto"/>
        </w:rPr>
        <w:t>LLP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Sean M.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-6350</wp:posOffset>
            </wp:positionV>
            <wp:extent cx="1445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144589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Sean M. Clayton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203275212 v1</w:t>
      </w: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100" w:val="left"/>
          <w:tab w:leader="none" w:pos="80" w:val="left"/>
        </w:tabs>
        <w:rPr>
          <w:sz w:val="20"/>
          <w:szCs w:val="20"/>
          <w:color w:val="auto"/>
        </w:rPr>
      </w:pPr>
      <w:r>
        <w:rPr>
          <w:rFonts w:ascii="Arial" w:cs="Arial" w:eastAsia="Arial" w:hAnsi="Arial"/>
          <w:sz w:val="13"/>
          <w:szCs w:val="13"/>
          <w:color w:val="auto"/>
        </w:rPr>
        <w:t xml:space="preserve">Cooley </w:t>
      </w:r>
      <w:r>
        <w:rPr>
          <w:rFonts w:ascii="Arial" w:cs="Arial" w:eastAsia="Arial" w:hAnsi="Arial"/>
          <w:sz w:val="9"/>
          <w:szCs w:val="9"/>
          <w:color w:val="auto"/>
        </w:rPr>
        <w:t>LLP</w:t>
      </w:r>
      <w:r>
        <w:rPr>
          <w:rFonts w:ascii="Arial" w:cs="Arial" w:eastAsia="Arial" w:hAnsi="Arial"/>
          <w:sz w:val="13"/>
          <w:szCs w:val="13"/>
          <w:color w:val="auto"/>
        </w:rPr>
        <w:tab/>
        <w:t>4401 Eastgate Mall</w:t>
      </w:r>
      <w:r>
        <w:rPr>
          <w:sz w:val="20"/>
          <w:szCs w:val="20"/>
          <w:color w:val="auto"/>
        </w:rPr>
        <w:tab/>
      </w:r>
      <w:r>
        <w:rPr>
          <w:rFonts w:ascii="Arial" w:cs="Arial" w:eastAsia="Arial" w:hAnsi="Arial"/>
          <w:sz w:val="12"/>
          <w:szCs w:val="12"/>
          <w:color w:val="auto"/>
        </w:rPr>
        <w:t>San Diego, CA  92121</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(858) 550-6000 f: (858) 550-6420 cooley.com</w:t>
      </w:r>
    </w:p>
    <w:p>
      <w:pPr>
        <w:sectPr>
          <w:pgSz w:w="11900" w:h="16838" w:orient="portrait"/>
          <w:cols w:equalWidth="0" w:num="1">
            <w:col w:w="11420"/>
          </w:cols>
          <w:pgMar w:left="240" w:top="1352"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2019 of MannKind Corporation;</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120" w:firstLine="8"/>
        <w:spacing w:after="0" w:line="266"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80" w:firstLine="8"/>
        <w:spacing w:after="0" w:line="26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20" w:firstLine="8"/>
        <w:spacing w:after="0" w:line="282"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17145</wp:posOffset>
            </wp:positionV>
            <wp:extent cx="32073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ectPr>
          <w:pgSz w:w="11900" w:h="16838" w:orient="portrait"/>
          <w:cols w:equalWidth="0" w:num="1">
            <w:col w:w="11420"/>
          </w:cols>
          <w:pgMar w:left="240" w:top="333"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2019 of MannKind Corporation;</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00" w:firstLine="8"/>
        <w:spacing w:after="0" w:line="282"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right="120" w:firstLine="8"/>
        <w:spacing w:after="0" w:line="266"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80" w:firstLine="8"/>
        <w:spacing w:after="0" w:line="266"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4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20" w:firstLine="8"/>
        <w:spacing w:after="0" w:line="282" w:lineRule="auto"/>
        <w:tabs>
          <w:tab w:leader="none" w:pos="2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17145</wp:posOffset>
            </wp:positionV>
            <wp:extent cx="32073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ectPr>
          <w:pgSz w:w="11900" w:h="16838" w:orient="portrait"/>
          <w:cols w:equalWidth="0" w:num="1">
            <w:col w:w="11420"/>
          </w:cols>
          <w:pgMar w:left="240" w:top="333"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15"/>
          <w:szCs w:val="15"/>
          <w:b w:val="1"/>
          <w:bCs w:val="1"/>
          <w:color w:val="auto"/>
        </w:rPr>
        <w:t>1</w:t>
      </w:r>
    </w:p>
    <w:p>
      <w:pPr>
        <w:spacing w:after="0" w:line="2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2019,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6"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7th day of May, 2019.</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wp:posOffset>
            </wp:positionV>
            <wp:extent cx="48279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380" w:right="20" w:hanging="308"/>
        <w:spacing w:after="0" w:line="266" w:lineRule="auto"/>
        <w:tabs>
          <w:tab w:leader="none" w:pos="3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ectPr>
          <w:pgSz w:w="11900" w:h="16838" w:orient="portrait"/>
          <w:cols w:equalWidth="0" w:num="1">
            <w:col w:w="11420"/>
          </w:cols>
          <w:pgMar w:left="240" w:top="333"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15"/>
          <w:szCs w:val="15"/>
          <w:b w:val="1"/>
          <w:bCs w:val="1"/>
          <w:color w:val="auto"/>
        </w:rPr>
        <w:t>1</w:t>
      </w:r>
    </w:p>
    <w:p>
      <w:pPr>
        <w:spacing w:after="0" w:line="2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March 31, 2019,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76"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7th day of May, 2019.</w:t>
      </w: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wp:posOffset>
            </wp:positionV>
            <wp:extent cx="48279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Steven B. Binder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ind w:left="320" w:right="80" w:hanging="248"/>
        <w:spacing w:after="0" w:line="266" w:lineRule="auto"/>
        <w:tabs>
          <w:tab w:leader="none" w:pos="3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emdash "/>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upperLetter"/>
      <w:start w:val="20"/>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5"/>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jpeg"/><Relationship Id="rId110" Type="http://schemas.openxmlformats.org/officeDocument/2006/relationships/image" Target="media/image78.png"/><Relationship Id="rId111" Type="http://schemas.openxmlformats.org/officeDocument/2006/relationships/image" Target="media/image79.jpe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79" Type="http://schemas.openxmlformats.org/officeDocument/2006/relationships/hyperlink" Target="http://www.sec.gov/Archives/edgar/data/899460/000119312516676980/d225552dex31.htm" TargetMode="External"/><Relationship Id="rId80" Type="http://schemas.openxmlformats.org/officeDocument/2006/relationships/hyperlink" Target="http://www.sec.gov/Archives/edgar/data/899460/000119312517066630/d313758dex31.htm" TargetMode="External"/><Relationship Id="rId81" Type="http://schemas.openxmlformats.org/officeDocument/2006/relationships/hyperlink" Target="http://www.sec.gov/Archives/edgar/data/899460/000119312517368329/d511527dex31.htm" TargetMode="External"/><Relationship Id="rId82" Type="http://schemas.openxmlformats.org/officeDocument/2006/relationships/hyperlink" Target="http://www.sec.gov/Archives/edgar/data/899460/000095012407005941/v35880exv3w1.htm" TargetMode="External"/><Relationship Id="rId83" Type="http://schemas.openxmlformats.org/officeDocument/2006/relationships/hyperlink" Target="http://www.sec.gov/Archives/edgar/data/899460/000119312517085519/d305327dex42.htm" TargetMode="External"/><Relationship Id="rId84" Type="http://schemas.openxmlformats.org/officeDocument/2006/relationships/hyperlink" Target="http://www.sec.gov/Archives/edgar/data/899460/000119312513279522/d562665dex992.htm" TargetMode="External"/><Relationship Id="rId85" Type="http://schemas.openxmlformats.org/officeDocument/2006/relationships/hyperlink" Target="http://www.sec.gov/Archives/edgar/data/899460/000119312514080324/d647959dex47.htm" TargetMode="External"/><Relationship Id="rId86" Type="http://schemas.openxmlformats.org/officeDocument/2006/relationships/hyperlink" Target="http://www.sec.gov/Archives/edgar/data/899460/000119312514195057/d697163dex48.htm" TargetMode="External"/><Relationship Id="rId87" Type="http://schemas.openxmlformats.org/officeDocument/2006/relationships/hyperlink" Target="http://www.sec.gov/Archives/edgar/data/899460/000119312513279522/d562665dex993.htm" TargetMode="External"/><Relationship Id="rId88" Type="http://schemas.openxmlformats.org/officeDocument/2006/relationships/hyperlink" Target="http://www.sec.gov/Archives/edgar/data/899460/000119312513279522/d562665dex994.htm" TargetMode="External"/><Relationship Id="rId89" Type="http://schemas.openxmlformats.org/officeDocument/2006/relationships/hyperlink" Target="http://www.sec.gov/Archives/edgar/data/899460/000119312513279522/d562665dex991.htm" TargetMode="External"/><Relationship Id="rId90" Type="http://schemas.openxmlformats.org/officeDocument/2006/relationships/hyperlink" Target="http://www.sec.gov/Archives/edgar/data/899460/000119312514080324/d647959dex1039.htm" TargetMode="External"/><Relationship Id="rId91" Type="http://schemas.openxmlformats.org/officeDocument/2006/relationships/hyperlink" Target="http://www.sec.gov/Archives/edgar/data/899460/000119312514406347/d783199dex414.htm" TargetMode="External"/><Relationship Id="rId92" Type="http://schemas.openxmlformats.org/officeDocument/2006/relationships/hyperlink" Target="http://www.sec.gov/Archives/edgar/data/899460/000119312517217588/d419252dex992.htm" TargetMode="External"/><Relationship Id="rId93" Type="http://schemas.openxmlformats.org/officeDocument/2006/relationships/hyperlink" Target="http://www.sec.gov/Archives/edgar/data/899460/000119312517316062/d422089dex991.htm" TargetMode="External"/><Relationship Id="rId94" Type="http://schemas.openxmlformats.org/officeDocument/2006/relationships/hyperlink" Target="http://www.sec.gov/Archives/edgar/data/899460/000119312518013980/d478599dex991.htm" TargetMode="External"/><Relationship Id="rId97" Type="http://schemas.openxmlformats.org/officeDocument/2006/relationships/hyperlink" Target="http://www.sec.gov/Archives/edgar/data/899460/000119312518013980/d478599dex992.htm" TargetMode="External"/><Relationship Id="rId98" Type="http://schemas.openxmlformats.org/officeDocument/2006/relationships/hyperlink" Target="http://www.sec.gov/Archives/edgar/data/899460/000119312518188678/d600246dex991.htm" TargetMode="External"/><Relationship Id="rId99" Type="http://schemas.openxmlformats.org/officeDocument/2006/relationships/hyperlink" Target="http://www.sec.gov/Archives/edgar/data/899460/000119312518217309/d502299dex991.htm" TargetMode="External"/><Relationship Id="rId100" Type="http://schemas.openxmlformats.org/officeDocument/2006/relationships/hyperlink" Target="http://www.sec.gov/Archives/edgar/data/899460/000119312518267036/d609163dex991.htm" TargetMode="External"/><Relationship Id="rId101" Type="http://schemas.openxmlformats.org/officeDocument/2006/relationships/hyperlink" Target="http://www.sec.gov/Archives/edgar/data/899460/000119312518284687/d629664dex991.htm" TargetMode="External"/><Relationship Id="rId102" Type="http://schemas.openxmlformats.org/officeDocument/2006/relationships/hyperlink" Target="http://www.sec.gov/Archives/edgar/data/899460/000119312517324984/d485532dex41.htm" TargetMode="External"/><Relationship Id="rId103" Type="http://schemas.openxmlformats.org/officeDocument/2006/relationships/hyperlink" Target="http://www.sec.gov/Archives/edgar/data/899460/000119312516505366/d107849dex417.htm" TargetMode="External"/><Relationship Id="rId104" Type="http://schemas.openxmlformats.org/officeDocument/2006/relationships/hyperlink" Target="http://www.sec.gov/Archives/edgar/data/899460/000119312518078324/d549308dex991.htm" TargetMode="External"/><Relationship Id="rId105" Type="http://schemas.openxmlformats.org/officeDocument/2006/relationships/hyperlink" Target="http://www.sec.gov/Archives/edgar/data/899460/000119312518354835/d66895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2019-12-28T12:59:17Z</dcterms:created>
  <dcterms:modified xsi:type="dcterms:W3CDTF">2019-12-28T12:59:17Z</dcterms:modified>
</cp:coreProperties>
</file>