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3182d8k.htm"/>
      <w:bookmarkStart w:id="1" w:name="ksd6318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MannKind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000-50865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13-3607736</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 Casper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Danbury, Connecticut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06810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(818) 661-5000</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65" w:type="dxa"/>
        <w:jc w:val="left"/>
        <w:tblInd w:w="0" w:type="dxa"/>
        <w:tblLayout w:type="fixed"/>
        <w:tblCellMar>
          <w:top w:w="0" w:type="dxa"/>
          <w:left w:w="0" w:type="dxa"/>
          <w:bottom w:w="0" w:type="dxa"/>
          <w:right w:w="0" w:type="dxa"/>
        </w:tblCellMar>
      </w:tblPr>
      <w:tblGrid>
        <w:gridCol w:w="4025"/>
        <w:gridCol w:w="60"/>
        <w:gridCol w:w="770"/>
        <w:gridCol w:w="60"/>
        <w:gridCol w:w="305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MNKD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23, 2026, MannKind Corporation, a Delaware corporation (the “Company”), entered into a Securities Purchase Agreement with certain institutional accredited investors (the “Investors”), pursuant to which the Company agreed to sell and issue to the Investors an aggregate of 10,440,838 shares (“Shares”) of the Company’s common stock, par value $0.01 (“Common Stock”), at a purchase price of $3.89 per Share, and in lieu of shares of Common Stock, pre-funded warrants to purchase an aggregate of 2,412,632 shares of Common Stock (“Warrant Shares”), at a purchase price of $3.88 per Warrant Share underlying the pre-funded warrants, in a private placement transaction (the “Private Placement”).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Private Placement occurred on July 24, 2026 (the “Closing”). The total gross proceeds received by the Company from the Private Placement, before expenses, were approximately $50.0 million. The Company intends to use the net proceeds from the Private Placement for general corporate purposes, including funding the Company’s $45.0 million contingent value rights payment obligation triggered by the U.S. Food and Drug Administration’s approval of Furoscix ReadyFlow™ (furosemide injection).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have an exercise price of $0.01 per Warrant Share, subject to customary adjustments, and will not expire until exercised in full. The pre-funded warrants are also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 </w:t>
      </w:r>
    </w:p>
    <w:p>
      <w:pPr>
        <w:pStyle w:val="TextBody"/>
        <w:bidi w:val="0"/>
        <w:spacing w:before="240" w:after="0"/>
        <w:jc w:val="left"/>
        <w:rPr>
          <w:rFonts w:ascii="Times New Roman" w:hAnsi="Times New Roman"/>
          <w:sz w:val="20"/>
        </w:rPr>
      </w:pPr>
      <w:r>
        <w:rPr>
          <w:rFonts w:ascii="Times New Roman" w:hAnsi="Times New Roman"/>
          <w:sz w:val="20"/>
        </w:rPr>
        <w:t xml:space="preserve">The Company relied on the exemption from the registration requirements of the Securities Act of 1933, as amended, by virtue of Section 4(a)(2) thereof. Each of the Investors provided representations appropriate for a private placement of securities. Restrictive legends were affixed to the Shares and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Private Placement, the Company entered into a Registration Rights Agreement (the “Registration Rights Agreement”) with the Investors, pursuant to which the Company agreed to prepare and file, within 30 days of the Closing, subject to certain allowable delays, a registration statement with the Securities and Exchange Commission to register for resale the Shares and the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pre-funded warrants and the Registration Rights Agreement do not purport to be complete and are qualified in their entirety by reference to the complete text of the form of pre-funded warrant and form of Registration Rights Agreement, which are filed with this report as Exhibits 4.1 and 4.2,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July 24, 2026, the Company issued a press release announcing the Private Placement, a copy of which is filed as Exhibit 99.1 to this report.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23, 2026, the U.S. Food and Drug Administration approved Furoscix ReadyFlow™ (furosemide injection) for the treatment of edema (fluid overload) in adults with heart failure or chronic kidney disease.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85"/>
        <w:gridCol w:w="120"/>
        <w:gridCol w:w="768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63182dex41.htm">
              <w:r>
                <w:rPr>
                  <w:rStyle w:val="InternetLink"/>
                </w:rPr>
                <w:t xml:space="preserve">Form of Pre-Funded Warrant to Purchase Common Stock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63182dex42.htm">
              <w:r>
                <w:rPr>
                  <w:rStyle w:val="InternetLink"/>
                </w:rPr>
                <w:t xml:space="preserve">Form of Registration Rights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63182dex991.htm">
              <w:r>
                <w:rPr>
                  <w:rStyle w:val="InternetLink"/>
                </w:rPr>
                <w:t xml:space="preserve">Press Release of MannKind Corporation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94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548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5" w:type="dxa"/>
            <w:gridSpan w:val="3"/>
            <w:tcBorders/>
            <w:vAlign w:val="center"/>
          </w:tcPr>
          <w:p>
            <w:pPr>
              <w:pStyle w:val="TableContents"/>
              <w:bidi w:val="0"/>
              <w:spacing w:before="0" w:after="283"/>
              <w:jc w:val="left"/>
              <w:rPr>
                <w:b/>
              </w:rPr>
            </w:pPr>
            <w:r>
              <w:rPr>
                <w:b/>
              </w:rPr>
              <w:t>MannKind Corporation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Thomson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David Thomson, Ph.D., J.D.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0"/>
        <w:jc w:val="right"/>
        <w:rPr>
          <w:rFonts w:ascii="Times New Roman" w:hAnsi="Times New Roman"/>
          <w:b/>
          <w:sz w:val="20"/>
        </w:rPr>
      </w:pPr>
      <w:bookmarkStart w:id="2" w:name="d63182dex41.htm"/>
      <w:bookmarkStart w:id="3" w:name="ksd63182dex41"/>
      <w:bookmarkEnd w:id="2"/>
      <w:bookmarkEnd w:id="3"/>
      <w:r>
        <w:rPr>
          <w:rFonts w:ascii="Times New Roman" w:hAnsi="Times New Roman"/>
          <w:b/>
          <w:sz w:val="20"/>
        </w:rPr>
        <w:t xml:space="preserve">Exhibit 4.1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MANNKIND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6"/>
        <w:gridCol w:w="120"/>
        <w:gridCol w:w="4909"/>
      </w:tblGrid>
      <w:tr>
        <w:trPr/>
        <w:tc>
          <w:tcPr>
            <w:tcW w:w="51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9" w:type="dxa"/>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09" w:type="dxa"/>
            <w:tcBorders/>
          </w:tcPr>
          <w:p>
            <w:pPr>
              <w:pStyle w:val="TableContents"/>
              <w:bidi w:val="0"/>
              <w:spacing w:before="0" w:after="0"/>
              <w:jc w:val="right"/>
              <w:rPr>
                <w:rFonts w:ascii="Times New Roman" w:hAnsi="Times New Roman"/>
                <w:sz w:val="20"/>
              </w:rPr>
            </w:pPr>
            <w:r>
              <w:rPr>
                <w:rFonts w:ascii="Times New Roman" w:hAnsi="Times New Roman"/>
                <w:sz w:val="20"/>
              </w:rPr>
              <w:t>Number of Shares: []</w:t>
            </w:r>
          </w:p>
          <w:p>
            <w:pPr>
              <w:pStyle w:val="TableContents"/>
              <w:bidi w:val="0"/>
              <w:spacing w:before="0" w:after="20"/>
              <w:jc w:val="right"/>
              <w:rPr>
                <w:rFonts w:ascii="Times New Roman" w:hAnsi="Times New Roman"/>
                <w:sz w:val="20"/>
              </w:rPr>
            </w:pPr>
            <w:r>
              <w:rPr>
                <w:rFonts w:ascii="Times New Roman" w:hAnsi="Times New Roman"/>
                <w:sz w:val="20"/>
              </w:rPr>
              <w:t>(subject to adjustment)</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Warrant No. []</w:t>
            </w:r>
          </w:p>
        </w:tc>
        <w:tc>
          <w:tcPr>
            <w:tcW w:w="120" w:type="dxa"/>
            <w:tcBorders/>
            <w:vAlign w:val="bottom"/>
          </w:tcPr>
          <w:p>
            <w:pPr>
              <w:pStyle w:val="TableContents"/>
              <w:bidi w:val="0"/>
              <w:spacing w:before="0" w:after="283"/>
              <w:jc w:val="left"/>
              <w:rPr/>
            </w:pPr>
            <w:r>
              <w:rPr/>
              <w:t>  </w:t>
            </w:r>
          </w:p>
        </w:tc>
        <w:tc>
          <w:tcPr>
            <w:tcW w:w="4909" w:type="dxa"/>
            <w:tcBorders/>
          </w:tcPr>
          <w:p>
            <w:pPr>
              <w:pStyle w:val="TableContents"/>
              <w:bidi w:val="0"/>
              <w:spacing w:before="0" w:after="283"/>
              <w:jc w:val="right"/>
              <w:rPr/>
            </w:pPr>
            <w:r>
              <w:rPr/>
              <w:t>Original Issue Date: July 24, 2026</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MannKind Corporation, </w:t>
      </w:r>
      <w:r>
        <w:rPr>
          <w:rFonts w:ascii="Times New Roman" w:hAnsi="Times New Roman"/>
          <w:sz w:val="20"/>
        </w:rPr>
        <w:t>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xml:space="preserve">”) at the Exercise Price (as defined below), in each case as adjusted from time to time as provided in </w:t>
      </w:r>
      <w:r>
        <w:rPr>
          <w:rFonts w:ascii="Times New Roman" w:hAnsi="Times New Roman"/>
          <w:sz w:val="20"/>
          <w:u w:val="single"/>
        </w:rPr>
        <w:t>Section 9</w:t>
      </w:r>
      <w:r>
        <w:rPr>
          <w:rFonts w:ascii="Times New Roman" w:hAnsi="Times New Roman"/>
          <w:sz w:val="20"/>
        </w:rPr>
        <w:t>, upon surrender of this Pre-Funded Warrant to Purchase Common Stock (including any Pre-Funded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as such terms are used in or construed under Rule 405 promulgated under the Securities Act.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Market.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Exercise of Warrants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w:t>
      </w:r>
    </w:p>
    <w:p>
      <w:pPr>
        <w:pStyle w:val="TextBody"/>
        <w:bidi w:val="0"/>
        <w:spacing w:before="120" w:after="0"/>
        <w:jc w:val="left"/>
        <w:rPr>
          <w:rFonts w:ascii="Times New Roman" w:hAnsi="Times New Roman"/>
          <w:sz w:val="20"/>
        </w:rPr>
      </w:pPr>
      <w:r>
        <w:rPr>
          <w:rFonts w:ascii="Times New Roman" w:hAnsi="Times New Roman"/>
          <w:sz w:val="20"/>
        </w:rPr>
        <w:t>(b) The aggregate exercise price of this Warrant, except for a nominal exercise price of $0.01 per Warrant Share (subject to adjustment as provided herein), was pre-funded to the Company on or prior to the Original Issuance Date and, consequently, no additional consideration (other than the nominal exercise price) shall be required to be paid by the Holder to effect any exercise of this Warrant. The Holder shall not be entitled to the return or refund of all, or any portion, of such pre-paid aggregate exercise price under any circumstances or for any reason whatsoever. The remaining unpaid exercise price per Warrant Share shall be $0.01 per share, subject to adjustment as provided herein (the “</w:t>
      </w:r>
      <w:r>
        <w:rPr>
          <w:rFonts w:ascii="Times New Roman" w:hAnsi="Times New Roman"/>
          <w:b/>
          <w:sz w:val="20"/>
        </w:rPr>
        <w:t>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p>
    <w:p>
      <w:pPr>
        <w:pStyle w:val="TextBody"/>
        <w:bidi w:val="0"/>
        <w:spacing w:before="120" w:after="0"/>
        <w:jc w:val="left"/>
        <w:rPr>
          <w:rFonts w:ascii="Times New Roman" w:hAnsi="Times New Roman"/>
          <w:sz w:val="20"/>
        </w:rPr>
      </w:pPr>
      <w:r>
        <w:rPr>
          <w:rFonts w:ascii="Times New Roman" w:hAnsi="Times New Roman"/>
          <w:sz w:val="20"/>
        </w:rPr>
        <w:t xml:space="preserve">(d)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Delivery of Warrant Shares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to (i)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At Custodian system or (ii) in book-entry form via a direct registration system (“</w:t>
      </w:r>
      <w:r>
        <w:rPr>
          <w:rFonts w:ascii="Times New Roman" w:hAnsi="Times New Roman"/>
          <w:b/>
          <w:sz w:val="20"/>
        </w:rPr>
        <w:t>DRS</w:t>
      </w:r>
      <w:r>
        <w:rPr>
          <w:rFonts w:ascii="Times New Roman" w:hAnsi="Times New Roman"/>
          <w:sz w:val="20"/>
        </w:rPr>
        <w:t xml:space="preserve">”)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hAnsi="Times New Roman"/>
          <w:sz w:val="20"/>
          <w:u w:val="single"/>
        </w:rPr>
        <w:t>Section 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12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12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authorized, validly issued, and fully paid and non-assessable. The Company will take all such action as may be reasonably necessary to assure that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w:t>
      </w:r>
      <w:r>
        <w:rPr>
          <w:rFonts w:ascii="Times New Roman" w:hAnsi="Times New Roman"/>
          <w:sz w:val="20"/>
          <w:u w:val="single"/>
        </w:rPr>
        <w:t>Section 9</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xml:space="preserve">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hAnsi="Times New Roman"/>
          <w:sz w:val="20"/>
          <w:u w:val="single"/>
        </w:rPr>
        <w:t>Sections 9(b)</w:t>
      </w:r>
      <w:r>
        <w:rPr>
          <w:rFonts w:ascii="Times New Roman" w:hAnsi="Times New Roman"/>
          <w:sz w:val="20"/>
        </w:rPr>
        <w:t xml:space="preserve"> or </w:t>
      </w:r>
      <w:r>
        <w:rPr>
          <w:rFonts w:ascii="Times New Roman" w:hAnsi="Times New Roman"/>
          <w:sz w:val="20"/>
          <w:u w:val="single"/>
        </w:rPr>
        <w:t>9(c)</w:t>
      </w:r>
      <w:r>
        <w:rPr>
          <w:rFonts w:ascii="Times New Roman" w:hAnsi="Times New Roman"/>
          <w:sz w:val="20"/>
        </w:rPr>
        <w:t xml:space="preserve">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five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Issuance Date (provided that the Commission continues to take the position that such treatment is proper at the time of such exercise).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Limitations on Exercise</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Upon the written request of the Holder, the Company shall within one Trading Day confirm in writing (including by electronic mail) to the Holder that the number of shares of Common Stock then outstanding is not less than the Reported Outstanding Share Number or, if the number of shares of Common Stock then outstanding is less than the Reported Outstanding Share Number, the Company shall confirm in writing (including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9(d)</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 w:hAnsi="Times New Roman"/>
          <w:sz w:val="20"/>
          <w:u w:val="single"/>
        </w:rPr>
        <w:t>Section 11(a)</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w:t>
      </w:r>
      <w:r>
        <w:rPr>
          <w:rFonts w:ascii="Times New Roman" w:hAnsi="Times New Roman"/>
          <w:sz w:val="20"/>
          <w:u w:val="single"/>
        </w:rPr>
        <w:t>Section 11(a)</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by the Company or, with respect to the Holder, on the books and records of the Company or Transfer Agent, prior to 5:30 P.M., New York City time, on a Trading Day, (ii) the next Trading Day after the date of transmission, if such notice or communication is delivered via confirmed e-mail at the e-mail address specified by the Company or, with respect to the Holder, on the books and records of the Company or Transfer Agent, on a day that is not a Trading Day or later than 5:30 P.M., New York City time, on any Trading Day, (iii) the Trading Day following the date of mailing, if sent by nationally recognized overnight courier service specifying next business day delivery to the principal executive offices of the Company or, with respect to the Holder, to the address on the books and records of the Company or Transfer Agent, or (iv) upon actual receipt by the Person to whom such notice is required to be given, if by hand delivery.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1"/>
        <w:gridCol w:w="95"/>
        <w:gridCol w:w="3446"/>
      </w:tblGrid>
      <w:tr>
        <w:trPr/>
        <w:tc>
          <w:tcPr>
            <w:tcW w:w="54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w:t>
            </w:r>
            <w:r>
              <w:rPr>
                <w:b/>
                <w:sz w:val="20"/>
              </w:rPr>
              <w:t>ANN</w:t>
            </w:r>
            <w:r>
              <w:rPr>
                <w:b/>
              </w:rPr>
              <w:t>K</w:t>
            </w:r>
            <w:r>
              <w:rPr>
                <w:b/>
                <w:sz w:val="20"/>
              </w:rPr>
              <w:t>IND</w:t>
            </w:r>
            <w:r>
              <w:rPr>
                <w:b/>
              </w:rPr>
              <w:t xml:space="preserve"> C</w:t>
            </w:r>
            <w:r>
              <w:rPr>
                <w:b/>
                <w:sz w:val="20"/>
              </w:rPr>
              <w:t>ORPORATION</w:t>
            </w:r>
          </w:p>
        </w:tc>
      </w:tr>
      <w:tr>
        <w:trPr>
          <w:trHeight w:val="240" w:hRule="atLeast"/>
        </w:trPr>
        <w:tc>
          <w:tcPr>
            <w:tcW w:w="541"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pPr>
            <w:r>
              <w:rPr/>
              <w:t>By:</w:t>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pBdr>
                <w:bottom w:val="single" w:sz="2" w:space="1" w:color="000000"/>
              </w:pBdr>
              <w:bidi w:val="0"/>
              <w:spacing w:before="0" w:after="20"/>
              <w:jc w:val="left"/>
              <w:rPr/>
            </w:pPr>
            <w:r>
              <w:rPr/>
              <w:t> </w:t>
            </w:r>
          </w:p>
        </w:tc>
      </w:tr>
      <w:tr>
        <w:trPr/>
        <w:tc>
          <w:tcPr>
            <w:tcW w:w="541"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bidi w:val="0"/>
              <w:spacing w:before="0" w:after="283"/>
              <w:jc w:val="left"/>
              <w:rPr/>
            </w:pPr>
            <w:r>
              <w:rPr/>
              <w:t>Name:</w:t>
            </w:r>
          </w:p>
        </w:tc>
      </w:tr>
      <w:tr>
        <w:trPr/>
        <w:tc>
          <w:tcPr>
            <w:tcW w:w="541"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SCHEDULE 1</w:t>
      </w:r>
      <w:r>
        <w:rPr>
          <w:rFonts w:ascii="Times New Roman" w:hAnsi="Times New Roman"/>
          <w:b/>
          <w:sz w:val="20"/>
          <w:u w:val="single"/>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is the Holder of Warrant No. __ (the “Warrant”) issued by </w:t>
      </w:r>
      <w:r>
        <w:rPr>
          <w:rFonts w:ascii="Times New Roman" w:hAnsi="Times New Roman"/>
          <w:b/>
          <w:sz w:val="20"/>
        </w:rPr>
        <w:t>MANNKIND CORPORATION</w:t>
      </w:r>
      <w:r>
        <w:rPr>
          <w:rFonts w:ascii="Times New Roman" w:hAnsi="Times New Roman"/>
          <w:sz w:val="20"/>
        </w:rPr>
        <w:t xml:space="preserve">, a Delaware corporation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52"/>
        <w:gridCol w:w="127"/>
        <w:gridCol w:w="9417"/>
      </w:tblGrid>
      <w:tr>
        <w:trPr/>
        <w:tc>
          <w:tcPr>
            <w:tcW w:w="25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417" w:type="dxa"/>
            <w:tcBorders/>
            <w:vAlign w:val="center"/>
          </w:tcPr>
          <w:p>
            <w:pPr>
              <w:pStyle w:val="TableContents"/>
              <w:bidi w:val="0"/>
              <w:spacing w:before="0" w:after="283"/>
              <w:jc w:val="left"/>
              <w:rPr>
                <w:sz w:val="4"/>
                <w:szCs w:val="4"/>
              </w:rPr>
            </w:pPr>
            <w:r>
              <w:rPr>
                <w:sz w:val="4"/>
                <w:szCs w:val="4"/>
              </w:rPr>
            </w:r>
          </w:p>
        </w:tc>
      </w:tr>
      <w:tr>
        <w:trPr/>
        <w:tc>
          <w:tcPr>
            <w:tcW w:w="252" w:type="dxa"/>
            <w:tcBorders/>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9417" w:type="dxa"/>
            <w:tcBorders/>
          </w:tcPr>
          <w:p>
            <w:pPr>
              <w:pStyle w:val="TableContents"/>
              <w:bidi w:val="0"/>
              <w:spacing w:before="0" w:after="283"/>
              <w:jc w:val="left"/>
              <w:rPr/>
            </w:pPr>
            <w:r>
              <w:rPr/>
              <w:t>Cash Exercise</w:t>
            </w:r>
          </w:p>
        </w:tc>
      </w:tr>
    </w:tbl>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44"/>
        <w:gridCol w:w="123"/>
        <w:gridCol w:w="9429"/>
      </w:tblGrid>
      <w:tr>
        <w:trPr/>
        <w:tc>
          <w:tcPr>
            <w:tcW w:w="24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429" w:type="dxa"/>
            <w:tcBorders/>
            <w:vAlign w:val="center"/>
          </w:tcPr>
          <w:p>
            <w:pPr>
              <w:pStyle w:val="TableContents"/>
              <w:bidi w:val="0"/>
              <w:spacing w:before="0" w:after="283"/>
              <w:jc w:val="left"/>
              <w:rPr>
                <w:sz w:val="4"/>
                <w:szCs w:val="4"/>
              </w:rPr>
            </w:pPr>
            <w:r>
              <w:rPr>
                <w:sz w:val="4"/>
                <w:szCs w:val="4"/>
              </w:rPr>
            </w:r>
          </w:p>
        </w:tc>
      </w:tr>
      <w:tr>
        <w:trPr/>
        <w:tc>
          <w:tcPr>
            <w:tcW w:w="24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9429" w:type="dxa"/>
            <w:tcBorders/>
          </w:tcPr>
          <w:p>
            <w:pPr>
              <w:pStyle w:val="TableContents"/>
              <w:bidi w:val="0"/>
              <w:spacing w:before="0" w:after="283"/>
              <w:jc w:val="left"/>
              <w:rPr/>
            </w:pPr>
            <w:r>
              <w:rPr/>
              <w:t>“</w:t>
            </w:r>
            <w:r>
              <w:rPr/>
              <w:t>Cashless Exercise” under Section 10 of the Warrant</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34"/>
        <w:gridCol w:w="120"/>
        <w:gridCol w:w="9442"/>
      </w:tblGrid>
      <w:tr>
        <w:trPr/>
        <w:tc>
          <w:tcPr>
            <w:tcW w:w="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42" w:type="dxa"/>
            <w:tcBorders/>
            <w:vAlign w:val="center"/>
          </w:tcPr>
          <w:p>
            <w:pPr>
              <w:pStyle w:val="TableContents"/>
              <w:bidi w:val="0"/>
              <w:spacing w:before="0" w:after="283"/>
              <w:jc w:val="left"/>
              <w:rPr>
                <w:sz w:val="4"/>
                <w:szCs w:val="4"/>
              </w:rPr>
            </w:pPr>
            <w:r>
              <w:rPr>
                <w:sz w:val="4"/>
                <w:szCs w:val="4"/>
              </w:rPr>
            </w:r>
          </w:p>
        </w:tc>
      </w:tr>
      <w:tr>
        <w:trPr/>
        <w:tc>
          <w:tcPr>
            <w:tcW w:w="23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442" w:type="dxa"/>
            <w:tcBorders/>
          </w:tcPr>
          <w:p>
            <w:pPr>
              <w:pStyle w:val="TableContents"/>
              <w:bidi w:val="0"/>
              <w:spacing w:before="0" w:after="283"/>
              <w:jc w:val="left"/>
              <w:rPr/>
            </w:pPr>
            <w:r>
              <w:rPr/>
              <w:t>to the following DWAC Account Number: _______________________________</w:t>
            </w:r>
          </w:p>
        </w:tc>
      </w:tr>
      <w:tr>
        <w:trPr>
          <w:trHeight w:val="120" w:hRule="atLeast"/>
        </w:trPr>
        <w:tc>
          <w:tcPr>
            <w:tcW w:w="234" w:type="dxa"/>
            <w:tcBorders/>
            <w:vAlign w:val="center"/>
          </w:tcPr>
          <w:p>
            <w:pPr>
              <w:pStyle w:val="TableContents"/>
              <w:bidi w:val="0"/>
              <w:spacing w:before="0" w:after="283"/>
              <w:jc w:val="left"/>
              <w:rPr>
                <w:sz w:val="4"/>
                <w:szCs w:val="4"/>
              </w:rPr>
            </w:pPr>
            <w:r>
              <w:rPr>
                <w:sz w:val="4"/>
                <w:szCs w:val="4"/>
              </w:rPr>
            </w:r>
          </w:p>
        </w:tc>
        <w:tc>
          <w:tcPr>
            <w:tcW w:w="9562" w:type="dxa"/>
            <w:gridSpan w:val="2"/>
            <w:tcBorders/>
            <w:vAlign w:val="center"/>
          </w:tcPr>
          <w:p>
            <w:pPr>
              <w:pStyle w:val="TableContents"/>
              <w:bidi w:val="0"/>
              <w:spacing w:before="0" w:after="283"/>
              <w:jc w:val="left"/>
              <w:rPr>
                <w:sz w:val="4"/>
                <w:szCs w:val="4"/>
              </w:rPr>
            </w:pPr>
            <w:r>
              <w:rPr>
                <w:sz w:val="4"/>
                <w:szCs w:val="4"/>
              </w:rPr>
            </w:r>
          </w:p>
        </w:tc>
      </w:tr>
      <w:tr>
        <w:trPr/>
        <w:tc>
          <w:tcPr>
            <w:tcW w:w="23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442" w:type="dxa"/>
            <w:tcBorders/>
          </w:tcPr>
          <w:p>
            <w:pPr>
              <w:pStyle w:val="TableContents"/>
              <w:bidi w:val="0"/>
              <w:spacing w:before="0" w:after="283"/>
              <w:jc w:val="left"/>
              <w:rPr/>
            </w:pPr>
            <w:r>
              <w:rPr/>
              <w:t>in book-entry form via a direct registration system</w:t>
            </w:r>
          </w:p>
        </w:tc>
      </w:tr>
      <w:tr>
        <w:trPr>
          <w:trHeight w:val="120" w:hRule="atLeast"/>
        </w:trPr>
        <w:tc>
          <w:tcPr>
            <w:tcW w:w="234" w:type="dxa"/>
            <w:tcBorders/>
            <w:vAlign w:val="center"/>
          </w:tcPr>
          <w:p>
            <w:pPr>
              <w:pStyle w:val="TableContents"/>
              <w:bidi w:val="0"/>
              <w:spacing w:before="0" w:after="283"/>
              <w:jc w:val="left"/>
              <w:rPr>
                <w:sz w:val="4"/>
                <w:szCs w:val="4"/>
              </w:rPr>
            </w:pPr>
            <w:r>
              <w:rPr>
                <w:sz w:val="4"/>
                <w:szCs w:val="4"/>
              </w:rPr>
            </w:r>
          </w:p>
        </w:tc>
        <w:tc>
          <w:tcPr>
            <w:tcW w:w="9562" w:type="dxa"/>
            <w:gridSpan w:val="2"/>
            <w:tcBorders/>
            <w:vAlign w:val="center"/>
          </w:tcPr>
          <w:p>
            <w:pPr>
              <w:pStyle w:val="TableContents"/>
              <w:bidi w:val="0"/>
              <w:spacing w:before="0" w:after="283"/>
              <w:jc w:val="left"/>
              <w:rPr>
                <w:sz w:val="4"/>
                <w:szCs w:val="4"/>
              </w:rPr>
            </w:pPr>
            <w:r>
              <w:rPr>
                <w:sz w:val="4"/>
                <w:szCs w:val="4"/>
              </w:rPr>
            </w:r>
          </w:p>
        </w:tc>
      </w:tr>
      <w:tr>
        <w:trPr/>
        <w:tc>
          <w:tcPr>
            <w:tcW w:w="23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442" w:type="dxa"/>
            <w:tcBorders/>
          </w:tcPr>
          <w:p>
            <w:pPr>
              <w:pStyle w:val="TableContents"/>
              <w:bidi w:val="0"/>
              <w:spacing w:before="0" w:after="283"/>
              <w:jc w:val="left"/>
              <w:rPr/>
            </w:pPr>
            <w:r>
              <w:rPr/>
              <w:t>by physical delivery of a certificate to: ______________________________________________________</w:t>
            </w:r>
          </w:p>
        </w:tc>
      </w:tr>
      <w:tr>
        <w:trPr>
          <w:trHeight w:val="120" w:hRule="atLeast"/>
        </w:trPr>
        <w:tc>
          <w:tcPr>
            <w:tcW w:w="234" w:type="dxa"/>
            <w:tcBorders/>
            <w:vAlign w:val="center"/>
          </w:tcPr>
          <w:p>
            <w:pPr>
              <w:pStyle w:val="TableContents"/>
              <w:bidi w:val="0"/>
              <w:spacing w:before="0" w:after="283"/>
              <w:jc w:val="left"/>
              <w:rPr>
                <w:sz w:val="4"/>
                <w:szCs w:val="4"/>
              </w:rPr>
            </w:pPr>
            <w:r>
              <w:rPr>
                <w:sz w:val="4"/>
                <w:szCs w:val="4"/>
              </w:rPr>
            </w:r>
          </w:p>
        </w:tc>
        <w:tc>
          <w:tcPr>
            <w:tcW w:w="9562" w:type="dxa"/>
            <w:gridSpan w:val="2"/>
            <w:tcBorders/>
            <w:vAlign w:val="center"/>
          </w:tcPr>
          <w:p>
            <w:pPr>
              <w:pStyle w:val="TableContents"/>
              <w:bidi w:val="0"/>
              <w:spacing w:before="0" w:after="283"/>
              <w:jc w:val="left"/>
              <w:rPr>
                <w:sz w:val="4"/>
                <w:szCs w:val="4"/>
              </w:rPr>
            </w:pPr>
            <w:r>
              <w:rPr>
                <w:sz w:val="4"/>
                <w:szCs w:val="4"/>
              </w:rPr>
            </w:r>
          </w:p>
        </w:tc>
      </w:tr>
      <w:tr>
        <w:trPr/>
        <w:tc>
          <w:tcPr>
            <w:tcW w:w="2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442"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______________________________________________________</w:t>
            </w:r>
          </w:p>
        </w:tc>
      </w:tr>
      <w:tr>
        <w:trPr>
          <w:trHeight w:val="120" w:hRule="atLeast"/>
        </w:trPr>
        <w:tc>
          <w:tcPr>
            <w:tcW w:w="234" w:type="dxa"/>
            <w:tcBorders/>
            <w:vAlign w:val="center"/>
          </w:tcPr>
          <w:p>
            <w:pPr>
              <w:pStyle w:val="TableContents"/>
              <w:bidi w:val="0"/>
              <w:spacing w:before="0" w:after="283"/>
              <w:jc w:val="left"/>
              <w:rPr>
                <w:sz w:val="4"/>
                <w:szCs w:val="4"/>
              </w:rPr>
            </w:pPr>
            <w:r>
              <w:rPr>
                <w:sz w:val="4"/>
                <w:szCs w:val="4"/>
              </w:rPr>
            </w:r>
          </w:p>
        </w:tc>
        <w:tc>
          <w:tcPr>
            <w:tcW w:w="9562" w:type="dxa"/>
            <w:gridSpan w:val="2"/>
            <w:tcBorders/>
            <w:vAlign w:val="center"/>
          </w:tcPr>
          <w:p>
            <w:pPr>
              <w:pStyle w:val="TableContents"/>
              <w:bidi w:val="0"/>
              <w:spacing w:before="0" w:after="283"/>
              <w:jc w:val="left"/>
              <w:rPr>
                <w:sz w:val="4"/>
                <w:szCs w:val="4"/>
              </w:rPr>
            </w:pPr>
            <w:r>
              <w:rPr>
                <w:sz w:val="4"/>
                <w:szCs w:val="4"/>
              </w:rPr>
            </w:r>
          </w:p>
        </w:tc>
      </w:tr>
      <w:tr>
        <w:trPr/>
        <w:tc>
          <w:tcPr>
            <w:tcW w:w="23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442" w:type="dxa"/>
            <w:tcBorders/>
          </w:tcPr>
          <w:p>
            <w:pPr>
              <w:pStyle w:val="TableContents"/>
              <w:bidi w:val="0"/>
              <w:spacing w:before="0" w:after="283"/>
              <w:jc w:val="left"/>
              <w:rPr/>
            </w:pPr>
            <w:r>
              <w:rPr/>
              <w:t>in restricted book-entry form in the Company’s share register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23"/>
        <w:gridCol w:w="111"/>
        <w:gridCol w:w="2269"/>
        <w:gridCol w:w="111"/>
        <w:gridCol w:w="6091"/>
      </w:tblGrid>
      <w:tr>
        <w:trPr/>
        <w:tc>
          <w:tcPr>
            <w:tcW w:w="162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91" w:type="dxa"/>
            <w:tcBorders/>
            <w:vAlign w:val="center"/>
          </w:tcPr>
          <w:p>
            <w:pPr>
              <w:pStyle w:val="TableContents"/>
              <w:bidi w:val="0"/>
              <w:spacing w:before="0" w:after="283"/>
              <w:jc w:val="left"/>
              <w:rPr>
                <w:sz w:val="4"/>
                <w:szCs w:val="4"/>
              </w:rPr>
            </w:pPr>
            <w:r>
              <w:rPr>
                <w:sz w:val="4"/>
                <w:szCs w:val="4"/>
              </w:rPr>
            </w:r>
          </w:p>
        </w:tc>
      </w:tr>
      <w:tr>
        <w:trPr/>
        <w:tc>
          <w:tcPr>
            <w:tcW w:w="1623" w:type="dxa"/>
            <w:tcBorders/>
          </w:tcPr>
          <w:p>
            <w:pPr>
              <w:pStyle w:val="TableContents"/>
              <w:bidi w:val="0"/>
              <w:spacing w:before="0" w:after="283"/>
              <w:jc w:val="left"/>
              <w:rPr/>
            </w:pPr>
            <w:r>
              <w:rPr/>
              <w:t>Dated:</w:t>
            </w:r>
          </w:p>
        </w:tc>
        <w:tc>
          <w:tcPr>
            <w:tcW w:w="111"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c>
          <w:tcPr>
            <w:tcW w:w="111" w:type="dxa"/>
            <w:tcBorders/>
            <w:vAlign w:val="bottom"/>
          </w:tcPr>
          <w:p>
            <w:pPr>
              <w:pStyle w:val="TableContents"/>
              <w:bidi w:val="0"/>
              <w:spacing w:before="0" w:after="283"/>
              <w:jc w:val="left"/>
              <w:rPr/>
            </w:pPr>
            <w:r>
              <w:rPr/>
              <w:t> </w:t>
            </w:r>
          </w:p>
        </w:tc>
        <w:tc>
          <w:tcPr>
            <w:tcW w:w="6091" w:type="dxa"/>
            <w:tcBorders/>
          </w:tcPr>
          <w:p>
            <w:pPr>
              <w:pStyle w:val="TableContents"/>
              <w:bidi w:val="0"/>
              <w:spacing w:before="0" w:after="283"/>
              <w:jc w:val="left"/>
              <w:rPr>
                <w:sz w:val="4"/>
                <w:szCs w:val="4"/>
              </w:rPr>
            </w:pPr>
            <w:r>
              <w:rPr>
                <w:sz w:val="4"/>
                <w:szCs w:val="4"/>
              </w:rPr>
            </w:r>
          </w:p>
        </w:tc>
      </w:tr>
      <w:tr>
        <w:trPr>
          <w:trHeight w:val="120" w:hRule="atLeast"/>
        </w:trPr>
        <w:tc>
          <w:tcPr>
            <w:tcW w:w="1623" w:type="dxa"/>
            <w:tcBorders/>
            <w:vAlign w:val="center"/>
          </w:tcPr>
          <w:p>
            <w:pPr>
              <w:pStyle w:val="TableContents"/>
              <w:bidi w:val="0"/>
              <w:spacing w:before="0" w:after="283"/>
              <w:jc w:val="left"/>
              <w:rPr>
                <w:sz w:val="4"/>
                <w:szCs w:val="4"/>
              </w:rPr>
            </w:pPr>
            <w:r>
              <w:rPr>
                <w:sz w:val="4"/>
                <w:szCs w:val="4"/>
              </w:rPr>
            </w:r>
          </w:p>
        </w:tc>
        <w:tc>
          <w:tcPr>
            <w:tcW w:w="2380" w:type="dxa"/>
            <w:gridSpan w:val="2"/>
            <w:tcBorders/>
            <w:vAlign w:val="center"/>
          </w:tcPr>
          <w:p>
            <w:pPr>
              <w:pStyle w:val="TableContents"/>
              <w:bidi w:val="0"/>
              <w:spacing w:before="0" w:after="283"/>
              <w:jc w:val="left"/>
              <w:rPr>
                <w:sz w:val="4"/>
                <w:szCs w:val="4"/>
              </w:rPr>
            </w:pPr>
            <w:r>
              <w:rPr>
                <w:sz w:val="4"/>
                <w:szCs w:val="4"/>
              </w:rPr>
            </w:r>
          </w:p>
        </w:tc>
        <w:tc>
          <w:tcPr>
            <w:tcW w:w="6202" w:type="dxa"/>
            <w:gridSpan w:val="2"/>
            <w:tcBorders/>
            <w:vAlign w:val="center"/>
          </w:tcPr>
          <w:p>
            <w:pPr>
              <w:pStyle w:val="TableContents"/>
              <w:bidi w:val="0"/>
              <w:spacing w:before="0" w:after="283"/>
              <w:jc w:val="left"/>
              <w:rPr>
                <w:sz w:val="4"/>
                <w:szCs w:val="4"/>
              </w:rPr>
            </w:pPr>
            <w:r>
              <w:rPr>
                <w:sz w:val="4"/>
                <w:szCs w:val="4"/>
              </w:rPr>
            </w:r>
          </w:p>
        </w:tc>
      </w:tr>
      <w:tr>
        <w:trPr/>
        <w:tc>
          <w:tcPr>
            <w:tcW w:w="1623" w:type="dxa"/>
            <w:tcBorders/>
          </w:tcPr>
          <w:p>
            <w:pPr>
              <w:pStyle w:val="TableContents"/>
              <w:bidi w:val="0"/>
              <w:spacing w:before="0" w:after="283"/>
              <w:jc w:val="left"/>
              <w:rPr/>
            </w:pPr>
            <w:r>
              <w:rPr/>
              <w:t>Name of Holder:</w:t>
            </w:r>
          </w:p>
        </w:tc>
        <w:tc>
          <w:tcPr>
            <w:tcW w:w="111"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c>
          <w:tcPr>
            <w:tcW w:w="111" w:type="dxa"/>
            <w:tcBorders/>
            <w:vAlign w:val="bottom"/>
          </w:tcPr>
          <w:p>
            <w:pPr>
              <w:pStyle w:val="TableContents"/>
              <w:bidi w:val="0"/>
              <w:spacing w:before="0" w:after="283"/>
              <w:jc w:val="left"/>
              <w:rPr/>
            </w:pPr>
            <w:r>
              <w:rPr/>
              <w:t> </w:t>
            </w:r>
          </w:p>
        </w:tc>
        <w:tc>
          <w:tcPr>
            <w:tcW w:w="6091" w:type="dxa"/>
            <w:tcBorders/>
          </w:tcPr>
          <w:p>
            <w:pPr>
              <w:pStyle w:val="TableContents"/>
              <w:bidi w:val="0"/>
              <w:spacing w:before="0" w:after="283"/>
              <w:jc w:val="left"/>
              <w:rPr>
                <w:sz w:val="4"/>
                <w:szCs w:val="4"/>
              </w:rPr>
            </w:pPr>
            <w:r>
              <w:rPr>
                <w:sz w:val="4"/>
                <w:szCs w:val="4"/>
              </w:rPr>
            </w:r>
          </w:p>
        </w:tc>
      </w:tr>
      <w:tr>
        <w:trPr>
          <w:trHeight w:val="120" w:hRule="atLeast"/>
        </w:trPr>
        <w:tc>
          <w:tcPr>
            <w:tcW w:w="1623" w:type="dxa"/>
            <w:tcBorders/>
            <w:vAlign w:val="center"/>
          </w:tcPr>
          <w:p>
            <w:pPr>
              <w:pStyle w:val="TableContents"/>
              <w:bidi w:val="0"/>
              <w:spacing w:before="0" w:after="283"/>
              <w:jc w:val="left"/>
              <w:rPr>
                <w:sz w:val="4"/>
                <w:szCs w:val="4"/>
              </w:rPr>
            </w:pPr>
            <w:r>
              <w:rPr>
                <w:sz w:val="4"/>
                <w:szCs w:val="4"/>
              </w:rPr>
            </w:r>
          </w:p>
        </w:tc>
        <w:tc>
          <w:tcPr>
            <w:tcW w:w="2380" w:type="dxa"/>
            <w:gridSpan w:val="2"/>
            <w:tcBorders/>
            <w:vAlign w:val="center"/>
          </w:tcPr>
          <w:p>
            <w:pPr>
              <w:pStyle w:val="TableContents"/>
              <w:bidi w:val="0"/>
              <w:spacing w:before="0" w:after="283"/>
              <w:jc w:val="left"/>
              <w:rPr>
                <w:sz w:val="4"/>
                <w:szCs w:val="4"/>
              </w:rPr>
            </w:pPr>
            <w:r>
              <w:rPr>
                <w:sz w:val="4"/>
                <w:szCs w:val="4"/>
              </w:rPr>
            </w:r>
          </w:p>
        </w:tc>
        <w:tc>
          <w:tcPr>
            <w:tcW w:w="6202" w:type="dxa"/>
            <w:gridSpan w:val="2"/>
            <w:tcBorders/>
            <w:vAlign w:val="center"/>
          </w:tcPr>
          <w:p>
            <w:pPr>
              <w:pStyle w:val="TableContents"/>
              <w:bidi w:val="0"/>
              <w:spacing w:before="0" w:after="283"/>
              <w:jc w:val="left"/>
              <w:rPr>
                <w:sz w:val="4"/>
                <w:szCs w:val="4"/>
              </w:rPr>
            </w:pPr>
            <w:r>
              <w:rPr>
                <w:sz w:val="4"/>
                <w:szCs w:val="4"/>
              </w:rPr>
            </w:r>
          </w:p>
        </w:tc>
      </w:tr>
      <w:tr>
        <w:trPr/>
        <w:tc>
          <w:tcPr>
            <w:tcW w:w="1623"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c>
          <w:tcPr>
            <w:tcW w:w="111" w:type="dxa"/>
            <w:tcBorders/>
            <w:vAlign w:val="bottom"/>
          </w:tcPr>
          <w:p>
            <w:pPr>
              <w:pStyle w:val="TableContents"/>
              <w:bidi w:val="0"/>
              <w:spacing w:before="0" w:after="283"/>
              <w:jc w:val="left"/>
              <w:rPr/>
            </w:pPr>
            <w:r>
              <w:rPr/>
              <w:t> </w:t>
            </w:r>
          </w:p>
        </w:tc>
        <w:tc>
          <w:tcPr>
            <w:tcW w:w="6091" w:type="dxa"/>
            <w:tcBorders/>
          </w:tcPr>
          <w:p>
            <w:pPr>
              <w:pStyle w:val="TableContents"/>
              <w:bidi w:val="0"/>
              <w:spacing w:before="0" w:after="283"/>
              <w:jc w:val="left"/>
              <w:rPr>
                <w:sz w:val="4"/>
                <w:szCs w:val="4"/>
              </w:rPr>
            </w:pPr>
            <w:r>
              <w:rPr>
                <w:sz w:val="4"/>
                <w:szCs w:val="4"/>
              </w:rPr>
            </w:r>
          </w:p>
        </w:tc>
      </w:tr>
      <w:tr>
        <w:trPr>
          <w:trHeight w:val="120" w:hRule="atLeast"/>
        </w:trPr>
        <w:tc>
          <w:tcPr>
            <w:tcW w:w="1623" w:type="dxa"/>
            <w:tcBorders/>
            <w:vAlign w:val="center"/>
          </w:tcPr>
          <w:p>
            <w:pPr>
              <w:pStyle w:val="TableContents"/>
              <w:bidi w:val="0"/>
              <w:spacing w:before="0" w:after="283"/>
              <w:jc w:val="left"/>
              <w:rPr>
                <w:sz w:val="4"/>
                <w:szCs w:val="4"/>
              </w:rPr>
            </w:pPr>
            <w:r>
              <w:rPr>
                <w:sz w:val="4"/>
                <w:szCs w:val="4"/>
              </w:rPr>
            </w:r>
          </w:p>
        </w:tc>
        <w:tc>
          <w:tcPr>
            <w:tcW w:w="2380" w:type="dxa"/>
            <w:gridSpan w:val="2"/>
            <w:tcBorders/>
            <w:vAlign w:val="center"/>
          </w:tcPr>
          <w:p>
            <w:pPr>
              <w:pStyle w:val="TableContents"/>
              <w:bidi w:val="0"/>
              <w:spacing w:before="0" w:after="283"/>
              <w:jc w:val="left"/>
              <w:rPr>
                <w:sz w:val="4"/>
                <w:szCs w:val="4"/>
              </w:rPr>
            </w:pPr>
            <w:r>
              <w:rPr>
                <w:sz w:val="4"/>
                <w:szCs w:val="4"/>
              </w:rPr>
            </w:r>
          </w:p>
        </w:tc>
        <w:tc>
          <w:tcPr>
            <w:tcW w:w="6202" w:type="dxa"/>
            <w:gridSpan w:val="2"/>
            <w:tcBorders/>
            <w:vAlign w:val="center"/>
          </w:tcPr>
          <w:p>
            <w:pPr>
              <w:pStyle w:val="TableContents"/>
              <w:bidi w:val="0"/>
              <w:spacing w:before="0" w:after="283"/>
              <w:jc w:val="left"/>
              <w:rPr>
                <w:sz w:val="4"/>
                <w:szCs w:val="4"/>
              </w:rPr>
            </w:pPr>
            <w:r>
              <w:rPr>
                <w:sz w:val="4"/>
                <w:szCs w:val="4"/>
              </w:rPr>
            </w:r>
          </w:p>
        </w:tc>
      </w:tr>
      <w:tr>
        <w:trPr/>
        <w:tc>
          <w:tcPr>
            <w:tcW w:w="1623"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c>
          <w:tcPr>
            <w:tcW w:w="111" w:type="dxa"/>
            <w:tcBorders/>
            <w:vAlign w:val="bottom"/>
          </w:tcPr>
          <w:p>
            <w:pPr>
              <w:pStyle w:val="TableContents"/>
              <w:bidi w:val="0"/>
              <w:spacing w:before="0" w:after="283"/>
              <w:jc w:val="left"/>
              <w:rPr/>
            </w:pPr>
            <w:r>
              <w:rPr/>
              <w:t> </w:t>
            </w:r>
          </w:p>
        </w:tc>
        <w:tc>
          <w:tcPr>
            <w:tcW w:w="6091" w:type="dxa"/>
            <w:tcBorders/>
          </w:tcPr>
          <w:p>
            <w:pPr>
              <w:pStyle w:val="TableContents"/>
              <w:bidi w:val="0"/>
              <w:spacing w:before="0" w:after="283"/>
              <w:jc w:val="left"/>
              <w:rPr>
                <w:sz w:val="4"/>
                <w:szCs w:val="4"/>
              </w:rPr>
            </w:pPr>
            <w:r>
              <w:rPr>
                <w:sz w:val="4"/>
                <w:szCs w:val="4"/>
              </w:rPr>
            </w:r>
          </w:p>
        </w:tc>
      </w:tr>
      <w:tr>
        <w:trPr>
          <w:trHeight w:val="120" w:hRule="atLeast"/>
        </w:trPr>
        <w:tc>
          <w:tcPr>
            <w:tcW w:w="1623" w:type="dxa"/>
            <w:tcBorders/>
            <w:vAlign w:val="center"/>
          </w:tcPr>
          <w:p>
            <w:pPr>
              <w:pStyle w:val="TableContents"/>
              <w:bidi w:val="0"/>
              <w:spacing w:before="0" w:after="283"/>
              <w:jc w:val="left"/>
              <w:rPr>
                <w:sz w:val="4"/>
                <w:szCs w:val="4"/>
              </w:rPr>
            </w:pPr>
            <w:r>
              <w:rPr>
                <w:sz w:val="4"/>
                <w:szCs w:val="4"/>
              </w:rPr>
            </w:r>
          </w:p>
        </w:tc>
        <w:tc>
          <w:tcPr>
            <w:tcW w:w="2380" w:type="dxa"/>
            <w:gridSpan w:val="2"/>
            <w:tcBorders/>
            <w:vAlign w:val="center"/>
          </w:tcPr>
          <w:p>
            <w:pPr>
              <w:pStyle w:val="TableContents"/>
              <w:bidi w:val="0"/>
              <w:spacing w:before="0" w:after="283"/>
              <w:jc w:val="left"/>
              <w:rPr>
                <w:sz w:val="4"/>
                <w:szCs w:val="4"/>
              </w:rPr>
            </w:pPr>
            <w:r>
              <w:rPr>
                <w:sz w:val="4"/>
                <w:szCs w:val="4"/>
              </w:rPr>
            </w:r>
          </w:p>
        </w:tc>
        <w:tc>
          <w:tcPr>
            <w:tcW w:w="6202" w:type="dxa"/>
            <w:gridSpan w:val="2"/>
            <w:tcBorders/>
            <w:vAlign w:val="center"/>
          </w:tcPr>
          <w:p>
            <w:pPr>
              <w:pStyle w:val="TableContents"/>
              <w:bidi w:val="0"/>
              <w:spacing w:before="0" w:after="283"/>
              <w:jc w:val="left"/>
              <w:rPr>
                <w:sz w:val="4"/>
                <w:szCs w:val="4"/>
              </w:rPr>
            </w:pPr>
            <w:r>
              <w:rPr>
                <w:sz w:val="4"/>
                <w:szCs w:val="4"/>
              </w:rPr>
            </w:r>
          </w:p>
        </w:tc>
      </w:tr>
      <w:tr>
        <w:trPr/>
        <w:tc>
          <w:tcPr>
            <w:tcW w:w="1623"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c>
          <w:tcPr>
            <w:tcW w:w="111" w:type="dxa"/>
            <w:tcBorders/>
            <w:vAlign w:val="bottom"/>
          </w:tcPr>
          <w:p>
            <w:pPr>
              <w:pStyle w:val="TableContents"/>
              <w:bidi w:val="0"/>
              <w:spacing w:before="0" w:after="283"/>
              <w:jc w:val="left"/>
              <w:rPr/>
            </w:pPr>
            <w:r>
              <w:rPr/>
              <w:t> </w:t>
            </w:r>
          </w:p>
        </w:tc>
        <w:tc>
          <w:tcPr>
            <w:tcW w:w="609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4" w:name="d63182dex42.htm"/>
      <w:bookmarkStart w:id="5" w:name="ksd63182dex42"/>
      <w:bookmarkEnd w:id="4"/>
      <w:bookmarkEnd w:id="5"/>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THIS REGISTRATION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July 23, 2026, is entered into by and among MannKind Corporation, a Delaware corporation (the “</w:t>
      </w:r>
      <w:r>
        <w:rPr>
          <w:rFonts w:ascii="Times New Roman" w:hAnsi="Times New Roman"/>
          <w:b/>
          <w:sz w:val="20"/>
        </w:rPr>
        <w:t>Company</w:t>
      </w:r>
      <w:r>
        <w:rPr>
          <w:rFonts w:ascii="Times New Roman" w:hAnsi="Times New Roman"/>
          <w:sz w:val="20"/>
        </w:rPr>
        <w:t>”), and the several investors signatory hereto (individually, as an “</w:t>
      </w:r>
      <w:r>
        <w:rPr>
          <w:rFonts w:ascii="Times New Roman" w:hAnsi="Times New Roman"/>
          <w:b/>
          <w:sz w:val="20"/>
        </w:rPr>
        <w:t>Investor</w:t>
      </w:r>
      <w:r>
        <w:rPr>
          <w:rFonts w:ascii="Times New Roman" w:hAnsi="Times New Roman"/>
          <w:sz w:val="20"/>
        </w:rPr>
        <w:t>” and collectively together with their respective permitted assigns, the “</w:t>
      </w:r>
      <w:r>
        <w:rPr>
          <w:rFonts w:ascii="Times New Roman" w:hAnsi="Times New Roman"/>
          <w:b/>
          <w:sz w:val="20"/>
        </w:rPr>
        <w:t>Investors</w:t>
      </w:r>
      <w:r>
        <w:rPr>
          <w:rFonts w:ascii="Times New Roman" w:hAnsi="Times New Roman"/>
          <w:sz w:val="20"/>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hAnsi="Times New Roman"/>
          <w:b/>
          <w:sz w:val="20"/>
        </w:rPr>
        <w:t>Purchase Agreement</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of the Purchase Agreement, the Company has agreed to issue to the Investors, and the Investors have agreed to purchase $50.0 million of (i) shares (the “</w:t>
      </w:r>
      <w:r>
        <w:rPr>
          <w:rFonts w:ascii="Times New Roman" w:hAnsi="Times New Roman"/>
          <w:b/>
          <w:sz w:val="20"/>
        </w:rPr>
        <w:t>Initial Shares</w:t>
      </w:r>
      <w:r>
        <w:rPr>
          <w:rFonts w:ascii="Times New Roman" w:hAnsi="Times New Roman"/>
          <w:sz w:val="20"/>
        </w:rPr>
        <w:t>”) of the Company’s common stock, par value $0.01 per share (the “</w:t>
      </w:r>
      <w:r>
        <w:rPr>
          <w:rFonts w:ascii="Times New Roman" w:hAnsi="Times New Roman"/>
          <w:b/>
          <w:sz w:val="20"/>
        </w:rPr>
        <w:t>Common Stock</w:t>
      </w:r>
      <w:r>
        <w:rPr>
          <w:rFonts w:ascii="Times New Roman" w:hAnsi="Times New Roman"/>
          <w:sz w:val="20"/>
        </w:rPr>
        <w:t>”), and/or (ii) pre-funded warrants to purchase shares of Common Stock (the “</w:t>
      </w:r>
      <w:r>
        <w:rPr>
          <w:rFonts w:ascii="Times New Roman" w:hAnsi="Times New Roman"/>
          <w:b/>
          <w:sz w:val="20"/>
        </w:rPr>
        <w:t>Pre-Funded Warrants</w:t>
      </w:r>
      <w:r>
        <w:rPr>
          <w:rFonts w:ascii="Times New Roman" w:hAnsi="Times New Roman"/>
          <w:sz w:val="20"/>
        </w:rPr>
        <w:t>”). The Initial Shares and the shares of Common Stock issuable upon exercise of the Pre-Funded Warrants, without giving effect to any limitations on exercise of the Pre-Funded Warrants, and assuming all of the Pre-Funded Warrants are exercised for cash, are collectively referred to herein as the “</w:t>
      </w:r>
      <w:r>
        <w:rPr>
          <w:rFonts w:ascii="Times New Roman" w:hAnsi="Times New Roman"/>
          <w:b/>
          <w:sz w:val="20"/>
        </w:rPr>
        <w:t>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sz w:val="20"/>
        </w:rPr>
        <w:t>Securities Act</w:t>
      </w:r>
      <w:r>
        <w:rPr>
          <w:rFonts w:ascii="Times New Roman" w:hAnsi="Times New Roman"/>
          <w:sz w:val="20"/>
        </w:rPr>
        <w:t xml:space="preserve">”),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promises and the mutual covenants contained herein and other good and valuable consideration, the receipt and sufficiency of which are hereby acknowledged, the Company and the Investors hereby agree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1. DEFINITIONS.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Pre-Funded Warrants</w:t>
      </w:r>
      <w:r>
        <w:rPr>
          <w:rFonts w:ascii="Times New Roman" w:hAnsi="Times New Roman"/>
          <w:sz w:val="20"/>
        </w:rPr>
        <w:t xml:space="preserve">” has the meaning set forth in the recitals hereto.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Prospectus</w:t>
      </w:r>
      <w:r>
        <w:rPr>
          <w:rFonts w:ascii="Times New Roman" w:hAnsi="Times New Roman"/>
          <w:sz w:val="20"/>
        </w:rPr>
        <w:t xml:space="preserve">”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sz w:val="20"/>
        </w:rPr>
        <w:t>SEC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b/>
          <w:sz w:val="20"/>
        </w:rPr>
        <w:t>Registrable Securities</w:t>
      </w:r>
      <w:r>
        <w:rPr>
          <w:rFonts w:ascii="Times New Roman" w:hAnsi="Times New Roman"/>
          <w:sz w:val="20"/>
        </w:rPr>
        <w:t>” means the Shares and any Common Stock issued or issuable with respect to the Shares as a result of any stock split or subdivision, stock dividend, recapitalization, exchange or similar event. Registrable Securities shall cease to be Registrable Securities upon the earliest to occur of (i) the date on which an Investor shall have resold all the Registrable Securities covered by the Registration Statement pursuant to the Registration Statement, (ii) such Registrable Securities have been previously sold by such Investor in accordance with Rule 144 (or any successor rule), and (iii) such securities become eligible for resale by such Investor without volume or manner-of-sale restrictions pursuant to Rule 144 (or any successor rule) and without the requirement for the Company to be in compliance with the current public information requirement under Rule 144 (or any successor rule) (each of the foregoing, a “</w:t>
      </w:r>
      <w:r>
        <w:rPr>
          <w:rFonts w:ascii="Times New Roman" w:hAnsi="Times New Roman"/>
          <w:b/>
          <w:sz w:val="20"/>
        </w:rPr>
        <w:t>Termination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Expenses</w:t>
      </w:r>
      <w:r>
        <w:rPr>
          <w:rFonts w:ascii="Times New Roman" w:hAnsi="Times New Roman"/>
          <w:sz w:val="20"/>
        </w:rPr>
        <w:t xml:space="preserve">”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Registration Statement</w:t>
      </w:r>
      <w:r>
        <w:rPr>
          <w:rFonts w:ascii="Times New Roman" w:hAnsi="Times New Roman"/>
          <w:sz w:val="20"/>
        </w:rPr>
        <w:t xml:space="preserve">”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Required Investors</w:t>
      </w:r>
      <w:r>
        <w:rPr>
          <w:rFonts w:ascii="Times New Roman" w:hAnsi="Times New Roman"/>
          <w:sz w:val="20"/>
        </w:rPr>
        <w:t xml:space="preserve">” means the Investors holding a majority of the Registrable Securities outstanding from time to time.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Selling Expenses</w:t>
      </w:r>
      <w:r>
        <w:rPr>
          <w:rFonts w:ascii="Times New Roman" w:hAnsi="Times New Roman"/>
          <w:sz w:val="20"/>
        </w:rPr>
        <w:t xml:space="preserve">” means all underwriting discounts and selling commissions applicable to the sale of Registrable Securities and all similar fees and commissions relating to the Investors’ disposition of the Registrable Securities. </w:t>
      </w:r>
    </w:p>
    <w:p>
      <w:pPr>
        <w:pStyle w:val="TextBody"/>
        <w:bidi w:val="0"/>
        <w:spacing w:before="120" w:after="0"/>
        <w:jc w:val="left"/>
        <w:rPr>
          <w:rFonts w:ascii="Times New Roman" w:hAnsi="Times New Roman"/>
          <w:b/>
          <w:sz w:val="20"/>
        </w:rPr>
      </w:pPr>
      <w:r>
        <w:rPr>
          <w:rFonts w:ascii="Times New Roman" w:hAnsi="Times New Roman"/>
          <w:b/>
          <w:sz w:val="20"/>
        </w:rPr>
        <w:t xml:space="preserve">2. REGISTRATION.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as promptly as reasonably practicable and in any event no later than thirty (30) days after the Closing Date (the “</w:t>
      </w:r>
      <w:r>
        <w:rPr>
          <w:rFonts w:ascii="Times New Roman" w:hAnsi="Times New Roman"/>
          <w:b/>
          <w:sz w:val="20"/>
        </w:rPr>
        <w:t>Filing Deadline</w:t>
      </w:r>
      <w:r>
        <w:rPr>
          <w:rFonts w:ascii="Times New Roman" w:hAnsi="Times New Roman"/>
          <w:sz w:val="20"/>
        </w:rPr>
        <w:t>”), prepare and file with the SEC an initial Registration Statement (the “</w:t>
      </w:r>
      <w:r>
        <w:rPr>
          <w:rFonts w:ascii="Times New Roman" w:hAnsi="Times New Roman"/>
          <w:b/>
          <w:sz w:val="20"/>
        </w:rPr>
        <w:t>Initial Registration Statement</w:t>
      </w:r>
      <w:r>
        <w:rPr>
          <w:rFonts w:ascii="Times New Roman" w:hAnsi="Times New Roman"/>
          <w:sz w:val="20"/>
        </w:rPr>
        <w:t xml:space="preserve">”) covering the resale of all Registrable Securities. Before filing the Registration Statement, the Company shall furnish to the Investors a copy of the Registration Statement. The Investors and their counsel shall have at least three (3)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Securities Act (including Rule 416), such indeterminate number of additional shares of Common Stock resulting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The Company shall (i) use commercially reasonable efforts to address in each such document prior to being so filed with the SEC such comments as an Investor or its counsel reasonably propose, and (ii) not file any Registration Statement or Prospectus or any amendment or supplement thereto containing information regarding an Investor to which such Investor reasonably objects, unless such information is required, in the opinion of the Company, to comply with any applicable law or regulation. The Investors shall furnish all information reasonably requested by the Company and as shall be reasonably required in connection with any registration referred to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The Company shall use its reasonable best efforts to have the Initial Registration Statement and any amendment declared effective by the SEC at the earliest possible date but no later than the earlier of (i) the seventy-fifth (75th) calendar day following the initial filing date of the Initial Registration Statement if the SEC notifies the Company that it will “review” the Initial Registration Statement and (ii) the fifth (5th) Business Day after the date the Company is notified (orally or in writing, whichever is earlier) by the SEC that the Initial Registration Statement will not be “reviewed” or will not be subject to further review (such earlier date, the “</w:t>
      </w:r>
      <w:r>
        <w:rPr>
          <w:rFonts w:ascii="Times New Roman" w:hAnsi="Times New Roman"/>
          <w:b/>
          <w:sz w:val="20"/>
        </w:rPr>
        <w:t>Effectiveness Deadline</w:t>
      </w:r>
      <w:r>
        <w:rPr>
          <w:rFonts w:ascii="Times New Roman" w:hAnsi="Times New Roman"/>
          <w:sz w:val="20"/>
        </w:rPr>
        <w:t>”). The Company shall notify the Investors by e-mail as promptly as practicable, and in any event, within twenty-four (24) hours, after the Registration Statement is declared effective or is supplemented and shall provide the Investors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(A) the date on which the Investors shall have resold all the Registrable Securities covered thereby; and (B)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hAnsi="Times New Roman"/>
          <w:b/>
          <w:sz w:val="20"/>
        </w:rPr>
        <w:t>Registration Period</w:t>
      </w:r>
      <w:r>
        <w:rPr>
          <w:rFonts w:ascii="Times New Roman" w:hAnsi="Times New Roman"/>
          <w:sz w:val="20"/>
        </w:rPr>
        <w:t xml:space="preserve">”).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sz w:val="20"/>
        </w:rPr>
        <w:t>New Registration Statement</w:t>
      </w:r>
      <w:r>
        <w:rPr>
          <w:rFonts w:ascii="Times New Roman" w:hAnsi="Times New Roman"/>
          <w:sz w:val="20"/>
        </w:rPr>
        <w:t>”), so as to cover all of such Registrable Securities as soon as reasonably practicable, but in any event not later than ten (10) Business Days after the necessity therefor arises (the “</w:t>
      </w:r>
      <w:r>
        <w:rPr>
          <w:rFonts w:ascii="Times New Roman" w:hAnsi="Times New Roman"/>
          <w:b/>
          <w:sz w:val="20"/>
        </w:rPr>
        <w:t>New Registration Filing Deadline</w:t>
      </w:r>
      <w:r>
        <w:rPr>
          <w:rFonts w:ascii="Times New Roman" w:hAnsi="Times New Roman"/>
          <w:sz w:val="20"/>
        </w:rPr>
        <w:t>”). The Company shall use its reasonable best efforts to have such amendment and/or New Registration Statement become effective as soon as reasonably practicable following the filing thereof but no later than the earlier of (i) the seventy-fifth (75th) calendar day following the initial filing date of the New Registration Statement if the SEC notifies the Company that it will “review” the New Registration Statement and (ii) the fifth (5th)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hAnsi="Times New Roman"/>
          <w:b/>
          <w:sz w:val="20"/>
        </w:rPr>
        <w:t>New Registration</w:t>
      </w:r>
      <w:r>
        <w:rPr>
          <w:rFonts w:ascii="Times New Roman" w:hAnsi="Times New Roman"/>
          <w:sz w:val="20"/>
        </w:rPr>
        <w:t xml:space="preserve"> </w:t>
      </w:r>
      <w:r>
        <w:rPr>
          <w:rFonts w:ascii="Times New Roman" w:hAnsi="Times New Roman"/>
          <w:b/>
          <w:sz w:val="20"/>
        </w:rPr>
        <w:t>Effectiveness Deadline</w:t>
      </w:r>
      <w:r>
        <w:rPr>
          <w:rFonts w:ascii="Times New Roman" w:hAnsi="Times New Roman"/>
          <w:sz w:val="20"/>
        </w:rPr>
        <w:t xml:space="preserve">”). The provisions of </w:t>
      </w:r>
      <w:r>
        <w:rPr>
          <w:rFonts w:ascii="Times New Roman" w:hAnsi="Times New Roman"/>
          <w:sz w:val="20"/>
          <w:u w:val="single"/>
        </w:rPr>
        <w:t>Section 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shall apply to the New Registration Statement, except as modified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Liquidated Damages</w:t>
      </w:r>
      <w:r>
        <w:rPr>
          <w:rFonts w:ascii="Times New Roman" w:hAnsi="Times New Roman"/>
          <w:sz w:val="20"/>
        </w:rPr>
        <w:t>.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twenty (20) days following the date on which the Company files a post-effective amendment to incorporate the Company’s Annual Report on Form 10-K (a “</w:t>
      </w:r>
      <w:r>
        <w:rPr>
          <w:rFonts w:ascii="Times New Roman" w:hAnsi="Times New Roman"/>
          <w:b/>
          <w:sz w:val="20"/>
        </w:rPr>
        <w:t>Maintenance Failure</w:t>
      </w:r>
      <w:r>
        <w:rPr>
          <w:rFonts w:ascii="Times New Roman" w:hAnsi="Times New Roman"/>
          <w:sz w:val="20"/>
        </w:rPr>
        <w:t>”),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w:t>
      </w:r>
      <w:r>
        <w:rPr>
          <w:rFonts w:ascii="Times New Roman" w:hAnsi="Times New Roman"/>
          <w:b/>
          <w:sz w:val="20"/>
        </w:rPr>
        <w:t>Blackout Period</w:t>
      </w:r>
      <w:r>
        <w:rPr>
          <w:rFonts w:ascii="Times New Roman" w:hAnsi="Times New Roman"/>
          <w:sz w:val="20"/>
        </w:rPr>
        <w:t>”), provided that no liquidated damages shall be payable if and to the extent to, despite reasonable best efforts by the Company to avoid a breach hereof, the Company’s failure was caused by a government shutdown resulting in the SEC’s inability to review or declare effective the Registration Statement. Such payments shall constitute the Investors’ exclusive monetary remedy for such events, but shall not affect the right of the Investors to seek injunctive relief. The amounts payable as liquidated damages pursuant to this paragraph shall be paid in cash no later than five (5) Business Days after each such thirty (30)-day period following the commencement of the Blackout Period until the termination of the Blackout Period (the “</w:t>
      </w:r>
      <w:r>
        <w:rPr>
          <w:rFonts w:ascii="Times New Roman" w:hAnsi="Times New Roman"/>
          <w:b/>
          <w:sz w:val="20"/>
        </w:rPr>
        <w:t>Blackout Period Payment Date</w:t>
      </w:r>
      <w:r>
        <w:rPr>
          <w:rFonts w:ascii="Times New Roman" w:hAnsi="Times New Roman"/>
          <w:sz w:val="20"/>
        </w:rPr>
        <w:t>”). Interest shall accrue at the rate of 1.0% per month (pro-rated for any period less than a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Investor exceed, in the aggregate, 5.0% of the aggregate purchase price of the Shares purchased by such Investor under the Purchase Agreement. Notwithstanding anything in this</w:t>
      </w:r>
      <w:r>
        <w:rPr>
          <w:rFonts w:ascii="Times New Roman" w:hAnsi="Times New Roman"/>
          <w:sz w:val="20"/>
          <w:u w:val="single"/>
        </w:rPr>
        <w:t> Section 2(d)</w:t>
      </w:r>
      <w:r>
        <w:rPr>
          <w:rFonts w:ascii="Times New Roman" w:hAnsi="Times New Roman"/>
          <w:sz w:val="20"/>
        </w:rPr>
        <w:t> to the contrary, during any periods that the Company is unable to meet its obligations hereunder with respect to the registration of the Registrable Securities because any Investor fails to furnish information required to be provided pursuant to</w:t>
      </w:r>
      <w:r>
        <w:rPr>
          <w:rFonts w:ascii="Times New Roman" w:hAnsi="Times New Roman"/>
          <w:sz w:val="20"/>
          <w:u w:val="single"/>
        </w:rPr>
        <w:t> Section 2(a)</w:t>
      </w:r>
      <w:r>
        <w:rPr>
          <w:rFonts w:ascii="Times New Roman" w:hAnsi="Times New Roman"/>
          <w:sz w:val="20"/>
        </w:rPr>
        <w:t> or</w:t>
      </w:r>
      <w:r>
        <w:rPr>
          <w:rFonts w:ascii="Times New Roman" w:hAnsi="Times New Roman"/>
          <w:sz w:val="20"/>
          <w:u w:val="single"/>
        </w:rPr>
        <w:t> Section 4(a)</w:t>
      </w:r>
      <w:r>
        <w:rPr>
          <w:rFonts w:ascii="Times New Roman" w:hAnsi="Times New Roman"/>
          <w:sz w:val="20"/>
        </w:rPr>
        <w:t xml:space="preserve"> within three (3) Business Days of the Company’s request, any liquidated damages that would otherwise accrue as to such Investor only shall be tolled until such information is delivered to the Company. The Effectiveness Deadline or New Registration Effectiveness Deadline, as applicable, shall be extended without default or liquidated damages hereunder in the event that the Company’s failure to obtain the effectiveness of the Registration Statement on a timely basis results solely from the failure of such Investor to timely provide the Company with information reasonably requested by the Company and necessary to complete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Allowed Delays.</w:t>
      </w:r>
      <w:r>
        <w:rPr>
          <w:rFonts w:ascii="Times New Roman" w:hAnsi="Times New Roman"/>
          <w:sz w:val="20"/>
        </w:rPr>
        <w:t> On no more than two (2) occasions and for not more than thirty (30) consecutive days or for a total of not more than sixty (60) days in any twelve (12) month period, the Company may delay the effectiveness of the Initial Registration Statement or any other Registration Statement, or suspend the use of any Prospectus, in the event that the Company or its Board of Directors determines, in good faith and upon the advice of legal counsel, that such delay or suspension is necessary to (i) delay the disclosure of material non-public information concerning the Company, the disclosure of which at the time is not, in the good faith opinion of the Company, in the best interests of the Company or (ii)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sz w:val="20"/>
        </w:rPr>
        <w:t>Allowed Delay</w:t>
      </w:r>
      <w:r>
        <w:rPr>
          <w:rFonts w:ascii="Times New Roman" w:hAnsi="Times New Roman"/>
          <w:sz w:val="20"/>
        </w:rPr>
        <w:t xml:space="preserve">”);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Rule 415; Cutback</w:t>
      </w:r>
      <w:r>
        <w:rPr>
          <w:rFonts w:ascii="Times New Roman" w:hAnsi="Times New Roman"/>
          <w:sz w:val="20"/>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at such Investor’s expense, which counsel shall be selected by the Required Investors, to review and oversee any registration or matters pursuant to this </w:t>
      </w:r>
      <w:r>
        <w:rPr>
          <w:rFonts w:ascii="Times New Roman" w:hAnsi="Times New Roman"/>
          <w:sz w:val="20"/>
          <w:u w:val="single"/>
        </w:rPr>
        <w:t>Section 2(f)</w:t>
      </w:r>
      <w:r>
        <w:rPr>
          <w:rFonts w:ascii="Times New Roman" w:hAnsi="Times New Roman"/>
          <w:sz w:val="20"/>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hAnsi="Times New Roman"/>
          <w:sz w:val="20"/>
          <w:u w:val="single"/>
        </w:rPr>
        <w:t>Section 2(f)</w:t>
      </w:r>
      <w:r>
        <w:rPr>
          <w:rFonts w:ascii="Times New Roman" w:hAnsi="Times New Roman"/>
          <w:sz w:val="20"/>
        </w:rPr>
        <w:t>, the SEC refuses to alter its position, the Company shall (A) remove from such Registration Statement such portion of the Registrable Securities (the “</w:t>
      </w:r>
      <w:r>
        <w:rPr>
          <w:rFonts w:ascii="Times New Roman" w:hAnsi="Times New Roman"/>
          <w:b/>
          <w:sz w:val="20"/>
        </w:rPr>
        <w:t>Cut Back Shares</w:t>
      </w:r>
      <w:r>
        <w:rPr>
          <w:rFonts w:ascii="Times New Roman" w:hAnsi="Times New Roman"/>
          <w:sz w:val="20"/>
        </w:rPr>
        <w:t>”) and/or (B)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sz w:val="20"/>
        </w:rPr>
        <w:t>SEC Restrictions</w:t>
      </w:r>
      <w:r>
        <w:rPr>
          <w:rFonts w:ascii="Times New Roman" w:hAnsi="Times New Roman"/>
          <w:sz w:val="20"/>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sz w:val="20"/>
          <w:u w:val="single"/>
        </w:rPr>
        <w:t>Section 2(f)</w:t>
      </w:r>
      <w:r>
        <w:rPr>
          <w:rFonts w:ascii="Times New Roman" w:hAnsi="Times New Roman"/>
          <w:sz w:val="20"/>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hAnsi="Times New Roman"/>
          <w:b/>
          <w:sz w:val="20"/>
        </w:rPr>
        <w:t>Restriction Termination Date</w:t>
      </w:r>
      <w:r>
        <w:rPr>
          <w:rFonts w:ascii="Times New Roman" w:hAnsi="Times New Roman"/>
          <w:sz w:val="20"/>
        </w:rPr>
        <w:t xml:space="preserve">”). From and after the Restriction Termination Date applicable to any Cut Back Shares, all of the provisions of this </w:t>
      </w:r>
      <w:r>
        <w:rPr>
          <w:rFonts w:ascii="Times New Roman" w:hAnsi="Times New Roman"/>
          <w:sz w:val="20"/>
          <w:u w:val="single"/>
        </w:rPr>
        <w:t>Section 2</w:t>
      </w:r>
      <w:r>
        <w:rPr>
          <w:rFonts w:ascii="Times New Roman" w:hAnsi="Times New Roman"/>
          <w:sz w:val="20"/>
        </w:rPr>
        <w:t xml:space="preserve"> (including the Company’s obligations with respect to the filing of a Registration Statement and its obligations to use reasonable efforts to have such Registration Statement declared effective within the time periods set forth herein and the liquidated damages provisions relating thereto) shall again be applicable to such Cut Back Shares; provided, however, that the date by which the Company is required to file the Registration Statement with respect to such Cut Back Shares shall be the tenth (10th) day following the Restriction Termination Date and the date by which the Company is required to have the Registration Statement effective with respect to such Cut Back Shares shall be the fifty-fifth (55th) day immediately after the Restriction Termination Date. </w:t>
      </w:r>
    </w:p>
    <w:p>
      <w:pPr>
        <w:pStyle w:val="TextBody"/>
        <w:bidi w:val="0"/>
        <w:spacing w:before="120" w:after="0"/>
        <w:jc w:val="left"/>
        <w:rPr>
          <w:rFonts w:ascii="Times New Roman" w:hAnsi="Times New Roman"/>
          <w:b/>
          <w:sz w:val="20"/>
        </w:rPr>
      </w:pPr>
      <w:r>
        <w:rPr>
          <w:rFonts w:ascii="Times New Roman" w:hAnsi="Times New Roman"/>
          <w:b/>
          <w:sz w:val="20"/>
        </w:rPr>
        <w:t xml:space="preserve">3. RELATED COMPANY OBLIGATIONS.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Registration Statement and whenever any Registrable Securities are to be Registered pursuant to </w:t>
      </w:r>
      <w:r>
        <w:rPr>
          <w:rFonts w:ascii="Times New Roman" w:hAnsi="Times New Roman"/>
          <w:sz w:val="20"/>
          <w:u w:val="single"/>
        </w:rPr>
        <w:t>Section 2</w:t>
      </w:r>
      <w:r>
        <w:rPr>
          <w:rFonts w:ascii="Times New Roman" w:hAnsi="Times New Roman"/>
          <w:sz w:val="20"/>
        </w:rPr>
        <w:t xml:space="preserve">,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Notifications</w:t>
      </w:r>
      <w:r>
        <w:rPr>
          <w:rFonts w:ascii="Times New Roman" w:hAnsi="Times New Roman"/>
          <w:sz w:val="20"/>
        </w:rPr>
        <w:t xml:space="preserve">.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written request by the SEC for any amendment or supplement to the Registration Statement, any New Registration Statement or any Prospectus or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xml:space="preserve"> The Company will prepare and file with the SEC any amendments, post-effective amendments or supplements to the Initial Registration Statement, any New Registration Statement or any Prospectus, as applicable, that, (i) as may be necessary to keep such Registration Statement effective for the Registration Period and to comply with the provisions of the Securities Act and the Securities Exchange Act of 1934, as amended, and the rules and regulations thereunder, or any similar successor statute (the “</w:t>
      </w:r>
      <w:r>
        <w:rPr>
          <w:rFonts w:ascii="Times New Roman" w:hAnsi="Times New Roman"/>
          <w:b/>
          <w:sz w:val="20"/>
        </w:rPr>
        <w:t>Exchange Act</w:t>
      </w:r>
      <w:r>
        <w:rPr>
          <w:rFonts w:ascii="Times New Roman" w:hAnsi="Times New Roman"/>
          <w:sz w:val="20"/>
        </w:rPr>
        <w:t xml:space="preserve">”), with respect to the distribution of all of the Registrable Securities covered thereby, or (ii) in the reasonable opinion of the Investors and the Company, as may be necessary or advisable in connection with any acquisition or sale of Registrable Securities by the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Review</w:t>
      </w:r>
      <w:r>
        <w:rPr>
          <w:rFonts w:ascii="Times New Roman" w:hAnsi="Times New Roman"/>
          <w:sz w:val="20"/>
        </w:rPr>
        <w:t xml:space="preserve">.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(i) the Investors and their counsel shall have been advised and afforded the opportunity to review and comment thereon at least two (2) Business Days prior to filing with the SEC and (ii) the Company shall have given reasonable due consideration to any comments thereon received from the Investors or their counsel.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Copies Available</w:t>
      </w:r>
      <w:r>
        <w:rPr>
          <w:rFonts w:ascii="Times New Roman" w:hAnsi="Times New Roman"/>
          <w:sz w:val="20"/>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an Investor may reasonably request in order to facilitate the disposition of the Registrable Securities owned by an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any Investor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of Stop Orders; Material Changes</w:t>
      </w:r>
      <w:r>
        <w:rPr>
          <w:rFonts w:ascii="Times New Roman" w:hAnsi="Times New Roman"/>
          <w:sz w:val="20"/>
        </w:rPr>
        <w:t xml:space="preserve">.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twenty-four (24) hours) and shall confirm such advice in writing, in each case: (A) of the Company’s receipt of notice of any request by the SEC or any other federal or state governmental authority for amendment of or a supplement to the Registration Statement or any Prospectus or for any additional information; (B)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any notification of the suspension of qualification of the Registrable Securities for offering or sale in any jurisdiction or the initiation or contemplated initiation of any proceeding for such purpose; and (C)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clauses (A) through (C) of the immediately preceding sentence (each, a “</w:t>
      </w:r>
      <w:r>
        <w:rPr>
          <w:rFonts w:ascii="Times New Roman" w:hAnsi="Times New Roman"/>
          <w:b/>
          <w:sz w:val="20"/>
        </w:rPr>
        <w:t>Suspension Event</w:t>
      </w:r>
      <w:r>
        <w:rPr>
          <w:rFonts w:ascii="Times New Roman" w:hAnsi="Times New Roman"/>
          <w:sz w:val="20"/>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upon written request therefor and without charge, a copy of any written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(C) of the first sentence of this </w:t>
      </w:r>
      <w:r>
        <w:rPr>
          <w:rFonts w:ascii="Times New Roman" w:hAnsi="Times New Roman"/>
          <w:sz w:val="20"/>
          <w:u w:val="single"/>
        </w:rPr>
        <w:t>Section 3(e)</w:t>
      </w:r>
      <w:r>
        <w:rPr>
          <w:rFonts w:ascii="Times New Roman" w:hAnsi="Times New Roman"/>
          <w:sz w:val="20"/>
        </w:rPr>
        <w:t xml:space="preserv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sixty (60) consecutive calendar days; provided, further, that the Company may not suspend the use of all Registration Statements more than twice, or for more than ninety (90) total calendar days, in each case during any twelve-month period.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Confirmation of Effectiveness</w:t>
      </w:r>
      <w:r>
        <w:rPr>
          <w:rFonts w:ascii="Times New Roman" w:hAnsi="Times New Roman"/>
          <w:sz w:val="20"/>
        </w:rPr>
        <w:t xml:space="preserve">.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Listing</w:t>
      </w:r>
      <w:r>
        <w:rPr>
          <w:rFonts w:ascii="Times New Roman" w:hAnsi="Times New Roman"/>
          <w:sz w:val="20"/>
        </w:rPr>
        <w:t xml:space="preserve">. The Company shall use reasonable best efforts to cause all Registrable Securities covered by a Registration Statement to be listed on the Nasdaq Global Market.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w:t>
      </w:r>
      <w:r>
        <w:rPr>
          <w:rFonts w:ascii="Times New Roman" w:hAnsi="Times New Roman"/>
          <w:sz w:val="20"/>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Investors in writing if, at any time during the Registration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sz w:val="20"/>
          <w:u w:val="single"/>
        </w:rPr>
        <w:t>subsection 3(h)</w:t>
      </w:r>
      <w:r>
        <w:rPr>
          <w:rFonts w:ascii="Times New Roman" w:hAnsi="Times New Roman"/>
          <w:sz w:val="20"/>
        </w:rPr>
        <w:t>, “</w:t>
      </w:r>
      <w:r>
        <w:rPr>
          <w:rFonts w:ascii="Times New Roman" w:hAnsi="Times New Roman"/>
          <w:b/>
          <w:sz w:val="20"/>
        </w:rPr>
        <w:t>Availability Date</w:t>
      </w:r>
      <w:r>
        <w:rPr>
          <w:rFonts w:ascii="Times New Roman" w:hAnsi="Times New Roman"/>
          <w:sz w:val="20"/>
        </w:rPr>
        <w:t>” means the forty-fifth (45th) day following the end of the fourth fiscal quarter that includes the effective date of such Registration Statement, except that, if such fourth fiscal quarter is the last quarter of the Company’s fiscal year, “</w:t>
      </w:r>
      <w:r>
        <w:rPr>
          <w:rFonts w:ascii="Times New Roman" w:hAnsi="Times New Roman"/>
          <w:b/>
          <w:sz w:val="20"/>
        </w:rPr>
        <w:t>Availability Date</w:t>
      </w:r>
      <w:r>
        <w:rPr>
          <w:rFonts w:ascii="Times New Roman" w:hAnsi="Times New Roman"/>
          <w:sz w:val="20"/>
        </w:rPr>
        <w:t xml:space="preserve">” means the ninetieth (90th) day after the end of such fourth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Rule 144</w:t>
      </w:r>
      <w:r>
        <w:rPr>
          <w:rFonts w:ascii="Times New Roman" w:hAnsi="Times New Roman"/>
          <w:sz w:val="20"/>
        </w:rPr>
        <w:t xml:space="preserve">. With a view to making available to the Investors the benefits of Rule 144 (or its successor rule) and any other rule or regulation of the SEC that may at any time permit the Investors to sell shares of Common Stock to the public without registration, for so long as the Registrable Securities are outstanding, the Company covenants and agrees to: (i) make and keep adequate current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Cooperation.</w:t>
      </w:r>
      <w:r>
        <w:rPr>
          <w:rFonts w:ascii="Times New Roman" w:hAnsi="Times New Roman"/>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subject to the receipt by the Company documents from such Investor of customary representations and other documentation reasonably acceptable to the Company in connection therewith; for the avoidance of doubt, the Company may satisfy its obligations hereunder without issuing physical stock certificates through the use of The Depository Trust Company’s Direct Registration System. </w:t>
      </w:r>
    </w:p>
    <w:p>
      <w:pPr>
        <w:pStyle w:val="TextBody"/>
        <w:bidi w:val="0"/>
        <w:spacing w:before="120" w:after="0"/>
        <w:jc w:val="left"/>
        <w:rPr>
          <w:rFonts w:ascii="Times New Roman" w:hAnsi="Times New Roman"/>
          <w:b/>
          <w:sz w:val="20"/>
        </w:rPr>
      </w:pPr>
      <w:r>
        <w:rPr>
          <w:rFonts w:ascii="Times New Roman" w:hAnsi="Times New Roman"/>
          <w:b/>
          <w:sz w:val="20"/>
        </w:rPr>
        <w:t xml:space="preserve">4. OBLIGATIONS OF THE INVESTORS.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Investor Information</w:t>
      </w:r>
      <w:r>
        <w:rPr>
          <w:rFonts w:ascii="Times New Roman" w:hAnsi="Times New Roman"/>
          <w:sz w:val="20"/>
        </w:rPr>
        <w:t xml:space="preserve">. Each Investor shall provide a completed Investor Questionnaire in the form attached hereto as </w:t>
      </w:r>
      <w:r>
        <w:rPr>
          <w:rFonts w:ascii="Times New Roman" w:hAnsi="Times New Roman"/>
          <w:sz w:val="20"/>
          <w:u w:val="single"/>
        </w:rPr>
        <w:t>Exhibit B</w:t>
      </w:r>
      <w:r>
        <w:rPr>
          <w:rFonts w:ascii="Times New Roman" w:hAnsi="Times New Roman"/>
          <w:sz w:val="20"/>
        </w:rPr>
        <w:t xml:space="preserve"> in connection with the registration of the Registrable Securities. If the Company has not received such completed Questionnaire from an Investor within three (3) Business Days of the Company’s request, the Company may file the Registration Statement without including such Investor’s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Sales</w:t>
      </w:r>
      <w:r>
        <w:rPr>
          <w:rFonts w:ascii="Times New Roman" w:hAnsi="Times New Roman"/>
          <w:sz w:val="20"/>
        </w:rPr>
        <w:t xml:space="preserve">. Each Investor, severally and not jointly with any other Investor, agrees that, upon receipt of any notice from the Company of the existence of an Allowed Delay or a Suspension Event as set forth in </w:t>
      </w:r>
      <w:r>
        <w:rPr>
          <w:rFonts w:ascii="Times New Roman" w:hAnsi="Times New Roman"/>
          <w:sz w:val="20"/>
          <w:u w:val="single"/>
        </w:rPr>
        <w:t>Section 3(e)</w:t>
      </w:r>
      <w:r>
        <w:rPr>
          <w:rFonts w:ascii="Times New Roman" w:hAnsi="Times New Roman"/>
          <w:sz w:val="20"/>
        </w:rPr>
        <w:t xml:space="preserve">,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Cooperation</w:t>
      </w:r>
      <w:r>
        <w:rPr>
          <w:rFonts w:ascii="Times New Roman" w:hAnsi="Times New Roman"/>
          <w:sz w:val="20"/>
        </w:rPr>
        <w:t xml:space="preserve">.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w:t>
      </w:r>
    </w:p>
    <w:p>
      <w:pPr>
        <w:pStyle w:val="TextBody"/>
        <w:bidi w:val="0"/>
        <w:spacing w:before="120" w:after="0"/>
        <w:jc w:val="left"/>
        <w:rPr>
          <w:rFonts w:ascii="Times New Roman" w:hAnsi="Times New Roman"/>
          <w:b/>
          <w:sz w:val="20"/>
        </w:rPr>
      </w:pPr>
      <w:r>
        <w:rPr>
          <w:rFonts w:ascii="Times New Roman" w:hAnsi="Times New Roman"/>
          <w:b/>
          <w:sz w:val="20"/>
        </w:rPr>
        <w:t xml:space="preserve">5. 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 </w:t>
      </w:r>
    </w:p>
    <w:p>
      <w:pPr>
        <w:pStyle w:val="TextBody"/>
        <w:bidi w:val="0"/>
        <w:spacing w:before="120" w:after="0"/>
        <w:jc w:val="left"/>
        <w:rPr>
          <w:rFonts w:ascii="Times New Roman" w:hAnsi="Times New Roman"/>
          <w:b/>
          <w:sz w:val="20"/>
        </w:rPr>
      </w:pPr>
      <w:r>
        <w:rPr>
          <w:rFonts w:ascii="Times New Roman" w:hAnsi="Times New Roman"/>
          <w:b/>
          <w:sz w:val="20"/>
        </w:rPr>
        <w:t xml:space="preserve">6. INDEMNIFICATION. </w:t>
      </w:r>
    </w:p>
    <w:p>
      <w:pPr>
        <w:pStyle w:val="TextBody"/>
        <w:bidi w:val="0"/>
        <w:spacing w:before="12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the Investors, the members, the directors, officers, partners, employees, managers, agents, representatives and advisors of the Investors and each Person, if any, who controls the Investors within the meaning of the Securities Act or the Exchange Act (each, an “</w:t>
      </w:r>
      <w:r>
        <w:rPr>
          <w:rFonts w:ascii="Times New Roman" w:hAnsi="Times New Roman"/>
          <w:b/>
          <w:sz w:val="20"/>
        </w:rPr>
        <w:t>Indemnified Person</w:t>
      </w:r>
      <w:r>
        <w:rPr>
          <w:rFonts w:ascii="Times New Roman" w:hAnsi="Times New Roman"/>
          <w:sz w:val="20"/>
        </w:rPr>
        <w:t>”), against any losses, obligations,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hAnsi="Times New Roman"/>
          <w:b/>
          <w:sz w:val="20"/>
        </w:rPr>
        <w:t>Claims</w:t>
      </w:r>
      <w:r>
        <w:rPr>
          <w:rFonts w:ascii="Times New Roman" w:hAnsi="Times New Roman"/>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Person is or may be a party thereto (“</w:t>
      </w:r>
      <w:r>
        <w:rPr>
          <w:rFonts w:ascii="Times New Roman" w:hAnsi="Times New Roman"/>
          <w:b/>
          <w:sz w:val="20"/>
        </w:rPr>
        <w:t>Indemnified Damages</w:t>
      </w:r>
      <w:r>
        <w:rPr>
          <w:rFonts w:ascii="Times New Roman" w:hAnsi="Times New Roman"/>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sz w:val="20"/>
        </w:rPr>
        <w:t>Violations</w:t>
      </w:r>
      <w:r>
        <w:rPr>
          <w:rFonts w:ascii="Times New Roman" w:hAnsi="Times New Roman"/>
          <w:sz w:val="20"/>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hAnsi="Times New Roman"/>
          <w:sz w:val="20"/>
          <w:u w:val="single"/>
        </w:rPr>
        <w:t>Section 6(a)</w:t>
      </w:r>
      <w:r>
        <w:rPr>
          <w:rFonts w:ascii="Times New Roman" w:hAnsi="Times New Roman"/>
          <w:sz w:val="20"/>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in each case,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omissions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such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hAnsi="Times New Roman"/>
          <w:b/>
          <w:sz w:val="20"/>
        </w:rPr>
        <w:t>Indemnified Party</w:t>
      </w:r>
      <w:r>
        <w:rPr>
          <w:rFonts w:ascii="Times New Roman" w:hAnsi="Times New Roman"/>
          <w:sz w:val="20"/>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an Investor furnished in writing by or on behalf of such Investor to the Company or its representatives and reviewed and approved in writing by such Investor or its representatives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Person or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sz w:val="20"/>
          <w:u w:val="single"/>
        </w:rPr>
        <w:t>Section 6</w:t>
      </w:r>
      <w:r>
        <w:rPr>
          <w:rFonts w:ascii="Times New Roman" w:hAnsi="Times New Roman"/>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sz w:val="20"/>
          <w:u w:val="single"/>
        </w:rPr>
        <w:t>Section 6</w:t>
      </w:r>
      <w:r>
        <w:rPr>
          <w:rFonts w:ascii="Times New Roman" w:hAnsi="Times New Roman"/>
          <w:sz w:val="20"/>
        </w:rPr>
        <w:t xml:space="preserve">, except to the extent that the indemnifying party is prejudiced in its ability to defend such action. </w:t>
      </w:r>
    </w:p>
    <w:p>
      <w:pPr>
        <w:pStyle w:val="TextBody"/>
        <w:bidi w:val="0"/>
        <w:spacing w:before="120" w:after="0"/>
        <w:jc w:val="left"/>
        <w:rPr>
          <w:rFonts w:ascii="Times New Roman" w:hAnsi="Times New Roman"/>
          <w:sz w:val="20"/>
        </w:rPr>
      </w:pPr>
      <w:r>
        <w:rPr>
          <w:rFonts w:ascii="Times New Roman" w:hAnsi="Times New Roman"/>
          <w:sz w:val="20"/>
        </w:rPr>
        <w:t xml:space="preserve">(d) The indemnification required by this </w:t>
      </w:r>
      <w:r>
        <w:rPr>
          <w:rFonts w:ascii="Times New Roman" w:hAnsi="Times New Roman"/>
          <w:sz w:val="20"/>
          <w:u w:val="single"/>
        </w:rPr>
        <w:t>Section 6</w:t>
      </w:r>
      <w:r>
        <w:rPr>
          <w:rFonts w:ascii="Times New Roman" w:hAnsi="Times New Roman"/>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sz w:val="20"/>
          <w:u w:val="single"/>
        </w:rPr>
        <w:t>Section 6</w:t>
      </w:r>
      <w:r>
        <w:rPr>
          <w:rFonts w:ascii="Times New Roman" w:hAnsi="Times New Roman"/>
          <w:sz w:val="20"/>
        </w:rPr>
        <w:t xml:space="preserve"> which Person is later determined to not be entitled to such payment shall return such payment (including reimbursement of expenses) to the person making it. </w:t>
      </w:r>
    </w:p>
    <w:p>
      <w:pPr>
        <w:pStyle w:val="TextBody"/>
        <w:bidi w:val="0"/>
        <w:spacing w:before="12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120" w:after="0"/>
        <w:jc w:val="left"/>
        <w:rPr>
          <w:rFonts w:ascii="Times New Roman" w:hAnsi="Times New Roman"/>
          <w:b/>
          <w:sz w:val="20"/>
        </w:rPr>
      </w:pPr>
      <w:r>
        <w:rPr>
          <w:rFonts w:ascii="Times New Roman" w:hAnsi="Times New Roman"/>
          <w:b/>
          <w:sz w:val="20"/>
        </w:rPr>
        <w:t xml:space="preserve">7. CONTRIBUTION.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sz w:val="20"/>
          <w:u w:val="single"/>
        </w:rPr>
        <w:t>Section 6</w:t>
      </w:r>
      <w:r>
        <w:rPr>
          <w:rFonts w:ascii="Times New Roman" w:hAnsi="Times New Roman"/>
          <w:sz w:val="20"/>
        </w:rPr>
        <w:t xml:space="preserve"> to the fullest extent permitted by law; provided, however, that: (a) no seller of Registrable Securities guilty of fraudulent misrepresentation (within the meaning of Section 11(f) of the Securities Act) shall be entitled to contribution from any seller of Registrable Securities who was not guilty of fraudulent misrepresentation; and (b) contribution by any seller of Registrable Securities shall be limited in amount to the net amount of proceeds (net of all expenses paid by such holder in connection with any claim relating to this </w:t>
      </w:r>
      <w:r>
        <w:rPr>
          <w:rFonts w:ascii="Times New Roman" w:hAnsi="Times New Roman"/>
          <w:sz w:val="20"/>
          <w:u w:val="single"/>
        </w:rPr>
        <w:t>Section 7</w:t>
      </w:r>
      <w:r>
        <w:rPr>
          <w:rFonts w:ascii="Times New Roman" w:hAnsi="Times New Roman"/>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 </w:t>
      </w:r>
    </w:p>
    <w:p>
      <w:pPr>
        <w:pStyle w:val="TextBody"/>
        <w:bidi w:val="0"/>
        <w:spacing w:before="120" w:after="0"/>
        <w:jc w:val="left"/>
        <w:rPr>
          <w:rFonts w:ascii="Times New Roman" w:hAnsi="Times New Roman"/>
          <w:b/>
          <w:sz w:val="20"/>
        </w:rPr>
      </w:pPr>
      <w:r>
        <w:rPr>
          <w:rFonts w:ascii="Times New Roman" w:hAnsi="Times New Roman"/>
          <w:b/>
          <w:sz w:val="20"/>
        </w:rPr>
        <w:t xml:space="preserve">8. ASSIGNMENT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shall be deemed to include the securities received by an Investor in connection with such transaction unless such securities are otherwise freely tradable by such Investor after giving effect to such transaction, and the prior written consent of the Required Investors shall not be required for such transaction. No Investor may assign its rights under this Agreement, other than to an Affiliate of such Investor or to any other investment funds or accounts managed or advised by the investment manager who acts on behalf of such Investor or in connection with a transfer of Registrable Securities prior to the occurrence of, or that does not result in, any Termination Event, without the prior written consent of the Company, which consent shall not be unreasonably withheld, conditioned or delayed. The provisions of this Agreement shall be binding upon and inure to the benefit of the Investors and their successors and permitted assigns. </w:t>
      </w:r>
    </w:p>
    <w:p>
      <w:pPr>
        <w:pStyle w:val="TextBody"/>
        <w:bidi w:val="0"/>
        <w:spacing w:before="120" w:after="0"/>
        <w:jc w:val="left"/>
        <w:rPr>
          <w:rFonts w:ascii="Times New Roman" w:hAnsi="Times New Roman"/>
          <w:b/>
          <w:sz w:val="20"/>
        </w:rPr>
      </w:pPr>
      <w:r>
        <w:rPr>
          <w:rFonts w:ascii="Times New Roman" w:hAnsi="Times New Roman"/>
          <w:b/>
          <w:sz w:val="20"/>
        </w:rPr>
        <w:t xml:space="preserve">9.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Agreement, including the provisions of this sentence, may be amended, modified or supplemented, or waived only by a written instrument executed by (a) the Company and (b) the Required Investors, provided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hAnsi="Times New Roman"/>
          <w:sz w:val="20"/>
          <w:u w:val="single"/>
        </w:rPr>
        <w:t>Section 6</w:t>
      </w:r>
      <w:r>
        <w:rPr>
          <w:rFonts w:ascii="Times New Roman" w:hAnsi="Times New Roman"/>
          <w:sz w:val="20"/>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w:t>
      </w:r>
    </w:p>
    <w:p>
      <w:pPr>
        <w:pStyle w:val="TextBody"/>
        <w:bidi w:val="0"/>
        <w:spacing w:before="120" w:after="0"/>
        <w:jc w:val="left"/>
        <w:rPr>
          <w:rFonts w:ascii="Times New Roman" w:hAnsi="Times New Roman"/>
          <w:b/>
          <w:sz w:val="20"/>
        </w:rPr>
      </w:pPr>
      <w:r>
        <w:rPr>
          <w:rFonts w:ascii="Times New Roman" w:hAnsi="Times New Roman"/>
          <w:b/>
          <w:sz w:val="20"/>
        </w:rPr>
        <w:t xml:space="preserve">10.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(i) when delivered if personally delivered to the party for whom it is intended, (ii) when delivered, if sent by electronic mail during normal business hours of the recipient, and if not sent during normal business hours, then on the recipient’s next Business Day, (iii) three (3) days after having been sent by certified or registered mail, return-receipt requested and postage prepaid, or (iv) one (1) Business Day after deposit with a nationally recognized overnight courier, freight prepaid, specifying next Business Day delivery, with written verification of receipt: </w:t>
      </w:r>
    </w:p>
    <w:p>
      <w:pPr>
        <w:pStyle w:val="TextBody"/>
        <w:bidi w:val="0"/>
        <w:spacing w:before="12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MannKind Corporation </w:t>
      </w:r>
    </w:p>
    <w:p>
      <w:pPr>
        <w:pStyle w:val="TextBody"/>
        <w:bidi w:val="0"/>
        <w:spacing w:before="0" w:after="0"/>
        <w:jc w:val="left"/>
        <w:rPr>
          <w:rFonts w:ascii="Times New Roman" w:hAnsi="Times New Roman"/>
          <w:sz w:val="20"/>
        </w:rPr>
      </w:pPr>
      <w:r>
        <w:rPr>
          <w:rFonts w:ascii="Times New Roman" w:hAnsi="Times New Roman"/>
          <w:sz w:val="20"/>
        </w:rPr>
        <w:t xml:space="preserve">30930 Russell Ranch Road </w:t>
      </w:r>
    </w:p>
    <w:p>
      <w:pPr>
        <w:pStyle w:val="TextBody"/>
        <w:bidi w:val="0"/>
        <w:spacing w:before="0" w:after="0"/>
        <w:jc w:val="left"/>
        <w:rPr>
          <w:rFonts w:ascii="Times New Roman" w:hAnsi="Times New Roman"/>
          <w:sz w:val="20"/>
        </w:rPr>
      </w:pPr>
      <w:r>
        <w:rPr>
          <w:rFonts w:ascii="Times New Roman" w:hAnsi="Times New Roman"/>
          <w:sz w:val="20"/>
        </w:rPr>
        <w:t xml:space="preserve">Suite 300 </w:t>
      </w:r>
    </w:p>
    <w:p>
      <w:pPr>
        <w:pStyle w:val="TextBody"/>
        <w:bidi w:val="0"/>
        <w:spacing w:before="0" w:after="0"/>
        <w:jc w:val="left"/>
        <w:rPr>
          <w:rFonts w:ascii="Times New Roman" w:hAnsi="Times New Roman"/>
          <w:sz w:val="20"/>
        </w:rPr>
      </w:pPr>
      <w:r>
        <w:rPr>
          <w:rFonts w:ascii="Times New Roman" w:hAnsi="Times New Roman"/>
          <w:sz w:val="20"/>
        </w:rPr>
        <w:t xml:space="preserve">Westlake Village, CA 91362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legal@mannkindcorp.com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10265 Science Center Drive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0" w:after="0"/>
        <w:jc w:val="left"/>
        <w:rPr>
          <w:rFonts w:ascii="Times New Roman" w:hAnsi="Times New Roman"/>
          <w:sz w:val="20"/>
        </w:rPr>
      </w:pPr>
      <w:r>
        <w:rPr>
          <w:rFonts w:ascii="Times New Roman" w:hAnsi="Times New Roman"/>
          <w:sz w:val="20"/>
        </w:rPr>
        <w:t xml:space="preserve">Attention: Asa M. Henin </w:t>
      </w:r>
    </w:p>
    <w:p>
      <w:pPr>
        <w:pStyle w:val="TextBody"/>
        <w:bidi w:val="0"/>
        <w:spacing w:before="0" w:after="0"/>
        <w:jc w:val="left"/>
        <w:rPr>
          <w:rFonts w:ascii="Times New Roman" w:hAnsi="Times New Roman"/>
          <w:sz w:val="20"/>
        </w:rPr>
      </w:pPr>
      <w:r>
        <w:rPr>
          <w:rFonts w:ascii="Times New Roman" w:hAnsi="Times New Roman"/>
          <w:sz w:val="20"/>
        </w:rPr>
        <w:t xml:space="preserve">Email: ahenin@cooley.com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to any Investor, at its e-mail address or address set forth on its signature page or Exhibit A to the Purchase Agreement or to such e-mail address, or address as subsequently modified by written notice given in accordance with this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Consent to Electronic Notice</w:t>
      </w:r>
      <w:r>
        <w:rPr>
          <w:rFonts w:ascii="Times New Roman" w:hAnsi="Times New Roman"/>
          <w:sz w:val="20"/>
        </w:rPr>
        <w:t>. Each Investor consents to the delivery of any stockholder notice pursuant to the Delaware General Corporation Law (the “</w:t>
      </w:r>
      <w:r>
        <w:rPr>
          <w:rFonts w:ascii="Times New Roman" w:hAnsi="Times New Roman"/>
          <w:b/>
          <w:sz w:val="20"/>
        </w:rPr>
        <w:t>DGCL</w:t>
      </w:r>
      <w:r>
        <w:rPr>
          <w:rFonts w:ascii="Times New Roman" w:hAnsi="Times New Roman"/>
          <w:sz w:val="20"/>
        </w:rPr>
        <w:t xml:space="preserve">”), as amended or superseded from time to time, by electronic mail pursuant to Section 232 of the DGCL (or any successor thereto) at the e-mail address set forth below the Investor’s name on the signature page or Exhibit A to the Purchase Agreement,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xml:space="preserve">. The provisions of </w:t>
      </w:r>
      <w:r>
        <w:rPr>
          <w:rFonts w:ascii="Times New Roman" w:hAnsi="Times New Roman"/>
          <w:sz w:val="20"/>
          <w:u w:val="single"/>
        </w:rPr>
        <w:t>Section 8.5</w:t>
      </w:r>
      <w:r>
        <w:rPr>
          <w:rFonts w:ascii="Times New Roman" w:hAnsi="Times New Roman"/>
          <w:sz w:val="20"/>
        </w:rPr>
        <w:t xml:space="preserve"> of the Purchase Agreement are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Third Party Beneficiaries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Specific Performance.</w:t>
      </w:r>
      <w:r>
        <w:rPr>
          <w:rFonts w:ascii="Times New Roman" w:hAnsi="Times New Roman"/>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w:t>
            </w:r>
            <w:r>
              <w:rPr>
                <w:b/>
                <w:sz w:val="20"/>
              </w:rPr>
              <w:t>ANN</w:t>
            </w:r>
            <w:r>
              <w:rPr>
                <w:b/>
              </w:rPr>
              <w:t>K</w:t>
            </w:r>
            <w:r>
              <w:rPr>
                <w:b/>
                <w:sz w:val="20"/>
              </w:rPr>
              <w:t>IND</w:t>
            </w:r>
            <w:r>
              <w:rPr>
                <w:b/>
              </w:rPr>
              <w:t xml:space="preserve"> C</w:t>
            </w:r>
            <w:r>
              <w:rPr>
                <w:b/>
                <w:sz w:val="20"/>
              </w:rPr>
              <w:t>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Michael E. Castagna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87"/>
        <w:gridCol w:w="182"/>
        <w:gridCol w:w="2913"/>
      </w:tblGrid>
      <w:tr>
        <w:trPr/>
        <w:tc>
          <w:tcPr>
            <w:tcW w:w="98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987" w:type="dxa"/>
            <w:tcBorders/>
            <w:vAlign w:val="center"/>
          </w:tcPr>
          <w:p>
            <w:pPr>
              <w:pStyle w:val="TableContents"/>
              <w:bidi w:val="0"/>
              <w:spacing w:before="0" w:after="283"/>
              <w:jc w:val="left"/>
              <w:rPr>
                <w:sz w:val="4"/>
                <w:szCs w:val="4"/>
              </w:rPr>
            </w:pPr>
            <w:r>
              <w:rPr>
                <w:sz w:val="4"/>
                <w:szCs w:val="4"/>
              </w:rPr>
            </w:r>
          </w:p>
        </w:tc>
        <w:tc>
          <w:tcPr>
            <w:tcW w:w="3095" w:type="dxa"/>
            <w:gridSpan w:val="2"/>
            <w:tcBorders/>
            <w:vAlign w:val="center"/>
          </w:tcPr>
          <w:p>
            <w:pPr>
              <w:pStyle w:val="TableContents"/>
              <w:bidi w:val="0"/>
              <w:spacing w:before="0" w:after="283"/>
              <w:jc w:val="left"/>
              <w:rPr>
                <w:sz w:val="4"/>
                <w:szCs w:val="4"/>
              </w:rPr>
            </w:pPr>
            <w:r>
              <w:rPr>
                <w:sz w:val="4"/>
                <w:szCs w:val="4"/>
              </w:rPr>
            </w:r>
          </w:p>
        </w:tc>
      </w:tr>
      <w:tr>
        <w:trPr/>
        <w:tc>
          <w:tcPr>
            <w:tcW w:w="987" w:type="dxa"/>
            <w:tcBorders/>
          </w:tcPr>
          <w:p>
            <w:pPr>
              <w:pStyle w:val="TableContents"/>
              <w:bidi w:val="0"/>
              <w:spacing w:before="0" w:after="283"/>
              <w:jc w:val="left"/>
              <w:rPr/>
            </w:pPr>
            <w:r>
              <w:rPr/>
              <w:t>By:</w:t>
            </w:r>
          </w:p>
        </w:tc>
        <w:tc>
          <w:tcPr>
            <w:tcW w:w="182" w:type="dxa"/>
            <w:tcBorders/>
            <w:vAlign w:val="bottom"/>
          </w:tcPr>
          <w:p>
            <w:pPr>
              <w:pStyle w:val="TableContents"/>
              <w:bidi w:val="0"/>
              <w:spacing w:before="0" w:after="283"/>
              <w:jc w:val="left"/>
              <w:rPr/>
            </w:pPr>
            <w:r>
              <w:rPr/>
              <w:t> </w:t>
            </w:r>
          </w:p>
        </w:tc>
        <w:tc>
          <w:tcPr>
            <w:tcW w:w="291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6" w:name="d63182dex991.htm"/>
      <w:bookmarkStart w:id="7" w:name="ksd63182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314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MannKind Announces $50 Million Private Placement </w:t>
      </w:r>
    </w:p>
    <w:p>
      <w:pPr>
        <w:pStyle w:val="TextBody"/>
        <w:bidi w:val="0"/>
        <w:spacing w:before="240" w:after="0"/>
        <w:jc w:val="left"/>
        <w:rPr>
          <w:rFonts w:ascii="Times New Roman" w:hAnsi="Times New Roman"/>
          <w:sz w:val="20"/>
        </w:rPr>
      </w:pPr>
      <w:r>
        <w:rPr>
          <w:rFonts w:ascii="Times New Roman" w:hAnsi="Times New Roman"/>
          <w:b/>
          <w:sz w:val="20"/>
        </w:rPr>
        <w:t>DANBURY, Conn. and WESTLAKE VILLAGE, Calif., July</w:t>
      </w:r>
      <w:r>
        <w:rPr>
          <w:rFonts w:ascii="Times New Roman" w:hAnsi="Times New Roman"/>
          <w:sz w:val="20"/>
        </w:rPr>
        <w:t> </w:t>
      </w:r>
      <w:r>
        <w:rPr>
          <w:rFonts w:ascii="Times New Roman" w:hAnsi="Times New Roman"/>
          <w:b/>
          <w:sz w:val="20"/>
        </w:rPr>
        <w:t>24, 2026</w:t>
      </w:r>
      <w:r>
        <w:rPr>
          <w:rFonts w:ascii="Times New Roman" w:hAnsi="Times New Roman"/>
          <w:sz w:val="20"/>
        </w:rPr>
        <w:t xml:space="preserve"> (Globe Newswire) – </w:t>
      </w:r>
      <w:r>
        <w:rPr>
          <w:rFonts w:ascii="Times New Roman" w:hAnsi="Times New Roman"/>
          <w:b/>
          <w:sz w:val="20"/>
        </w:rPr>
        <w:t>MannKind Corporation (Nasdaq: MNKD)</w:t>
      </w:r>
      <w:r>
        <w:rPr>
          <w:rFonts w:ascii="Times New Roman" w:hAnsi="Times New Roman"/>
          <w:sz w:val="20"/>
        </w:rPr>
        <w:t xml:space="preserve">, a biopharmaceutical company dedicated to transforming chronic disease care through innovative, patient-centric solutions for cardiometabolic and orphan lung diseases, today announced that it has entered into a securities purchase agreement in connection with a private placement to certain institutional investors. The gross proceeds from the private placement financing are expected to be approximately $50 million. The closing of the financing is expected to occur on or about July 24,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was led by Frazier Life Sciences, a longstanding biotech investment firm. </w:t>
      </w:r>
    </w:p>
    <w:p>
      <w:pPr>
        <w:pStyle w:val="TextBody"/>
        <w:bidi w:val="0"/>
        <w:spacing w:before="240" w:after="0"/>
        <w:jc w:val="left"/>
        <w:rPr>
          <w:rFonts w:ascii="Times New Roman" w:hAnsi="Times New Roman"/>
          <w:sz w:val="20"/>
        </w:rPr>
      </w:pPr>
      <w:r>
        <w:rPr>
          <w:rFonts w:ascii="Times New Roman" w:hAnsi="Times New Roman"/>
          <w:sz w:val="20"/>
        </w:rPr>
        <w:t xml:space="preserve">MannKind intends to use the net proceeds for general corporate purposes, including funding the $45 million contingent value rights payment triggered by the recent FDA approval of Furoscix ReadyFlow.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securities purchase agreement, MannKind is selling an aggregate of 10,440,838 shares of its common stock and, in lieu of common stock to certain investors, pre-funded warrants to purchase up to an aggregate of 2,412,632 shares of its common stock, at a purchase price of $3.89 per share and $3.88 per pre-funded warrant. The pre-funded warrants will have an exercise price of $0.01 per share and will be exercisable at any time after original issuance, subject to certain beneficial ownership limitations, and will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being issued and sold in the private placement have not been registered under the Securities Act of 1933, as amended, or applicable state securities laws, and are being issued and sold in reliance on Section 4(a)(2) of the Securities Act. The securities may not be offered or sold in the United States, except pursuant to an effective registration statement or an applicable exemption from the registration requirements of the Securities Act. MannKind has agreed to file a registration statement with the Securities and Exchange Commission registering the resale of the shares of common stock issued in the private placement and the shares of common stock issuable upon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any securities described herein, nor shall there be any sale of these securities in any state or jurisdiction in which such offer, solicitation or sale would be unlawful prior to the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MannKind </w:t>
      </w:r>
    </w:p>
    <w:p>
      <w:pPr>
        <w:pStyle w:val="TextBody"/>
        <w:bidi w:val="0"/>
        <w:spacing w:before="120" w:after="0"/>
        <w:jc w:val="left"/>
        <w:rPr>
          <w:rFonts w:ascii="Times New Roman" w:hAnsi="Times New Roman"/>
          <w:sz w:val="20"/>
        </w:rPr>
      </w:pPr>
      <w:r>
        <w:rPr>
          <w:rFonts w:ascii="Times New Roman" w:hAnsi="Times New Roman"/>
          <w:sz w:val="20"/>
        </w:rPr>
        <w:t xml:space="preserve">MannKind Corporation (Nasdaq: MNKD) is a biopharmaceutical company dedicated to transforming chronic disease care through innovative, patient-centric solutions. Focused on cardiometabolic and orphan lung diseases, we develop and commercialize treatments that address serious unmet medical needs, including diabetes, pulmonary hypertension, and fluid overload in heart failure and chronic kidney disease. </w:t>
      </w:r>
    </w:p>
    <w:p>
      <w:pPr>
        <w:pStyle w:val="TextBody"/>
        <w:bidi w:val="0"/>
        <w:spacing w:before="240" w:after="0"/>
        <w:jc w:val="left"/>
        <w:rPr>
          <w:rFonts w:ascii="Times New Roman" w:hAnsi="Times New Roman"/>
          <w:sz w:val="20"/>
        </w:rPr>
      </w:pPr>
      <w:r>
        <w:rPr>
          <w:rFonts w:ascii="Times New Roman" w:hAnsi="Times New Roman"/>
          <w:sz w:val="20"/>
        </w:rPr>
        <w:t xml:space="preserve">With deep expertise in drug-device combinations, MannKind aims to deliver therapies designed to fit seamlessly into daily life. </w:t>
      </w:r>
    </w:p>
    <w:p>
      <w:pPr>
        <w:pStyle w:val="TextBody"/>
        <w:bidi w:val="0"/>
        <w:spacing w:before="240" w:after="0"/>
        <w:jc w:val="left"/>
        <w:rPr>
          <w:rFonts w:ascii="Times New Roman" w:hAnsi="Times New Roman"/>
          <w:sz w:val="20"/>
        </w:rPr>
      </w:pPr>
      <w:r>
        <w:rPr>
          <w:rFonts w:ascii="Times New Roman" w:hAnsi="Times New Roman"/>
          <w:sz w:val="20"/>
        </w:rPr>
        <w:t xml:space="preserve">Learn more at mannkindcorp.com.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that are not statements of historical fact are forward-looking statements that involve risks and uncertainties. These statements include, without limitation, statements regarding the satisfaction of closing conditions for a private placement and the payment to holders of contingent value rights associated with a regulatory milestone. Words such as “believes”, “anticipates”, “plans”, “expects”, “intends”, “will”, “goal”, “potential” and similar expressions are intended to identify forward-looking statements. These forward-looking statements are based upon MannKind’s current expectations. Actual results and the timing of events could differ materially from those anticipated in such forward-looking statements as a result of various risks and uncertainties, which include, without limitation, the risk that MannKind’s products may only achieve a limited degree of commercial success, and other risks detailed in MannKind’s filings with the Securities and Exchange Commission, including its Annual Report on Form 10-K for the year ended December 31, 2025 and subsequent periodic reports on Form 10-Q and current reports on Form 8-K. You are cautioned not to place undue reliance on these forward-looking statements, which speak only as of the date of this press release. All forward-looking statements are qualified in their entirety by this cautionary statement, and MannKind undertakes no obligation to revise or update any forward-looking statements to reflect events or circumstances after the date of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FUROSCIX READYFLOW and MANNKIND are trademarks of MannKind Corporation.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u w:val="single"/>
        </w:rPr>
        <w:t>MannKind Contacts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Kate Miranda </w:t>
      </w:r>
    </w:p>
    <w:p>
      <w:pPr>
        <w:pStyle w:val="TextBody"/>
        <w:bidi w:val="0"/>
        <w:spacing w:before="0" w:after="0"/>
        <w:jc w:val="left"/>
        <w:rPr>
          <w:rFonts w:ascii="Times New Roman" w:hAnsi="Times New Roman"/>
          <w:sz w:val="20"/>
        </w:rPr>
      </w:pPr>
      <w:r>
        <w:rPr>
          <w:rFonts w:ascii="Times New Roman" w:hAnsi="Times New Roman"/>
          <w:sz w:val="20"/>
        </w:rPr>
        <w:t xml:space="preserve">(617) 921-5461 </w:t>
      </w:r>
    </w:p>
    <w:p>
      <w:pPr>
        <w:pStyle w:val="TextBody"/>
        <w:bidi w:val="0"/>
        <w:spacing w:before="0" w:after="0"/>
        <w:jc w:val="left"/>
        <w:rPr>
          <w:rFonts w:ascii="Times New Roman" w:hAnsi="Times New Roman"/>
          <w:sz w:val="20"/>
        </w:rPr>
      </w:pPr>
      <w:r>
        <w:rPr>
          <w:rFonts w:ascii="Times New Roman" w:hAnsi="Times New Roman"/>
          <w:sz w:val="20"/>
        </w:rPr>
        <w:t xml:space="preserve">Email: ir@mnkd.com </w:t>
      </w:r>
    </w:p>
    <w:p>
      <w:pPr>
        <w:pStyle w:val="TextBody"/>
        <w:bidi w:val="0"/>
        <w:spacing w:before="240" w:after="0"/>
        <w:jc w:val="left"/>
        <w:rPr>
          <w:rFonts w:ascii="Times New Roman" w:hAnsi="Times New Roman"/>
          <w:sz w:val="20"/>
        </w:rPr>
      </w:pPr>
      <w:r>
        <w:rPr>
          <w:rFonts w:ascii="Times New Roman" w:hAnsi="Times New Roman"/>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Christie Iacangelo </w:t>
      </w:r>
    </w:p>
    <w:p>
      <w:pPr>
        <w:pStyle w:val="TextBody"/>
        <w:bidi w:val="0"/>
        <w:spacing w:before="0" w:after="0"/>
        <w:jc w:val="left"/>
        <w:rPr>
          <w:rFonts w:ascii="Times New Roman" w:hAnsi="Times New Roman"/>
          <w:sz w:val="20"/>
        </w:rPr>
      </w:pPr>
      <w:r>
        <w:rPr>
          <w:rFonts w:ascii="Times New Roman" w:hAnsi="Times New Roman"/>
          <w:sz w:val="20"/>
        </w:rPr>
        <w:t xml:space="preserve">(818) 292-3500 </w:t>
      </w:r>
    </w:p>
    <w:p>
      <w:pPr>
        <w:pStyle w:val="TextBody"/>
        <w:bidi w:val="0"/>
        <w:spacing w:before="0" w:after="0"/>
        <w:jc w:val="left"/>
        <w:rPr>
          <w:rFonts w:ascii="Times New Roman" w:hAnsi="Times New Roman"/>
          <w:sz w:val="20"/>
        </w:rPr>
      </w:pPr>
      <w:r>
        <w:rPr>
          <w:rFonts w:ascii="Times New Roman" w:hAnsi="Times New Roman"/>
          <w:sz w:val="20"/>
        </w:rPr>
        <w:t xml:space="preserve">Email: media@mnkd.com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19403</Words>
  <Characters>103064</Characters>
  <CharactersWithSpaces>122492</CharactersWithSpaces>
  <Paragraphs>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