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[X] QUARTERLY REPORT PURSUANT TO SECTION 13 OR 15(d) OF 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 TRANSITION REPORT PURSUANT TO SECTION 13 OR 15(d) OF THE SECURITIES EXCHANGE ACT OF 1934</w:t>
      </w:r>
    </w:p>
    <w:p>
      <w:pPr>
        <w:spacing w:after="0" w:line="225" w:lineRule="exact"/>
        <w:rPr>
          <w:sz w:val="20"/>
          <w:szCs w:val="20"/>
          <w:color w:val="auto"/>
        </w:rPr>
      </w:pPr>
    </w:p>
    <w:p>
      <w:pPr>
        <w:ind w:left="3660"/>
        <w:spacing w:after="0"/>
        <w:tabs>
          <w:tab w:leader="none" w:pos="672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-10160</wp:posOffset>
            </wp:positionV>
            <wp:extent cx="1203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spacing w:after="0"/>
              <w:rPr>
                <w:sz w:val="24"/>
                <w:szCs w:val="24"/>
                <w:color w:val="auto"/>
              </w:rPr>
            </w:pP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84"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41" w:lineRule="exact"/>
        <w:rPr>
          <w:sz w:val="20"/>
          <w:szCs w:val="20"/>
          <w:color w:val="auto"/>
        </w:rPr>
      </w:pPr>
    </w:p>
    <w:p>
      <w:pPr>
        <w:ind w:left="220" w:right="1680" w:firstLine="10"/>
        <w:spacing w:after="0" w:line="571" w:lineRule="auto"/>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 Yes [ ] No [X] As of September 1, 2004, there were 32,722,476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66"/>
        </w:trPr>
        <w:tc>
          <w:tcPr>
            <w:tcW w:w="2900" w:type="dxa"/>
            <w:vAlign w:val="bottom"/>
            <w:gridSpan w:val="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000" w:type="dxa"/>
            <w:vAlign w:val="bottom"/>
            <w:gridSpan w:val="6"/>
            <w:vMerge w:val="restart"/>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900" w:type="dxa"/>
            <w:vAlign w:val="bottom"/>
            <w:tcBorders>
              <w:bottom w:val="single" w:sz="8" w:color="0000EE"/>
            </w:tcBorders>
            <w:gridSpan w:val="4"/>
            <w:vMerge w:val="continue"/>
          </w:tcPr>
          <w:p>
            <w:pPr>
              <w:spacing w:after="0"/>
              <w:rPr>
                <w:sz w:val="20"/>
                <w:szCs w:val="20"/>
                <w:color w:val="auto"/>
              </w:rPr>
            </w:pPr>
          </w:p>
        </w:tc>
        <w:tc>
          <w:tcPr>
            <w:tcW w:w="8000" w:type="dxa"/>
            <w:vAlign w:val="bottom"/>
            <w:gridSpan w:val="6"/>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10360" w:type="dxa"/>
            <w:vAlign w:val="bottom"/>
            <w:gridSpan w:val="9"/>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8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00" w:type="dxa"/>
            <w:vAlign w:val="bottom"/>
            <w:gridSpan w:val="10"/>
          </w:tcPr>
          <w:p>
            <w:pPr>
              <w:spacing w:after="0"/>
              <w:rPr>
                <w:sz w:val="20"/>
                <w:szCs w:val="20"/>
                <w:color w:val="auto"/>
              </w:rPr>
            </w:pPr>
            <w:r>
              <w:rPr>
                <w:rFonts w:ascii="Arial" w:cs="Arial" w:eastAsia="Arial" w:hAnsi="Arial"/>
                <w:sz w:val="18"/>
                <w:szCs w:val="18"/>
                <w:color w:val="auto"/>
              </w:rPr>
              <w:t>December 31, 2003 and June 30, 2004</w:t>
            </w: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88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w:t>
              </w:r>
            </w:hyperlink>
          </w:p>
        </w:tc>
        <w:tc>
          <w:tcPr>
            <w:tcW w:w="8020" w:type="dxa"/>
            <w:vAlign w:val="bottom"/>
            <w:gridSpan w:val="7"/>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900" w:type="dxa"/>
            <w:vAlign w:val="bottom"/>
            <w:gridSpan w:val="10"/>
          </w:tcPr>
          <w:p>
            <w:pPr>
              <w:spacing w:after="0"/>
              <w:rPr>
                <w:sz w:val="20"/>
                <w:szCs w:val="20"/>
                <w:color w:val="auto"/>
              </w:rPr>
            </w:pPr>
            <w:r>
              <w:rPr>
                <w:rFonts w:ascii="Arial" w:cs="Arial" w:eastAsia="Arial" w:hAnsi="Arial"/>
                <w:sz w:val="18"/>
                <w:szCs w:val="18"/>
                <w:color w:val="auto"/>
              </w:rPr>
              <w:t>Three Months and Six Months ended June 30, 2003 and 2004 and the period from inception (February 14, 1991) to June 30, 2004</w:t>
            </w: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0900" w:type="dxa"/>
            <w:vAlign w:val="bottom"/>
            <w:gridSpan w:val="10"/>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900" w:type="dxa"/>
            <w:vAlign w:val="bottom"/>
            <w:gridSpan w:val="10"/>
          </w:tcPr>
          <w:p>
            <w:pPr>
              <w:spacing w:after="0"/>
              <w:rPr>
                <w:sz w:val="20"/>
                <w:szCs w:val="20"/>
                <w:color w:val="auto"/>
              </w:rPr>
            </w:pPr>
            <w:r>
              <w:rPr>
                <w:rFonts w:ascii="Arial" w:cs="Arial" w:eastAsia="Arial" w:hAnsi="Arial"/>
                <w:sz w:val="18"/>
                <w:szCs w:val="18"/>
                <w:color w:val="auto"/>
              </w:rPr>
              <w:t>Six Months ended June 30, 2003 and 2004 and the period from inception (February 14, 1991) to June 30, 2004</w:t>
            </w:r>
          </w:p>
        </w:tc>
        <w:tc>
          <w:tcPr>
            <w:tcW w:w="52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w:t>
              </w:r>
            </w:hyperlink>
          </w:p>
        </w:tc>
        <w:tc>
          <w:tcPr>
            <w:tcW w:w="7740" w:type="dxa"/>
            <w:vAlign w:val="bottom"/>
            <w:gridSpan w:val="3"/>
          </w:tcPr>
          <w:p>
            <w:pPr>
              <w:spacing w:after="0"/>
              <w:rPr>
                <w:sz w:val="16"/>
                <w:szCs w:val="16"/>
                <w:color w:val="auto"/>
              </w:rPr>
            </w:pPr>
          </w:p>
        </w:tc>
        <w:tc>
          <w:tcPr>
            <w:tcW w:w="520" w:type="dxa"/>
            <w:vAlign w:val="bottom"/>
          </w:tcPr>
          <w:p>
            <w:pPr>
              <w:jc w:val="right"/>
              <w:ind w:right="74"/>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10360" w:type="dxa"/>
            <w:vAlign w:val="bottom"/>
            <w:gridSpan w:val="9"/>
          </w:tcPr>
          <w:p>
            <w:pPr>
              <w:ind w:left="2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ind w:right="74"/>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648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 about Market Risk</w:t>
              </w:r>
            </w:hyperlink>
          </w:p>
        </w:tc>
        <w:tc>
          <w:tcPr>
            <w:tcW w:w="3880" w:type="dxa"/>
            <w:vAlign w:val="bottom"/>
          </w:tcPr>
          <w:p>
            <w:pPr>
              <w:spacing w:after="0"/>
              <w:rPr>
                <w:sz w:val="17"/>
                <w:szCs w:val="17"/>
                <w:color w:val="auto"/>
              </w:rPr>
            </w:pPr>
          </w:p>
        </w:tc>
        <w:tc>
          <w:tcPr>
            <w:tcW w:w="520" w:type="dxa"/>
            <w:vAlign w:val="bottom"/>
          </w:tcPr>
          <w:p>
            <w:pPr>
              <w:jc w:val="right"/>
              <w:ind w:right="74"/>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20"/>
          </w:cols>
          <w:pgMar w:left="240" w:top="122"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4. Controls and Procedures</w:t>
              </w:r>
            </w:hyperlink>
          </w:p>
        </w:tc>
        <w:tc>
          <w:tcPr>
            <w:tcW w:w="5360" w:type="dxa"/>
            <w:vAlign w:val="bottom"/>
            <w:gridSpan w:val="6"/>
          </w:tcPr>
          <w:p>
            <w:pPr>
              <w:spacing w:after="0"/>
              <w:rPr>
                <w:sz w:val="17"/>
                <w:szCs w:val="17"/>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96"/>
        </w:trPr>
        <w:tc>
          <w:tcPr>
            <w:tcW w:w="770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17"/>
                <w:szCs w:val="17"/>
                <w:color w:val="auto"/>
              </w:rPr>
            </w:pPr>
          </w:p>
        </w:tc>
        <w:tc>
          <w:tcPr>
            <w:tcW w:w="5120" w:type="dxa"/>
            <w:vAlign w:val="bottom"/>
            <w:gridSpan w:val="5"/>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7700" w:type="dxa"/>
            <w:vAlign w:val="bottom"/>
            <w:gridSpan w:val="1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2. Changes in Securities and Use of Proceeds</w:t>
              </w:r>
            </w:hyperlink>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3.</w:t>
              </w:r>
            </w:hyperlink>
          </w:p>
        </w:tc>
        <w:tc>
          <w:tcPr>
            <w:tcW w:w="3100" w:type="dxa"/>
            <w:vAlign w:val="bottom"/>
            <w:tcBorders>
              <w:top w:val="single" w:sz="8" w:color="0000EE"/>
            </w:tcBorders>
            <w:gridSpan w:val="9"/>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4060" w:type="dxa"/>
            <w:vAlign w:val="bottom"/>
            <w:gridSpan w:val="2"/>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7160" w:type="dxa"/>
            <w:vAlign w:val="bottom"/>
            <w:gridSpan w:val="11"/>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Submission of Matters to a Vote of Security Holders</w:t>
              </w:r>
            </w:hyperlink>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7"/>
          </w:tcPr>
          <w:p>
            <w:pPr>
              <w:spacing w:after="0"/>
              <w:rPr>
                <w:sz w:val="17"/>
                <w:szCs w:val="17"/>
                <w:color w:val="auto"/>
              </w:rPr>
            </w:pPr>
          </w:p>
        </w:tc>
        <w:tc>
          <w:tcPr>
            <w:tcW w:w="3380" w:type="dxa"/>
            <w:vAlign w:val="bottom"/>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252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 and Reports on Form 8-K</w:t>
              </w:r>
            </w:hyperlink>
          </w:p>
        </w:tc>
        <w:tc>
          <w:tcPr>
            <w:tcW w:w="4640" w:type="dxa"/>
            <w:vAlign w:val="bottom"/>
            <w:gridSpan w:val="3"/>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Signature</w:t>
              </w:r>
            </w:hyperlink>
          </w:p>
        </w:tc>
        <w:tc>
          <w:tcPr>
            <w:tcW w:w="7000" w:type="dxa"/>
            <w:vAlign w:val="bottom"/>
            <w:gridSpan w:val="10"/>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60" w:type="dxa"/>
            <w:vAlign w:val="bottom"/>
          </w:tcPr>
          <w:p>
            <w:pPr>
              <w:spacing w:after="0"/>
              <w:rPr>
                <w:sz w:val="17"/>
                <w:szCs w:val="17"/>
                <w:color w:val="auto"/>
              </w:rPr>
            </w:pPr>
          </w:p>
        </w:tc>
        <w:tc>
          <w:tcPr>
            <w:tcW w:w="7640" w:type="dxa"/>
            <w:vAlign w:val="bottom"/>
            <w:gridSpan w:val="12"/>
          </w:tcPr>
          <w:p>
            <w:pPr>
              <w:spacing w:after="0" w:line="196" w:lineRule="exact"/>
              <w:rPr>
                <w:sz w:val="20"/>
                <w:szCs w:val="20"/>
                <w:color w:val="auto"/>
              </w:rPr>
            </w:pPr>
            <w:r>
              <w:rPr>
                <w:rFonts w:ascii="Arial" w:cs="Arial" w:eastAsia="Arial" w:hAnsi="Arial"/>
                <w:sz w:val="18"/>
                <w:szCs w:val="18"/>
                <w:color w:val="0000EE"/>
              </w:rPr>
              <w:t>Exhibit 10.2</w:t>
            </w:r>
          </w:p>
        </w:tc>
        <w:tc>
          <w:tcPr>
            <w:tcW w:w="35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08"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8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 Development Stage Company)</w:t>
      </w:r>
    </w:p>
    <w:p>
      <w:pPr>
        <w:spacing w:after="0" w:line="16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 thousands except share data)</w:t>
      </w:r>
    </w:p>
    <w:p>
      <w:pPr>
        <w:spacing w:after="0" w:line="38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3"/>
          </w:tcPr>
          <w:p>
            <w:pPr>
              <w:jc w:val="center"/>
              <w:ind w:left="5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December 31, 2003</w:t>
            </w:r>
          </w:p>
        </w:tc>
        <w:tc>
          <w:tcPr>
            <w:tcW w:w="16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June 30, 2004</w:t>
            </w:r>
          </w:p>
        </w:tc>
        <w:tc>
          <w:tcPr>
            <w:tcW w:w="1780" w:type="dxa"/>
            <w:vAlign w:val="bottom"/>
            <w:gridSpan w:val="3"/>
          </w:tcPr>
          <w:p>
            <w:pPr>
              <w:jc w:val="center"/>
              <w:ind w:left="58"/>
              <w:spacing w:after="0" w:line="149" w:lineRule="exact"/>
              <w:rPr>
                <w:sz w:val="20"/>
                <w:szCs w:val="20"/>
                <w:color w:val="auto"/>
              </w:rPr>
            </w:pPr>
            <w:r>
              <w:rPr>
                <w:rFonts w:ascii="Arial" w:cs="Arial" w:eastAsia="Arial" w:hAnsi="Arial"/>
                <w:sz w:val="14"/>
                <w:szCs w:val="14"/>
                <w:b w:val="1"/>
                <w:bCs w:val="1"/>
                <w:color w:val="auto"/>
                <w:w w:val="91"/>
              </w:rPr>
              <w:t>equity at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00" w:type="dxa"/>
            <w:vAlign w:val="bottom"/>
            <w:gridSpan w:val="2"/>
          </w:tcPr>
          <w:p>
            <w:pPr>
              <w:jc w:val="center"/>
              <w:ind w:left="538"/>
              <w:spacing w:after="0" w:line="149" w:lineRule="exact"/>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3"/>
          </w:tcPr>
          <w:p>
            <w:pPr>
              <w:ind w:left="460"/>
              <w:spacing w:after="0"/>
              <w:rPr>
                <w:sz w:val="20"/>
                <w:szCs w:val="20"/>
                <w:color w:val="auto"/>
              </w:rPr>
            </w:pPr>
            <w:r>
              <w:rPr>
                <w:rFonts w:ascii="Arial" w:cs="Arial" w:eastAsia="Arial" w:hAnsi="Arial"/>
                <w:sz w:val="14"/>
                <w:szCs w:val="14"/>
                <w:b w:val="1"/>
                <w:bCs w:val="1"/>
                <w:color w:val="auto"/>
              </w:rPr>
              <w:t>(unaudited)</w:t>
            </w:r>
          </w:p>
        </w:tc>
        <w:tc>
          <w:tcPr>
            <w:tcW w:w="178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54,120</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37,373</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1,825</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3,887</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1,859</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2,653</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57,804</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43,913</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 net</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67,323</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66,235</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RESTRICTED CASH</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190</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125,876</w:t>
            </w:r>
          </w:p>
        </w:tc>
        <w:tc>
          <w:tcPr>
            <w:tcW w:w="660" w:type="dxa"/>
            <w:vAlign w:val="bottom"/>
          </w:tcPr>
          <w:p>
            <w:pPr>
              <w:spacing w:after="0"/>
              <w:rPr>
                <w:sz w:val="20"/>
                <w:szCs w:val="20"/>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110,778</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1,926</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1,840</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4,015</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4,835</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Payable to stockholder</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Deferred compensation – current</w:t>
            </w:r>
          </w:p>
        </w:tc>
        <w:tc>
          <w:tcPr>
            <w:tcW w:w="560" w:type="dxa"/>
            <w:vAlign w:val="bottom"/>
          </w:tcPr>
          <w:p>
            <w:pPr>
              <w:spacing w:after="0"/>
              <w:rPr>
                <w:sz w:val="18"/>
                <w:szCs w:val="18"/>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1,360</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1,373</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8,707</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8,048</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DEFERRED COMPENSATION</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9,111</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8,178</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SERIES A REDEEMABLE CONVERTIBLE PREFERRED STOCK,</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$0.01 par value—267,213 shares authorized; 267,212, issued and</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outstanding at December 31 2003 and June 30, 2004, respectively;</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aggregate liquidation value, $5,188 as of December 31, 2003 and</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$5,248 as of June 30, 2004</w:t>
            </w:r>
          </w:p>
        </w:tc>
        <w:tc>
          <w:tcPr>
            <w:tcW w:w="5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5,188</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5,248</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w w:val="97"/>
              </w:rPr>
              <w:t>Series B convertible preferred stock, $0.01 par value—192,618 shares</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w w:val="93"/>
              </w:rPr>
              <w:t>authorized, issued and outstanding at December 31, 2003 and June 30,</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2004, respectively; aggregate liquidation value, $15,000 at</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December 31, 2003 and June 30, 2004</w:t>
            </w: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Series C convertible preferred stock, $.01 par value — 980,393 shares</w:t>
            </w:r>
          </w:p>
        </w:tc>
        <w:tc>
          <w:tcPr>
            <w:tcW w:w="5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7"/>
              </w:rPr>
              <w:t>authorized; 980,392 shares issued and outstanding at June 30, 2004,</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aggregate liquidation value of $50,000 at June 30, 2004</w:t>
            </w:r>
          </w:p>
        </w:tc>
        <w:tc>
          <w:tcPr>
            <w:tcW w:w="5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20"/>
                <w:szCs w:val="20"/>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Series C convertible preferred stock issuable</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Series C convertible preferred stock subscriptions receivable</w:t>
            </w:r>
          </w:p>
        </w:tc>
        <w:tc>
          <w:tcPr>
            <w:tcW w:w="5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(18,153)</w:t>
            </w:r>
          </w:p>
        </w:tc>
        <w:tc>
          <w:tcPr>
            <w:tcW w:w="5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Common stock, $0.01 par value—100,000,000 shares authorized;</w:t>
            </w: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19,974,727 and 19,975,089 shares issued and outstanding at</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December 31, 2003 and June 30, 2004, respectively</w:t>
            </w: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5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56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433,141</w:t>
            </w:r>
          </w:p>
        </w:tc>
        <w:tc>
          <w:tcPr>
            <w:tcW w:w="6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435,240</w:t>
            </w:r>
          </w:p>
        </w:tc>
        <w:tc>
          <w:tcPr>
            <w:tcW w:w="5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505,427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Note receivable from stockholders</w:t>
            </w:r>
          </w:p>
        </w:tc>
        <w:tc>
          <w:tcPr>
            <w:tcW w:w="5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(1,412)</w:t>
            </w:r>
          </w:p>
        </w:tc>
        <w:tc>
          <w:tcPr>
            <w:tcW w:w="5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(1,463)</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Note receivable from officers</w:t>
            </w:r>
          </w:p>
        </w:tc>
        <w:tc>
          <w:tcPr>
            <w:tcW w:w="5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(228)</w:t>
            </w:r>
          </w:p>
        </w:tc>
        <w:tc>
          <w:tcPr>
            <w:tcW w:w="5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56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(366,971)</w:t>
            </w:r>
          </w:p>
        </w:tc>
        <w:tc>
          <w:tcPr>
            <w:tcW w:w="5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(401,625)</w:t>
            </w:r>
          </w:p>
        </w:tc>
        <w:tc>
          <w:tcPr>
            <w:tcW w:w="1780" w:type="dxa"/>
            <w:vAlign w:val="bottom"/>
            <w:gridSpan w:val="3"/>
          </w:tcPr>
          <w:p>
            <w:pPr>
              <w:jc w:val="right"/>
              <w:ind w:right="440"/>
              <w:spacing w:after="0"/>
              <w:rPr>
                <w:sz w:val="20"/>
                <w:szCs w:val="20"/>
                <w:color w:val="auto"/>
              </w:rPr>
            </w:pPr>
            <w:r>
              <w:rPr>
                <w:rFonts w:ascii="Arial" w:cs="Arial" w:eastAsia="Arial" w:hAnsi="Arial"/>
                <w:sz w:val="18"/>
                <w:szCs w:val="18"/>
                <w:color w:val="auto"/>
              </w:rPr>
              <w:t>(401,625)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EEEEEE"/>
          </w:tcPr>
          <w:p>
            <w:pPr>
              <w:spacing w:after="0"/>
              <w:rPr>
                <w:sz w:val="20"/>
                <w:szCs w:val="20"/>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111,577</w:t>
            </w:r>
          </w:p>
        </w:tc>
        <w:tc>
          <w:tcPr>
            <w:tcW w:w="66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97,352</w:t>
            </w:r>
          </w:p>
        </w:tc>
        <w:tc>
          <w:tcPr>
            <w:tcW w:w="5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$ 102,600</w:t>
            </w:r>
          </w:p>
        </w:tc>
        <w:tc>
          <w:tcPr>
            <w:tcW w:w="4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shd w:val="clear" w:color="auto" w:fill="808080"/>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shd w:val="clear" w:color="auto" w:fill="808080"/>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808080"/>
              <w:bottom w:val="single" w:sz="8" w:color="808080"/>
            </w:tcBorders>
            <w:shd w:val="clear" w:color="auto" w:fill="808080"/>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125,876</w:t>
            </w:r>
          </w:p>
        </w:tc>
        <w:tc>
          <w:tcPr>
            <w:tcW w:w="660" w:type="dxa"/>
            <w:vAlign w:val="bottom"/>
          </w:tcPr>
          <w:p>
            <w:pPr>
              <w:spacing w:after="0"/>
              <w:rPr>
                <w:sz w:val="18"/>
                <w:szCs w:val="18"/>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110,778</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140"/>
          </w:cols>
          <w:pgMar w:left="240" w:top="419" w:right="519" w:bottom="1440" w:gutter="0" w:footer="0" w:header="0"/>
        </w:sectPr>
      </w:pPr>
    </w:p>
    <w:p>
      <w:pPr>
        <w:jc w:val="center"/>
        <w:ind w:right="-2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w w:val="90"/>
              </w:rPr>
              <w:t>Six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60" w:type="dxa"/>
            <w:vAlign w:val="bottom"/>
            <w:gridSpan w:val="6"/>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February 14, 1991</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vMerge w:val="restart"/>
          </w:tcPr>
          <w:p>
            <w:pPr>
              <w:spacing w:after="0"/>
              <w:rPr>
                <w:sz w:val="6"/>
                <w:szCs w:val="6"/>
                <w:color w:val="auto"/>
              </w:rPr>
            </w:pPr>
          </w:p>
        </w:tc>
        <w:tc>
          <w:tcPr>
            <w:tcW w:w="1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6"/>
              </w:rPr>
              <w:t>June 30,</w:t>
            </w: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260" w:type="dxa"/>
            <w:vAlign w:val="bottom"/>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to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2,858</w:t>
            </w:r>
          </w:p>
        </w:tc>
        <w:tc>
          <w:tcPr>
            <w:tcW w:w="5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Research &amp; development</w:t>
            </w: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9,321</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14,311</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20,884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27,110</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170,757</w:t>
            </w:r>
          </w:p>
        </w:tc>
        <w:tc>
          <w:tcPr>
            <w:tcW w:w="5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65,297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In-process research and development</w:t>
            </w: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tcBorders>
              <w:left w:val="single" w:sz="8" w:color="EEEEEE"/>
            </w:tcBorders>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56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costs</w:t>
            </w:r>
          </w:p>
        </w:tc>
        <w:tc>
          <w:tcPr>
            <w:tcW w:w="36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348"/>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36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19,726</w:t>
            </w:r>
          </w:p>
        </w:tc>
        <w:tc>
          <w:tcPr>
            <w:tcW w:w="56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151,428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right w:val="single" w:sz="8" w:color="808080"/>
            </w:tcBorders>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13,224</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18,382</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33,594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34,950</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407,208</w:t>
            </w:r>
          </w:p>
        </w:tc>
        <w:tc>
          <w:tcPr>
            <w:tcW w:w="5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(13,224)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(18,382)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(33,594)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(34,950)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0"/>
              </w:rPr>
              <w:t>(404,350)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4,799</w:t>
            </w:r>
          </w:p>
        </w:tc>
        <w:tc>
          <w:tcPr>
            <w:tcW w:w="5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right w:val="single" w:sz="8" w:color="808080"/>
            </w:tcBorders>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(13,088)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(18,245)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w w:val="89"/>
              </w:rPr>
              <w:t>(33,423)</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(34,654)</w:t>
            </w: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(401,611)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Borders>
              <w:right w:val="single" w:sz="8" w:color="808080"/>
            </w:tcBorders>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Borders>
              <w:right w:val="single" w:sz="8" w:color="808080"/>
            </w:tcBorders>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(13,088)</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(18,245)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w w:val="89"/>
              </w:rPr>
              <w:t>(33,423)</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(34,654)</w:t>
            </w: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(401,625)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conversion feature of convertible</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(875)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w w:val="99"/>
              </w:rPr>
              <w:t>Accretion on redeemable preferred stock</w:t>
            </w: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88"/>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w:t>
            </w: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(14,026)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(18,241)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(34,421)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(35,326)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(405,627)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Net loss per share:</w:t>
            </w:r>
          </w:p>
        </w:tc>
        <w:tc>
          <w:tcPr>
            <w:tcW w:w="36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56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Basic and diluted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(0.79)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8"/>
              <w:spacing w:after="0"/>
              <w:rPr>
                <w:sz w:val="20"/>
                <w:szCs w:val="20"/>
                <w:color w:val="auto"/>
              </w:rPr>
            </w:pPr>
            <w:r>
              <w:rPr>
                <w:rFonts w:ascii="Arial" w:cs="Arial" w:eastAsia="Arial" w:hAnsi="Arial"/>
                <w:sz w:val="18"/>
                <w:szCs w:val="18"/>
                <w:color w:val="auto"/>
              </w:rPr>
              <w:t>(2.01)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 – pro forma</w:t>
            </w:r>
          </w:p>
        </w:tc>
        <w:tc>
          <w:tcPr>
            <w:tcW w:w="36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left w:val="single" w:sz="8" w:color="EEEEEE"/>
            </w:tcBorders>
            <w:shd w:val="clear" w:color="auto" w:fill="EEEEEE"/>
          </w:tcPr>
          <w:p>
            <w:pPr>
              <w:spacing w:after="0"/>
              <w:rPr>
                <w:sz w:val="19"/>
                <w:szCs w:val="19"/>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56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net loss per</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w:t>
            </w: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17,760</w:t>
            </w:r>
          </w:p>
        </w:tc>
        <w:tc>
          <w:tcPr>
            <w:tcW w:w="4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19,975</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17,117</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19,975</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 pro forma</w:t>
            </w:r>
          </w:p>
        </w:tc>
        <w:tc>
          <w:tcPr>
            <w:tcW w:w="3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Borders>
              <w:right w:val="single" w:sz="8" w:color="808080"/>
            </w:tcBorders>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42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2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24,907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24,562</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1900" w:type="dxa"/>
            <w:vAlign w:val="bottom"/>
            <w:gridSpan w:val="3"/>
          </w:tcPr>
          <w:p>
            <w:pPr>
              <w:jc w:val="center"/>
              <w:ind w:left="193"/>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1900" w:type="dxa"/>
            <w:vAlign w:val="bottom"/>
            <w:gridSpan w:val="3"/>
          </w:tcPr>
          <w:p>
            <w:pPr>
              <w:jc w:val="center"/>
              <w:ind w:left="193"/>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77"/>
        </w:trPr>
        <w:tc>
          <w:tcPr>
            <w:tcW w:w="5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900" w:type="dxa"/>
            <w:vAlign w:val="bottom"/>
            <w:gridSpan w:val="3"/>
            <w:vMerge w:val="restart"/>
          </w:tcPr>
          <w:p>
            <w:pPr>
              <w:jc w:val="center"/>
              <w:ind w:left="193"/>
              <w:spacing w:after="0" w:line="149" w:lineRule="exact"/>
              <w:rPr>
                <w:sz w:val="20"/>
                <w:szCs w:val="20"/>
                <w:color w:val="auto"/>
              </w:rPr>
            </w:pPr>
            <w:r>
              <w:rPr>
                <w:rFonts w:ascii="Arial" w:cs="Arial" w:eastAsia="Arial" w:hAnsi="Arial"/>
                <w:sz w:val="14"/>
                <w:szCs w:val="14"/>
                <w:b w:val="1"/>
                <w:bCs w:val="1"/>
                <w:color w:val="auto"/>
                <w:w w:val="91"/>
              </w:rPr>
              <w:t>inception) to June</w:t>
            </w:r>
          </w:p>
        </w:tc>
        <w:tc>
          <w:tcPr>
            <w:tcW w:w="0" w:type="dxa"/>
            <w:vAlign w:val="bottom"/>
          </w:tcPr>
          <w:p>
            <w:pPr>
              <w:spacing w:after="0"/>
              <w:rPr>
                <w:sz w:val="1"/>
                <w:szCs w:val="1"/>
                <w:color w:val="auto"/>
              </w:rPr>
            </w:pPr>
          </w:p>
        </w:tc>
      </w:tr>
      <w:tr>
        <w:trPr>
          <w:trHeight w:val="52"/>
        </w:trPr>
        <w:tc>
          <w:tcPr>
            <w:tcW w:w="5520" w:type="dxa"/>
            <w:vAlign w:val="bottom"/>
          </w:tcPr>
          <w:p>
            <w:pPr>
              <w:spacing w:after="0"/>
              <w:rPr>
                <w:sz w:val="4"/>
                <w:szCs w:val="4"/>
                <w:color w:val="auto"/>
              </w:rPr>
            </w:pPr>
          </w:p>
        </w:tc>
        <w:tc>
          <w:tcPr>
            <w:tcW w:w="2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4"/>
                <w:szCs w:val="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left="673"/>
              <w:spacing w:after="0"/>
              <w:rPr>
                <w:sz w:val="20"/>
                <w:szCs w:val="20"/>
                <w:color w:val="auto"/>
              </w:rPr>
            </w:pPr>
            <w:r>
              <w:rPr>
                <w:rFonts w:ascii="Arial" w:cs="Arial" w:eastAsia="Arial" w:hAnsi="Arial"/>
                <w:sz w:val="14"/>
                <w:szCs w:val="14"/>
                <w:b w:val="1"/>
                <w:bCs w:val="1"/>
                <w:color w:val="auto"/>
                <w:w w:val="91"/>
              </w:rPr>
              <w:t>30, 2004</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640" w:type="dxa"/>
            <w:vAlign w:val="bottom"/>
            <w:gridSpan w:val="4"/>
          </w:tcPr>
          <w:p>
            <w:pPr>
              <w:jc w:val="right"/>
              <w:ind w:right="360"/>
              <w:spacing w:after="0"/>
              <w:rPr>
                <w:sz w:val="20"/>
                <w:szCs w:val="20"/>
                <w:color w:val="auto"/>
              </w:rPr>
            </w:pPr>
            <w:r>
              <w:rPr>
                <w:rFonts w:ascii="Arial" w:cs="Arial" w:eastAsia="Arial" w:hAnsi="Arial"/>
                <w:sz w:val="18"/>
                <w:szCs w:val="18"/>
                <w:color w:val="auto"/>
              </w:rPr>
              <w:t>$(33,423)</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$(34,654)</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$(401,625)</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3,855</w:t>
            </w:r>
          </w:p>
        </w:tc>
        <w:tc>
          <w:tcPr>
            <w:tcW w:w="4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3,564</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19,631</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In-process research and development</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3,150</w:t>
            </w:r>
          </w:p>
        </w:tc>
        <w:tc>
          <w:tcPr>
            <w:tcW w:w="4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2,377</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19,066</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Discount on stockholder notes below market rate</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Non-cash compensation to officers</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Stock issued for services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w w:val="97"/>
              </w:rPr>
              <w:t>Loss on sale and abandonment/disposal of property and equipment</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740</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42</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Accrued interest expense on notes payable to stockholders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Accrued interest on notes</w:t>
            </w:r>
          </w:p>
        </w:tc>
        <w:tc>
          <w:tcPr>
            <w:tcW w:w="2640" w:type="dxa"/>
            <w:vAlign w:val="bottom"/>
            <w:gridSpan w:val="4"/>
          </w:tcPr>
          <w:p>
            <w:pPr>
              <w:jc w:val="right"/>
              <w:ind w:right="360"/>
              <w:spacing w:after="0"/>
              <w:rPr>
                <w:sz w:val="20"/>
                <w:szCs w:val="20"/>
                <w:color w:val="auto"/>
              </w:rPr>
            </w:pPr>
            <w:r>
              <w:rPr>
                <w:rFonts w:ascii="Arial" w:cs="Arial" w:eastAsia="Arial" w:hAnsi="Arial"/>
                <w:sz w:val="18"/>
                <w:szCs w:val="18"/>
                <w:color w:val="auto"/>
              </w:rPr>
              <w:t>(51)</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(51)</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Goodwill impairment</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5520" w:type="dxa"/>
            <w:vAlign w:val="bottom"/>
          </w:tcPr>
          <w:p>
            <w:pPr>
              <w:ind w:left="280"/>
              <w:spacing w:after="0"/>
              <w:rPr>
                <w:sz w:val="20"/>
                <w:szCs w:val="20"/>
                <w:color w:val="auto"/>
              </w:rPr>
            </w:pPr>
            <w:r>
              <w:rPr>
                <w:rFonts w:ascii="Arial" w:cs="Arial" w:eastAsia="Arial" w:hAnsi="Arial"/>
                <w:sz w:val="18"/>
                <w:szCs w:val="18"/>
                <w:color w:val="auto"/>
              </w:rPr>
              <w:t>Loss on available-for-sale securities, net</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9</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Changes in assets and liabilities:</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280</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(794)</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Restricted cash</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(559)</w:t>
            </w: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(20)</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7</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139</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Accounts payable</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(2,194)</w:t>
            </w: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(86)</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55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774</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820</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420"/>
              <w:spacing w:after="0"/>
              <w:rPr>
                <w:sz w:val="20"/>
                <w:szCs w:val="20"/>
                <w:color w:val="auto"/>
              </w:rPr>
            </w:pPr>
            <w:r>
              <w:rPr>
                <w:rFonts w:ascii="Arial" w:cs="Arial" w:eastAsia="Arial" w:hAnsi="Arial"/>
                <w:sz w:val="18"/>
                <w:szCs w:val="18"/>
                <w:color w:val="auto"/>
              </w:rPr>
              <w:t>Other liabilities</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(153)</w:t>
            </w: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16</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520" w:type="dxa"/>
            <w:vAlign w:val="bottom"/>
          </w:tcPr>
          <w:p>
            <w:pPr>
              <w:ind w:left="420"/>
              <w:spacing w:after="0"/>
              <w:rPr>
                <w:sz w:val="20"/>
                <w:szCs w:val="20"/>
                <w:color w:val="auto"/>
              </w:rPr>
            </w:pPr>
            <w:r>
              <w:rPr>
                <w:rFonts w:ascii="Arial" w:cs="Arial" w:eastAsia="Arial" w:hAnsi="Arial"/>
                <w:sz w:val="18"/>
                <w:szCs w:val="18"/>
                <w:color w:val="auto"/>
              </w:rPr>
              <w:t>Payment of deferred compensation</w:t>
            </w:r>
          </w:p>
        </w:tc>
        <w:tc>
          <w:tcPr>
            <w:tcW w:w="1640" w:type="dxa"/>
            <w:vAlign w:val="bottom"/>
            <w:gridSpan w:val="2"/>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(271)</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cash used in operating activities</w:t>
            </w:r>
          </w:p>
        </w:tc>
        <w:tc>
          <w:tcPr>
            <w:tcW w:w="1640" w:type="dxa"/>
            <w:vAlign w:val="bottom"/>
            <w:gridSpan w:val="2"/>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(27,715)</w:t>
            </w: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(28,866)</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(181,908)</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Purchase of marketable securities</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(16,338)</w:t>
            </w: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(2,614)</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(123,729)</w:t>
            </w: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Sales of marketable securities</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25,229</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500</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119,647</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Purchase of property and equipment</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(3,974)</w:t>
            </w: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(2,518)</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(88,823)</w:t>
            </w:r>
          </w:p>
        </w:tc>
        <w:tc>
          <w:tcPr>
            <w:tcW w:w="0" w:type="dxa"/>
            <w:vAlign w:val="bottom"/>
          </w:tcPr>
          <w:p>
            <w:pPr>
              <w:spacing w:after="0"/>
              <w:rPr>
                <w:sz w:val="1"/>
                <w:szCs w:val="1"/>
                <w:color w:val="auto"/>
              </w:rPr>
            </w:pPr>
          </w:p>
        </w:tc>
      </w:tr>
      <w:tr>
        <w:trPr>
          <w:trHeight w:val="237"/>
        </w:trPr>
        <w:tc>
          <w:tcPr>
            <w:tcW w:w="5520" w:type="dxa"/>
            <w:vAlign w:val="bottom"/>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164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2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4,990</w:t>
            </w:r>
          </w:p>
        </w:tc>
        <w:tc>
          <w:tcPr>
            <w:tcW w:w="4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(4,632)</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(92,813)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Repurchase of common stock</w:t>
            </w:r>
          </w:p>
        </w:tc>
        <w:tc>
          <w:tcPr>
            <w:tcW w:w="264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(1,028)</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Issuance of common stock for cash</w:t>
            </w:r>
          </w:p>
        </w:tc>
        <w:tc>
          <w:tcPr>
            <w:tcW w:w="2640" w:type="dxa"/>
            <w:vAlign w:val="bottom"/>
            <w:gridSpan w:val="4"/>
          </w:tcPr>
          <w:p>
            <w:pPr>
              <w:jc w:val="right"/>
              <w:ind w:right="420"/>
              <w:spacing w:after="0"/>
              <w:rPr>
                <w:sz w:val="20"/>
                <w:szCs w:val="20"/>
                <w:color w:val="auto"/>
              </w:rPr>
            </w:pPr>
            <w:r>
              <w:rPr>
                <w:rFonts w:ascii="Arial" w:cs="Arial" w:eastAsia="Arial" w:hAnsi="Arial"/>
                <w:sz w:val="18"/>
                <w:szCs w:val="18"/>
                <w:color w:val="auto"/>
              </w:rPr>
              <w:t>40,000</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1900" w:type="dxa"/>
            <w:vAlign w:val="bottom"/>
            <w:gridSpan w:val="3"/>
          </w:tcPr>
          <w:p>
            <w:pPr>
              <w:jc w:val="right"/>
              <w:ind w:right="480"/>
              <w:spacing w:after="0"/>
              <w:rPr>
                <w:sz w:val="20"/>
                <w:szCs w:val="20"/>
                <w:color w:val="auto"/>
              </w:rPr>
            </w:pPr>
            <w:r>
              <w:rPr>
                <w:rFonts w:ascii="Arial" w:cs="Arial" w:eastAsia="Arial" w:hAnsi="Arial"/>
                <w:sz w:val="18"/>
                <w:szCs w:val="18"/>
                <w:color w:val="auto"/>
              </w:rPr>
              <w:t>235,844</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received for common stock to be issued</w:t>
            </w: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392"/>
        </w:trPr>
        <w:tc>
          <w:tcPr>
            <w:tcW w:w="5520" w:type="dxa"/>
            <w:vAlign w:val="bottom"/>
          </w:tcPr>
          <w:p>
            <w:pPr>
              <w:spacing w:after="0"/>
              <w:rPr>
                <w:sz w:val="24"/>
                <w:szCs w:val="24"/>
                <w:color w:val="auto"/>
              </w:rPr>
            </w:pPr>
          </w:p>
        </w:tc>
        <w:tc>
          <w:tcPr>
            <w:tcW w:w="1420" w:type="dxa"/>
            <w:vAlign w:val="bottom"/>
          </w:tcPr>
          <w:p>
            <w:pPr>
              <w:jc w:val="right"/>
              <w:ind w:right="109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7"/>
            <w:vMerge w:val="restart"/>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182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7"/>
            <w:vMerge w:val="continue"/>
          </w:tcPr>
          <w:p>
            <w:pPr>
              <w:spacing w:after="0"/>
              <w:rPr>
                <w:sz w:val="12"/>
                <w:szCs w:val="12"/>
                <w:color w:val="auto"/>
              </w:rPr>
            </w:pPr>
          </w:p>
        </w:tc>
        <w:tc>
          <w:tcPr>
            <w:tcW w:w="1820" w:type="dxa"/>
            <w:vAlign w:val="bottom"/>
            <w:gridSpan w:val="4"/>
          </w:tcPr>
          <w:p>
            <w:pPr>
              <w:jc w:val="center"/>
              <w:ind w:left="202"/>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6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20" w:type="dxa"/>
            <w:vAlign w:val="bottom"/>
            <w:gridSpan w:val="4"/>
            <w:vMerge w:val="restart"/>
          </w:tcPr>
          <w:p>
            <w:pPr>
              <w:jc w:val="center"/>
              <w:ind w:left="202"/>
              <w:spacing w:after="0" w:line="149" w:lineRule="exact"/>
              <w:rPr>
                <w:sz w:val="20"/>
                <w:szCs w:val="20"/>
                <w:color w:val="auto"/>
              </w:rPr>
            </w:pPr>
            <w:r>
              <w:rPr>
                <w:rFonts w:ascii="Arial" w:cs="Arial" w:eastAsia="Arial" w:hAnsi="Arial"/>
                <w:sz w:val="14"/>
                <w:szCs w:val="14"/>
                <w:b w:val="1"/>
                <w:bCs w:val="1"/>
                <w:color w:val="auto"/>
                <w:w w:val="91"/>
              </w:rPr>
              <w:t>inception) to June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30, 2004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Put shares sold to majority stockholder</w:t>
            </w:r>
          </w:p>
        </w:tc>
        <w:tc>
          <w:tcPr>
            <w:tcW w:w="220" w:type="dxa"/>
            <w:vAlign w:val="bottom"/>
          </w:tcPr>
          <w:p>
            <w:pPr>
              <w:spacing w:after="0"/>
              <w:rPr>
                <w:sz w:val="20"/>
                <w:szCs w:val="20"/>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Borrowings under lines of credit</w:t>
            </w:r>
          </w:p>
        </w:tc>
        <w:tc>
          <w:tcPr>
            <w:tcW w:w="2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4,220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Proceeds from notes receivables</w:t>
            </w:r>
          </w:p>
        </w:tc>
        <w:tc>
          <w:tcPr>
            <w:tcW w:w="2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Payable to stockholder</w:t>
            </w:r>
          </w:p>
        </w:tc>
        <w:tc>
          <w:tcPr>
            <w:tcW w:w="2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(1,406)</w:t>
            </w:r>
          </w:p>
        </w:tc>
        <w:tc>
          <w:tcPr>
            <w:tcW w:w="76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 of Series B convertible preferred stock for cash</w:t>
            </w:r>
          </w:p>
        </w:tc>
        <w:tc>
          <w:tcPr>
            <w:tcW w:w="2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20"/>
              <w:spacing w:after="0"/>
              <w:rPr>
                <w:sz w:val="20"/>
                <w:szCs w:val="20"/>
                <w:color w:val="auto"/>
              </w:rPr>
            </w:pPr>
            <w:r>
              <w:rPr>
                <w:rFonts w:ascii="Arial" w:cs="Arial" w:eastAsia="Arial" w:hAnsi="Arial"/>
                <w:sz w:val="18"/>
                <w:szCs w:val="18"/>
                <w:color w:val="auto"/>
              </w:rPr>
              <w:t>Borrowings on notes payable</w:t>
            </w:r>
          </w:p>
        </w:tc>
        <w:tc>
          <w:tcPr>
            <w:tcW w:w="220" w:type="dxa"/>
            <w:vAlign w:val="bottom"/>
          </w:tcPr>
          <w:p>
            <w:pPr>
              <w:spacing w:after="0"/>
              <w:rPr>
                <w:sz w:val="18"/>
                <w:szCs w:val="18"/>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22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18,153</w:t>
            </w:r>
          </w:p>
        </w:tc>
        <w:tc>
          <w:tcPr>
            <w:tcW w:w="3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38,972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16,751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312,094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16,247</w:t>
            </w:r>
          </w:p>
        </w:tc>
        <w:tc>
          <w:tcPr>
            <w:tcW w:w="4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w w:val="89"/>
              </w:rPr>
              <w:t>(16,747)</w:t>
            </w:r>
          </w:p>
        </w:tc>
        <w:tc>
          <w:tcPr>
            <w:tcW w:w="76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37,373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19,917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54,120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36,164</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37,373</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37,373</w:t>
            </w: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60" w:type="dxa"/>
            <w:vAlign w:val="bottom"/>
            <w:vMerge w:val="restart"/>
          </w:tcPr>
          <w:p>
            <w:pPr>
              <w:ind w:left="120"/>
              <w:spacing w:after="0"/>
              <w:rPr>
                <w:sz w:val="20"/>
                <w:szCs w:val="20"/>
                <w:color w:val="auto"/>
              </w:rPr>
            </w:pPr>
            <w:r>
              <w:rPr>
                <w:rFonts w:ascii="Arial" w:cs="Arial" w:eastAsia="Arial" w:hAnsi="Arial"/>
                <w:sz w:val="18"/>
                <w:szCs w:val="18"/>
                <w:color w:val="auto"/>
              </w:rPr>
              <w:t>Interest paid in cash</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vMerge w:val="restart"/>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vMerge w:val="restart"/>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 of common stock upon conversion of notes payable</w:t>
            </w:r>
          </w:p>
        </w:tc>
        <w:tc>
          <w:tcPr>
            <w:tcW w:w="22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3,331</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60" w:type="dxa"/>
            <w:vAlign w:val="bottom"/>
            <w:vMerge w:val="restart"/>
          </w:tcPr>
          <w:p>
            <w:pPr>
              <w:ind w:left="120"/>
              <w:spacing w:after="0"/>
              <w:rPr>
                <w:sz w:val="20"/>
                <w:szCs w:val="20"/>
                <w:color w:val="auto"/>
              </w:rPr>
            </w:pPr>
            <w:r>
              <w:rPr>
                <w:rFonts w:ascii="Arial" w:cs="Arial" w:eastAsia="Arial" w:hAnsi="Arial"/>
                <w:sz w:val="18"/>
                <w:szCs w:val="18"/>
                <w:color w:val="auto"/>
              </w:rPr>
              <w:t>Issuance of common stock for notes receivable</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vMerge w:val="restart"/>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vMerge w:val="restart"/>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2,758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additional paid-in capital resulting from merger</w:t>
            </w:r>
          </w:p>
        </w:tc>
        <w:tc>
          <w:tcPr>
            <w:tcW w:w="22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171,154</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60" w:type="dxa"/>
            <w:vAlign w:val="bottom"/>
            <w:vMerge w:val="restart"/>
          </w:tcPr>
          <w:p>
            <w:pPr>
              <w:ind w:left="120"/>
              <w:spacing w:after="0"/>
              <w:rPr>
                <w:sz w:val="20"/>
                <w:szCs w:val="20"/>
                <w:color w:val="auto"/>
              </w:rPr>
            </w:pPr>
            <w:r>
              <w:rPr>
                <w:rFonts w:ascii="Arial" w:cs="Arial" w:eastAsia="Arial" w:hAnsi="Arial"/>
                <w:sz w:val="18"/>
                <w:szCs w:val="18"/>
                <w:color w:val="auto"/>
              </w:rPr>
              <w:t>Put option redemption by stockholder</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vMerge w:val="restart"/>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vMerge w:val="restart"/>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Accretion on redeemable convertible preferred stock</w:t>
            </w:r>
          </w:p>
        </w:tc>
        <w:tc>
          <w:tcPr>
            <w:tcW w:w="22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(123)</w:t>
            </w:r>
          </w:p>
        </w:tc>
        <w:tc>
          <w:tcPr>
            <w:tcW w:w="4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(60)</w:t>
            </w:r>
          </w:p>
        </w:tc>
        <w:tc>
          <w:tcPr>
            <w:tcW w:w="76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3"/>
            <w:shd w:val="clear" w:color="auto" w:fill="EEEEEE"/>
          </w:tcPr>
          <w:p>
            <w:pPr>
              <w:jc w:val="right"/>
              <w:ind w:right="42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60" w:type="dxa"/>
            <w:vAlign w:val="bottom"/>
            <w:vMerge w:val="restart"/>
          </w:tcPr>
          <w:p>
            <w:pPr>
              <w:ind w:left="120"/>
              <w:spacing w:after="0"/>
              <w:rPr>
                <w:sz w:val="20"/>
                <w:szCs w:val="20"/>
                <w:color w:val="auto"/>
              </w:rPr>
            </w:pPr>
            <w:r>
              <w:rPr>
                <w:rFonts w:ascii="Arial" w:cs="Arial" w:eastAsia="Arial" w:hAnsi="Arial"/>
                <w:sz w:val="18"/>
                <w:szCs w:val="18"/>
                <w:color w:val="auto"/>
              </w:rPr>
              <w:t>Issuance of put option by stockholder</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vMerge w:val="restart"/>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vMerge w:val="restart"/>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(2,949)</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Notes receivable by stockholder to officers</w:t>
            </w:r>
          </w:p>
        </w:tc>
        <w:tc>
          <w:tcPr>
            <w:tcW w:w="22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(225)</w:t>
            </w:r>
          </w:p>
        </w:tc>
        <w:tc>
          <w:tcPr>
            <w:tcW w:w="76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60" w:type="dxa"/>
            <w:vAlign w:val="bottom"/>
            <w:vMerge w:val="restart"/>
          </w:tcPr>
          <w:p>
            <w:pPr>
              <w:ind w:left="120"/>
              <w:spacing w:after="0"/>
              <w:rPr>
                <w:sz w:val="20"/>
                <w:szCs w:val="20"/>
                <w:color w:val="auto"/>
              </w:rPr>
            </w:pPr>
            <w:r>
              <w:rPr>
                <w:rFonts w:ascii="Arial" w:cs="Arial" w:eastAsia="Arial" w:hAnsi="Arial"/>
                <w:sz w:val="18"/>
                <w:szCs w:val="18"/>
                <w:color w:val="auto"/>
              </w:rPr>
              <w:t>Issuance of Series C convertible preferred stock subscriptions</w:t>
            </w:r>
          </w:p>
        </w:tc>
        <w:tc>
          <w:tcPr>
            <w:tcW w:w="22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vMerge w:val="restart"/>
          </w:tcPr>
          <w:p>
            <w:pPr>
              <w:spacing w:after="0"/>
              <w:rPr>
                <w:sz w:val="6"/>
                <w:szCs w:val="6"/>
                <w:color w:val="auto"/>
              </w:rPr>
            </w:pPr>
          </w:p>
        </w:tc>
        <w:tc>
          <w:tcPr>
            <w:tcW w:w="46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20" w:type="dxa"/>
            <w:vAlign w:val="bottom"/>
            <w:vMerge w:val="restart"/>
          </w:tcPr>
          <w:p>
            <w:pPr>
              <w:spacing w:after="0"/>
              <w:rPr>
                <w:sz w:val="6"/>
                <w:szCs w:val="6"/>
                <w:color w:val="auto"/>
              </w:rPr>
            </w:pPr>
          </w:p>
        </w:tc>
        <w:tc>
          <w:tcPr>
            <w:tcW w:w="7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Issuance of Series A redeemable convertible preferred stock</w:t>
            </w:r>
          </w:p>
        </w:tc>
        <w:tc>
          <w:tcPr>
            <w:tcW w:w="22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spacing w:after="0"/>
              <w:rPr>
                <w:sz w:val="19"/>
                <w:szCs w:val="19"/>
                <w:color w:val="auto"/>
              </w:rPr>
            </w:pPr>
          </w:p>
        </w:tc>
        <w:tc>
          <w:tcPr>
            <w:tcW w:w="90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9"/>
                <w:szCs w:val="19"/>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4,296</w:t>
            </w:r>
          </w:p>
        </w:tc>
        <w:tc>
          <w:tcPr>
            <w:tcW w:w="4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8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These audited statements for the year ended December 31, 2003 are included in the Prospectus (the “Prospectus”) filed by the Company pursuant to Rule 424(b) under the Securities Act of 1933, as amended (the “Securities Act”), with the SEC on July 28, 2004 in connection with the Company’s initial public offering.</w:t>
      </w:r>
    </w:p>
    <w:p>
      <w:pPr>
        <w:spacing w:after="0" w:line="140" w:lineRule="exact"/>
        <w:rPr>
          <w:sz w:val="20"/>
          <w:szCs w:val="20"/>
          <w:color w:val="auto"/>
        </w:rPr>
      </w:pPr>
    </w:p>
    <w:p>
      <w:pPr>
        <w:jc w:val="both"/>
        <w:ind w:right="540" w:firstLine="225"/>
        <w:spacing w:after="0" w:line="264" w:lineRule="auto"/>
        <w:rPr>
          <w:sz w:val="20"/>
          <w:szCs w:val="20"/>
          <w:color w:val="auto"/>
        </w:rPr>
      </w:pPr>
      <w:r>
        <w:rPr>
          <w:rFonts w:ascii="Arial" w:cs="Arial" w:eastAsia="Arial" w:hAnsi="Arial"/>
          <w:sz w:val="18"/>
          <w:szCs w:val="18"/>
          <w:color w:val="auto"/>
        </w:rPr>
        <w:t>On July 22, 2004, the Company effected a one-for-three reverse stock split of its common stock. All share and per share amounts included in these unaudited consolidated financial statements have been retroactively adjusted for all periods presented to give effect to the reverse stock split, including reclassifying an amount equal to the reduction in par value to additional paid-in capital.</w:t>
      </w:r>
    </w:p>
    <w:p>
      <w:pPr>
        <w:spacing w:after="0" w:line="14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2004 may not be indicative of the results that may be expected for the full year.</w:t>
      </w:r>
    </w:p>
    <w:p>
      <w:pPr>
        <w:spacing w:after="0" w:line="14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and the valuation of stock-based compensation.</w:t>
      </w:r>
    </w:p>
    <w:p>
      <w:pPr>
        <w:spacing w:after="0" w:line="127"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Company is considered to be in the development stage as its primary activities since incorporation have been establishing its facilities, recruiting personnel, conducting research and development, business development, business and financial planning, and raising capital. Since its inception through June 30, 2004 the Company has reported accumulated net losses of $401.6 million which include a goodwill impairment charge of $151.4 million, and negative cash flow from operations of $181.9 million. Substantial funding will be needed by the Company to develop therapeutic products and conduct clinical trials for these products. Based upon the Company’s current expectations, management believes the Company’s cash, cash equivalents and marketable securities at June 30, 2004 together with $79.6 million of proceeds from the initial public offering completed on August 2, 2004 will enable it to continue planned operations through at least June 30, 2005. However, the Company cannot provide assurances that its plans will not change or that changed circumstances will not result in the depletion of its capital resources more rapidly than it currently anticipates. If planned operating results are not achieved or the Company is not successful in raising additional equity financing, management believes that planned expenditures could be reduced substantially; extending the time period over which the Company’s currently available capital resources will be adequate to fund the Company’s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Subsequent event – initial public offering</w:t>
      </w:r>
    </w:p>
    <w:p>
      <w:pPr>
        <w:spacing w:after="0" w:line="18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August 2, 2004, the Company completed an initial public offering of its common stock at a price to the public of $14.00 per share. The Company sold 6,250,000 shares of common stock in the offering resulting in gross proceeds of $87.5 million. In connection with the offering, the Company paid $6.1 million in underwriting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discounts and commissions to underwriters and incurred an estimated $1.8 million in other offering expenses. After deducting the underwriting discounts and commissions and estimated offering expenses, the Company received net proceeds from the offering of approximately $79.6 million. The Company had granted the underwriters a 30-day option to purchase up to an additional 937,500 shares of common stock from the Company to cover over-allotments, if any. This option was exercised for 307,100 shares on August 28, 2004 and closing occurred on September 1, 2004 with net proceeds to the Company of approximately $4.0 million. Additionally, in connection with the initial public offering, all of the outstanding shares of the Company’s preferred stock were converted into shares of its common stock. Because the offering closed after June 30, 2004, the results of the offering are not reflected in the accompanying unaudited consolidated financial statements. A summary of the terms of the offering can be found in the Prospectus.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89"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Company’s employee stock option plans are accounted for using the intrinsic-value method of Accounting Principles Board (“APB”) Opinion No. 25, “Accounting for Stock Issued to Employees,” and related interpretations. Accordingly, no compensation expense is recorded for options issued to employees with fixed amounts and fixed exercise prices which for accounting purposes are at least equal to the fair value of the Company’s common stock at the date of grant. Conversely, when the exercise price for accounting purposes is below fair value of the Company’s common stock on the date of grant, a non-cash charge to compensation expense is recorded ratably over the term of the option vesting period in an amount equal to the difference between the value calculated using the exercise price and the fair value. The Company uses the fair-value method to account for non-employee stock-based compensation.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granted during the six months ended June 30, 2004 are as follows:</w:t>
      </w:r>
    </w:p>
    <w:p>
      <w:pPr>
        <w:spacing w:after="0" w:line="3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2"/>
                <w:szCs w:val="12"/>
                <w:color w:val="auto"/>
              </w:rPr>
            </w:pPr>
          </w:p>
        </w:tc>
        <w:tc>
          <w:tcPr>
            <w:tcW w:w="820" w:type="dxa"/>
            <w:vAlign w:val="bottom"/>
            <w:vMerge w:val="restart"/>
          </w:tcPr>
          <w:p>
            <w:pPr>
              <w:jc w:val="center"/>
              <w:ind w:left="104"/>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82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6"/>
                <w:szCs w:val="16"/>
                <w:color w:val="auto"/>
              </w:rPr>
            </w:pPr>
          </w:p>
        </w:tc>
        <w:tc>
          <w:tcPr>
            <w:tcW w:w="820" w:type="dxa"/>
            <w:vAlign w:val="bottom"/>
          </w:tcPr>
          <w:p>
            <w:pPr>
              <w:jc w:val="center"/>
              <w:ind w:left="104"/>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53"/>
        </w:trPr>
        <w:tc>
          <w:tcPr>
            <w:tcW w:w="464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For the three months ended:</w:t>
            </w:r>
          </w:p>
        </w:tc>
        <w:tc>
          <w:tcPr>
            <w:tcW w:w="10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40"/>
              <w:spacing w:after="0"/>
              <w:rPr>
                <w:sz w:val="20"/>
                <w:szCs w:val="20"/>
                <w:color w:val="auto"/>
              </w:rPr>
            </w:pPr>
            <w:r>
              <w:rPr>
                <w:rFonts w:ascii="Arial" w:cs="Arial" w:eastAsia="Arial" w:hAnsi="Arial"/>
                <w:sz w:val="18"/>
                <w:szCs w:val="18"/>
                <w:color w:val="auto"/>
              </w:rPr>
              <w:t>March 31, 2004</w:t>
            </w:r>
          </w:p>
        </w:tc>
        <w:tc>
          <w:tcPr>
            <w:tcW w:w="1080" w:type="dxa"/>
            <w:vAlign w:val="bottom"/>
          </w:tcPr>
          <w:p>
            <w:pPr>
              <w:jc w:val="right"/>
              <w:ind w:right="221"/>
              <w:spacing w:after="0"/>
              <w:rPr>
                <w:sz w:val="20"/>
                <w:szCs w:val="20"/>
                <w:color w:val="auto"/>
              </w:rPr>
            </w:pPr>
            <w:r>
              <w:rPr>
                <w:rFonts w:ascii="Arial" w:cs="Arial" w:eastAsia="Arial" w:hAnsi="Arial"/>
                <w:sz w:val="18"/>
                <w:szCs w:val="18"/>
                <w:color w:val="auto"/>
              </w:rPr>
              <w:t>74,333</w:t>
            </w:r>
          </w:p>
        </w:tc>
        <w:tc>
          <w:tcPr>
            <w:tcW w:w="1960" w:type="dxa"/>
            <w:vAlign w:val="bottom"/>
            <w:gridSpan w:val="4"/>
          </w:tcPr>
          <w:p>
            <w:pPr>
              <w:jc w:val="right"/>
              <w:ind w:right="480"/>
              <w:spacing w:after="0"/>
              <w:rPr>
                <w:sz w:val="20"/>
                <w:szCs w:val="20"/>
                <w:color w:val="auto"/>
              </w:rPr>
            </w:pPr>
            <w:r>
              <w:rPr>
                <w:rFonts w:ascii="Arial" w:cs="Arial" w:eastAsia="Arial" w:hAnsi="Arial"/>
                <w:sz w:val="18"/>
                <w:szCs w:val="18"/>
                <w:color w:val="auto"/>
              </w:rPr>
              <w:t>$7.95 - $9.18</w:t>
            </w:r>
          </w:p>
        </w:tc>
        <w:tc>
          <w:tcPr>
            <w:tcW w:w="860" w:type="dxa"/>
            <w:vAlign w:val="bottom"/>
          </w:tcPr>
          <w:p>
            <w:pPr>
              <w:jc w:val="right"/>
              <w:ind w:right="183"/>
              <w:spacing w:after="0"/>
              <w:rPr>
                <w:sz w:val="20"/>
                <w:szCs w:val="20"/>
                <w:color w:val="auto"/>
              </w:rPr>
            </w:pPr>
            <w:r>
              <w:rPr>
                <w:rFonts w:ascii="Arial" w:cs="Arial" w:eastAsia="Arial" w:hAnsi="Arial"/>
                <w:sz w:val="18"/>
                <w:szCs w:val="18"/>
                <w:color w:val="auto"/>
              </w:rPr>
              <w:t>$ 8.61</w:t>
            </w: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June 30, 2004</w:t>
            </w:r>
          </w:p>
        </w:tc>
        <w:tc>
          <w:tcPr>
            <w:tcW w:w="1080" w:type="dxa"/>
            <w:vAlign w:val="bottom"/>
            <w:shd w:val="clear" w:color="auto" w:fill="EEEEEE"/>
          </w:tcPr>
          <w:p>
            <w:pPr>
              <w:jc w:val="right"/>
              <w:ind w:right="221"/>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EEEEEE"/>
          </w:tcPr>
          <w:p>
            <w:pPr>
              <w:jc w:val="right"/>
              <w:ind w:right="1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stock options granted during the three months ended June 30, 2004.</w:t>
      </w:r>
    </w:p>
    <w:p>
      <w:pPr>
        <w:spacing w:after="0" w:line="185"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If the Company had determined compensation cost for grants issued during the current and prior periods based on the fair-value approach in accordance with Statement of Financial Accounting Standards (“SFAS”) No. 123, “Accounting for Stock-based Compensation,” pro forma net loss and net loss per share would have been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6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53"/>
        </w:trPr>
        <w:tc>
          <w:tcPr>
            <w:tcW w:w="5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0"/>
                <w:szCs w:val="20"/>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0"/>
                <w:szCs w:val="20"/>
                <w:color w:val="auto"/>
              </w:rPr>
            </w:pPr>
          </w:p>
        </w:tc>
        <w:tc>
          <w:tcPr>
            <w:tcW w:w="12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0"/>
                <w:szCs w:val="20"/>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5280" w:type="dxa"/>
            <w:vAlign w:val="bottom"/>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52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loss applicable to common stockholders - as reported</w:t>
            </w: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$(14,026)</w:t>
            </w:r>
          </w:p>
        </w:tc>
        <w:tc>
          <w:tcPr>
            <w:tcW w:w="182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$(18,241)</w:t>
            </w:r>
          </w:p>
        </w:tc>
        <w:tc>
          <w:tcPr>
            <w:tcW w:w="14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$(34,421)</w:t>
            </w:r>
          </w:p>
        </w:tc>
        <w:tc>
          <w:tcPr>
            <w:tcW w:w="182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$(35,326)</w:t>
            </w:r>
          </w:p>
        </w:tc>
        <w:tc>
          <w:tcPr>
            <w:tcW w:w="0" w:type="dxa"/>
            <w:vAlign w:val="bottom"/>
          </w:tcPr>
          <w:p>
            <w:pPr>
              <w:spacing w:after="0"/>
              <w:rPr>
                <w:sz w:val="1"/>
                <w:szCs w:val="1"/>
                <w:color w:val="auto"/>
              </w:rPr>
            </w:pPr>
          </w:p>
        </w:tc>
      </w:tr>
      <w:tr>
        <w:trPr>
          <w:trHeight w:val="202"/>
        </w:trPr>
        <w:tc>
          <w:tcPr>
            <w:tcW w:w="5280" w:type="dxa"/>
            <w:vAlign w:val="bottom"/>
          </w:tcPr>
          <w:p>
            <w:pPr>
              <w:ind w:left="140"/>
              <w:spacing w:after="0" w:line="201" w:lineRule="exact"/>
              <w:rPr>
                <w:sz w:val="20"/>
                <w:szCs w:val="20"/>
                <w:color w:val="auto"/>
              </w:rPr>
            </w:pPr>
            <w:r>
              <w:rPr>
                <w:rFonts w:ascii="Arial" w:cs="Arial" w:eastAsia="Arial" w:hAnsi="Arial"/>
                <w:sz w:val="18"/>
                <w:szCs w:val="18"/>
                <w:color w:val="auto"/>
                <w:w w:val="97"/>
              </w:rPr>
              <w:t>Add: Stock-based compensation expense included in reported net</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80"/>
              <w:spacing w:after="0"/>
              <w:rPr>
                <w:sz w:val="20"/>
                <w:szCs w:val="20"/>
                <w:color w:val="auto"/>
              </w:rPr>
            </w:pPr>
            <w:r>
              <w:rPr>
                <w:rFonts w:ascii="Arial" w:cs="Arial" w:eastAsia="Arial" w:hAnsi="Arial"/>
                <w:sz w:val="18"/>
                <w:szCs w:val="18"/>
                <w:color w:val="auto"/>
              </w:rPr>
              <w:t>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1,182</w:t>
            </w:r>
          </w:p>
        </w:tc>
        <w:tc>
          <w:tcPr>
            <w:tcW w:w="3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2,377</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w w:val="96"/>
              </w:rPr>
              <w:t>Deduct: Stock-based compensation expense determined under fair</w:t>
            </w:r>
          </w:p>
        </w:tc>
        <w:tc>
          <w:tcPr>
            <w:tcW w:w="3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value method</w:t>
            </w:r>
          </w:p>
        </w:tc>
        <w:tc>
          <w:tcPr>
            <w:tcW w:w="380" w:type="dxa"/>
            <w:vAlign w:val="bottom"/>
            <w:tcBorders>
              <w:right w:val="single" w:sz="8" w:color="EEEEEE"/>
            </w:tcBorders>
            <w:shd w:val="clear" w:color="auto" w:fill="EEEEEE"/>
          </w:tcPr>
          <w:p>
            <w:pPr>
              <w:spacing w:after="0"/>
              <w:rPr>
                <w:sz w:val="20"/>
                <w:szCs w:val="20"/>
                <w:color w:val="auto"/>
              </w:rPr>
            </w:pPr>
          </w:p>
        </w:tc>
        <w:tc>
          <w:tcPr>
            <w:tcW w:w="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(825)</w:t>
            </w:r>
          </w:p>
        </w:tc>
        <w:tc>
          <w:tcPr>
            <w:tcW w:w="182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(2,016)</w:t>
            </w:r>
          </w:p>
        </w:tc>
        <w:tc>
          <w:tcPr>
            <w:tcW w:w="14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(4,262)</w:t>
            </w:r>
          </w:p>
        </w:tc>
        <w:tc>
          <w:tcPr>
            <w:tcW w:w="182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tcPr>
          <w:p>
            <w:pPr>
              <w:ind w:left="140"/>
              <w:spacing w:after="0"/>
              <w:rPr>
                <w:sz w:val="20"/>
                <w:szCs w:val="20"/>
                <w:color w:val="auto"/>
              </w:rPr>
            </w:pPr>
            <w:r>
              <w:rPr>
                <w:rFonts w:ascii="Arial" w:cs="Arial" w:eastAsia="Arial" w:hAnsi="Arial"/>
                <w:sz w:val="18"/>
                <w:szCs w:val="18"/>
                <w:color w:val="auto"/>
              </w:rPr>
              <w:t>Net loss applicable to common stockholders - pro forma</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$(14,685)</w:t>
            </w:r>
          </w:p>
        </w:tc>
        <w:tc>
          <w:tcPr>
            <w:tcW w:w="1820" w:type="dxa"/>
            <w:vAlign w:val="bottom"/>
            <w:gridSpan w:val="5"/>
          </w:tcPr>
          <w:p>
            <w:pPr>
              <w:jc w:val="right"/>
              <w:ind w:right="320"/>
              <w:spacing w:after="0"/>
              <w:rPr>
                <w:sz w:val="20"/>
                <w:szCs w:val="20"/>
                <w:color w:val="auto"/>
              </w:rPr>
            </w:pPr>
            <w:r>
              <w:rPr>
                <w:rFonts w:ascii="Arial" w:cs="Arial" w:eastAsia="Arial" w:hAnsi="Arial"/>
                <w:sz w:val="18"/>
                <w:szCs w:val="18"/>
                <w:color w:val="auto"/>
              </w:rPr>
              <w:t>$(19,075)</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$(35,533)</w:t>
            </w:r>
          </w:p>
        </w:tc>
        <w:tc>
          <w:tcPr>
            <w:tcW w:w="1820" w:type="dxa"/>
            <w:vAlign w:val="bottom"/>
            <w:gridSpan w:val="5"/>
          </w:tcPr>
          <w:p>
            <w:pPr>
              <w:jc w:val="right"/>
              <w:ind w:right="320"/>
              <w:spacing w:after="0"/>
              <w:rPr>
                <w:sz w:val="20"/>
                <w:szCs w:val="20"/>
                <w:color w:val="auto"/>
              </w:rPr>
            </w:pPr>
            <w:r>
              <w:rPr>
                <w:rFonts w:ascii="Arial" w:cs="Arial" w:eastAsia="Arial" w:hAnsi="Arial"/>
                <w:sz w:val="18"/>
                <w:szCs w:val="18"/>
                <w:color w:val="auto"/>
              </w:rPr>
              <w:t>$(37,061)</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280" w:type="dxa"/>
            <w:vAlign w:val="bottom"/>
          </w:tcPr>
          <w:p>
            <w:pPr>
              <w:spacing w:after="0"/>
              <w:rPr>
                <w:sz w:val="24"/>
                <w:szCs w:val="24"/>
                <w:color w:val="auto"/>
              </w:rPr>
            </w:pPr>
          </w:p>
        </w:tc>
        <w:tc>
          <w:tcPr>
            <w:tcW w:w="940" w:type="dxa"/>
            <w:vAlign w:val="bottom"/>
            <w:gridSpan w:val="2"/>
          </w:tcPr>
          <w:p>
            <w:pPr>
              <w:jc w:val="right"/>
              <w:ind w:right="379"/>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2003</w:t>
            </w:r>
          </w:p>
        </w:tc>
        <w:tc>
          <w:tcPr>
            <w:tcW w:w="18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2004</w:t>
            </w:r>
          </w:p>
        </w:tc>
        <w:tc>
          <w:tcPr>
            <w:tcW w:w="130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96"/>
              </w:rPr>
              <w:t>2003</w:t>
            </w:r>
          </w:p>
        </w:tc>
        <w:tc>
          <w:tcPr>
            <w:tcW w:w="176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2004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54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Net loss per common share (basic and diluted):</w:t>
            </w: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$(0.79)</w:t>
            </w:r>
          </w:p>
        </w:tc>
        <w:tc>
          <w:tcPr>
            <w:tcW w:w="1800" w:type="dxa"/>
            <w:vAlign w:val="bottom"/>
            <w:gridSpan w:val="3"/>
          </w:tcPr>
          <w:p>
            <w:pPr>
              <w:jc w:val="center"/>
              <w:ind w:left="439"/>
              <w:spacing w:after="0"/>
              <w:rPr>
                <w:sz w:val="20"/>
                <w:szCs w:val="20"/>
                <w:color w:val="auto"/>
              </w:rPr>
            </w:pPr>
            <w:r>
              <w:rPr>
                <w:rFonts w:ascii="Arial" w:cs="Arial" w:eastAsia="Arial" w:hAnsi="Arial"/>
                <w:sz w:val="18"/>
                <w:szCs w:val="18"/>
                <w:color w:val="auto"/>
                <w:w w:val="91"/>
              </w:rPr>
              <w:t>$(0.91)</w:t>
            </w:r>
          </w:p>
        </w:tc>
        <w:tc>
          <w:tcPr>
            <w:tcW w:w="1300" w:type="dxa"/>
            <w:vAlign w:val="bottom"/>
            <w:gridSpan w:val="2"/>
          </w:tcPr>
          <w:p>
            <w:pPr>
              <w:jc w:val="center"/>
              <w:ind w:left="416"/>
              <w:spacing w:after="0"/>
              <w:rPr>
                <w:sz w:val="20"/>
                <w:szCs w:val="20"/>
                <w:color w:val="auto"/>
              </w:rPr>
            </w:pPr>
            <w:r>
              <w:rPr>
                <w:rFonts w:ascii="Arial" w:cs="Arial" w:eastAsia="Arial" w:hAnsi="Arial"/>
                <w:sz w:val="18"/>
                <w:szCs w:val="18"/>
                <w:color w:val="auto"/>
                <w:w w:val="91"/>
              </w:rPr>
              <w:t>$(2.01)</w:t>
            </w:r>
          </w:p>
        </w:tc>
        <w:tc>
          <w:tcPr>
            <w:tcW w:w="1760" w:type="dxa"/>
            <w:vAlign w:val="bottom"/>
            <w:gridSpan w:val="3"/>
          </w:tcPr>
          <w:p>
            <w:pPr>
              <w:jc w:val="center"/>
              <w:ind w:left="439"/>
              <w:spacing w:after="0"/>
              <w:rPr>
                <w:sz w:val="20"/>
                <w:szCs w:val="20"/>
                <w:color w:val="auto"/>
              </w:rPr>
            </w:pPr>
            <w:r>
              <w:rPr>
                <w:rFonts w:ascii="Arial" w:cs="Arial" w:eastAsia="Arial" w:hAnsi="Arial"/>
                <w:sz w:val="18"/>
                <w:szCs w:val="18"/>
                <w:color w:val="auto"/>
                <w:w w:val="91"/>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 forma</w:t>
            </w:r>
          </w:p>
        </w:tc>
        <w:tc>
          <w:tcPr>
            <w:tcW w:w="1000" w:type="dxa"/>
            <w:vAlign w:val="bottom"/>
            <w:shd w:val="clear" w:color="auto" w:fill="EEEEEE"/>
          </w:tcPr>
          <w:p>
            <w:pPr>
              <w:jc w:val="right"/>
              <w:ind w:right="59"/>
              <w:spacing w:after="0"/>
              <w:rPr>
                <w:sz w:val="20"/>
                <w:szCs w:val="20"/>
                <w:color w:val="auto"/>
              </w:rPr>
            </w:pPr>
            <w:r>
              <w:rPr>
                <w:rFonts w:ascii="Arial" w:cs="Arial" w:eastAsia="Arial" w:hAnsi="Arial"/>
                <w:sz w:val="18"/>
                <w:szCs w:val="18"/>
                <w:color w:val="auto"/>
              </w:rPr>
              <w:t>$(0.83)</w:t>
            </w:r>
          </w:p>
        </w:tc>
        <w:tc>
          <w:tcPr>
            <w:tcW w:w="1800" w:type="dxa"/>
            <w:vAlign w:val="bottom"/>
            <w:gridSpan w:val="3"/>
            <w:shd w:val="clear" w:color="auto" w:fill="EEEEEE"/>
          </w:tcPr>
          <w:p>
            <w:pPr>
              <w:jc w:val="center"/>
              <w:ind w:left="439"/>
              <w:spacing w:after="0"/>
              <w:rPr>
                <w:sz w:val="20"/>
                <w:szCs w:val="20"/>
                <w:color w:val="auto"/>
              </w:rPr>
            </w:pPr>
            <w:r>
              <w:rPr>
                <w:rFonts w:ascii="Arial" w:cs="Arial" w:eastAsia="Arial" w:hAnsi="Arial"/>
                <w:sz w:val="18"/>
                <w:szCs w:val="18"/>
                <w:color w:val="auto"/>
                <w:w w:val="91"/>
              </w:rPr>
              <w:t>$(0.95)</w:t>
            </w:r>
          </w:p>
        </w:tc>
        <w:tc>
          <w:tcPr>
            <w:tcW w:w="1300" w:type="dxa"/>
            <w:vAlign w:val="bottom"/>
            <w:gridSpan w:val="2"/>
            <w:shd w:val="clear" w:color="auto" w:fill="EEEEEE"/>
          </w:tcPr>
          <w:p>
            <w:pPr>
              <w:jc w:val="center"/>
              <w:ind w:left="416"/>
              <w:spacing w:after="0"/>
              <w:rPr>
                <w:sz w:val="20"/>
                <w:szCs w:val="20"/>
                <w:color w:val="auto"/>
              </w:rPr>
            </w:pPr>
            <w:r>
              <w:rPr>
                <w:rFonts w:ascii="Arial" w:cs="Arial" w:eastAsia="Arial" w:hAnsi="Arial"/>
                <w:sz w:val="18"/>
                <w:szCs w:val="18"/>
                <w:color w:val="auto"/>
                <w:w w:val="91"/>
              </w:rPr>
              <w:t>$(2.08)</w:t>
            </w:r>
          </w:p>
        </w:tc>
        <w:tc>
          <w:tcPr>
            <w:tcW w:w="1760" w:type="dxa"/>
            <w:vAlign w:val="bottom"/>
            <w:gridSpan w:val="3"/>
            <w:shd w:val="clear" w:color="auto" w:fill="EEEEEE"/>
          </w:tcPr>
          <w:p>
            <w:pPr>
              <w:jc w:val="center"/>
              <w:ind w:left="439"/>
              <w:spacing w:after="0"/>
              <w:rPr>
                <w:sz w:val="20"/>
                <w:szCs w:val="20"/>
                <w:color w:val="auto"/>
              </w:rPr>
            </w:pPr>
            <w:r>
              <w:rPr>
                <w:rFonts w:ascii="Arial" w:cs="Arial" w:eastAsia="Arial" w:hAnsi="Arial"/>
                <w:sz w:val="18"/>
                <w:szCs w:val="18"/>
                <w:color w:val="auto"/>
                <w:w w:val="91"/>
              </w:rPr>
              <w:t>$(1.86)</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 pro forma net loss per common share and pro forma stockholders’ equity</w:t>
      </w:r>
    </w:p>
    <w:p>
      <w:pPr>
        <w:spacing w:after="0" w:line="189"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Basic and diluted net loss per common share is calculated by dividing the net loss applicable to common stockholders by the weighted-average number of common shares outstanding during the period. Diluted net loss per common share is the same as basic net loss per common share, because the effects of potentially dilutive securities are antidilutive for all periods presented. Antidilutive securities, which consist of redeemable convertible preferred stock, convertible preferred stock, stock options and warrants that are not included in the diluted net loss per share calculation, consisted of an aggregate of 3,870,016 shares and 7,236,452 shares as of June 30, 2003 and 2004, respectively.</w:t>
      </w:r>
    </w:p>
    <w:p>
      <w:pPr>
        <w:spacing w:after="0" w:line="132"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pro forma net loss per share for the three months and six months ended June 30, 2004 is computed using the weighted average number of common shares outstanding during the respective periods, including the pro forma effects of the pro forma conversion of the Company’s Series A, B and C convertible preferred stock into shares of the Company’s common stock upon the closing of the Company’s initial public offering. Conversion of the Series A, B and C convertible preferred stock reflects the weighted average effective conversion prices of the securities during the periods presented. Conversion of the Series A and B preferred stock is assumed to have occurred as of January 1, 2003. Conversion of the Series C preferred stock is assumed to have occurred as of January 19, 2004, the date the Series C preferred stock was issued.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pro forma net loss per share.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560" w:type="dxa"/>
            <w:vAlign w:val="bottom"/>
            <w:gridSpan w:val="2"/>
            <w:vMerge w:val="continue"/>
          </w:tcPr>
          <w:p>
            <w:pPr>
              <w:spacing w:after="0"/>
              <w:rPr>
                <w:sz w:val="14"/>
                <w:szCs w:val="14"/>
                <w:color w:val="auto"/>
              </w:rPr>
            </w:pPr>
          </w:p>
        </w:tc>
        <w:tc>
          <w:tcPr>
            <w:tcW w:w="252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June 30, 2004</w:t>
            </w:r>
          </w:p>
        </w:tc>
        <w:tc>
          <w:tcPr>
            <w:tcW w:w="2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880"/>
              <w:spacing w:after="0"/>
              <w:rPr>
                <w:sz w:val="20"/>
                <w:szCs w:val="20"/>
                <w:color w:val="auto"/>
              </w:rPr>
            </w:pPr>
            <w:r>
              <w:rPr>
                <w:rFonts w:ascii="Arial" w:cs="Arial" w:eastAsia="Arial" w:hAnsi="Arial"/>
                <w:sz w:val="18"/>
                <w:szCs w:val="18"/>
                <w:color w:val="auto"/>
              </w:rPr>
              <w:t>(18,245)</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(34,654)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line="201" w:lineRule="exact"/>
              <w:rPr>
                <w:sz w:val="20"/>
                <w:szCs w:val="20"/>
                <w:color w:val="auto"/>
              </w:rPr>
            </w:pPr>
            <w:r>
              <w:rPr>
                <w:rFonts w:ascii="Arial" w:cs="Arial" w:eastAsia="Arial" w:hAnsi="Arial"/>
                <w:sz w:val="18"/>
                <w:szCs w:val="18"/>
                <w:color w:val="auto"/>
                <w:w w:val="99"/>
              </w:rPr>
              <w:t>Deemed dividend related to beneficial conversion features of convertible preferred</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20"/>
                <w:szCs w:val="20"/>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Accretion to preferred stockholders</w:t>
            </w:r>
          </w:p>
        </w:tc>
        <w:tc>
          <w:tcPr>
            <w:tcW w:w="7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(18,241)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(35,326)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basic and diluted net loss per share</w:t>
            </w:r>
          </w:p>
        </w:tc>
        <w:tc>
          <w:tcPr>
            <w:tcW w:w="7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19,975,254</w:t>
            </w:r>
          </w:p>
        </w:tc>
        <w:tc>
          <w:tcPr>
            <w:tcW w:w="9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19,975,033</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spacing w:after="0" w:line="201" w:lineRule="exact"/>
              <w:rPr>
                <w:sz w:val="20"/>
                <w:szCs w:val="20"/>
                <w:color w:val="auto"/>
              </w:rPr>
            </w:pPr>
            <w:r>
              <w:rPr>
                <w:rFonts w:ascii="Arial" w:cs="Arial" w:eastAsia="Arial" w:hAnsi="Arial"/>
                <w:sz w:val="18"/>
                <w:szCs w:val="18"/>
                <w:color w:val="auto"/>
              </w:rPr>
              <w:t>Adjusted to reflect the effect of the pro forma conversion of convertible preferred</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9"/>
              </w:rPr>
              <w:t>4,931,303</w:t>
            </w: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9"/>
              </w:rPr>
              <w:t>4,587,404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Weighted average shares used in computing pro forma basic and diluted net loss per</w:t>
            </w:r>
          </w:p>
        </w:tc>
        <w:tc>
          <w:tcPr>
            <w:tcW w:w="7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5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share</w:t>
            </w:r>
          </w:p>
        </w:tc>
        <w:tc>
          <w:tcPr>
            <w:tcW w:w="760" w:type="dxa"/>
            <w:vAlign w:val="bottom"/>
            <w:tcBorders>
              <w:bottom w:val="single" w:sz="8" w:color="EEEEEE"/>
            </w:tcBorders>
            <w:shd w:val="clear" w:color="auto" w:fill="EEEEEE"/>
          </w:tcPr>
          <w:p>
            <w:pPr>
              <w:spacing w:after="0"/>
              <w:rPr>
                <w:sz w:val="23"/>
                <w:szCs w:val="23"/>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24,906,557</w:t>
            </w:r>
          </w:p>
        </w:tc>
        <w:tc>
          <w:tcPr>
            <w:tcW w:w="940" w:type="dxa"/>
            <w:vAlign w:val="bottom"/>
            <w:tcBorders>
              <w:bottom w:val="single" w:sz="8" w:color="EEEEEE"/>
            </w:tcBorders>
            <w:shd w:val="clear" w:color="auto" w:fill="EEEEEE"/>
          </w:tcPr>
          <w:p>
            <w:pPr>
              <w:spacing w:after="0"/>
              <w:rPr>
                <w:sz w:val="23"/>
                <w:szCs w:val="23"/>
                <w:color w:val="auto"/>
              </w:rPr>
            </w:pPr>
          </w:p>
        </w:tc>
        <w:tc>
          <w:tcPr>
            <w:tcW w:w="860" w:type="dxa"/>
            <w:vAlign w:val="bottom"/>
            <w:tcBorders>
              <w:bottom w:val="single" w:sz="8" w:color="EEEEEE"/>
            </w:tcBorders>
            <w:shd w:val="clear" w:color="auto" w:fill="EEEEEE"/>
          </w:tcPr>
          <w:p>
            <w:pPr>
              <w:spacing w:after="0"/>
              <w:rPr>
                <w:sz w:val="23"/>
                <w:szCs w:val="23"/>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8"/>
              </w:rPr>
              <w:t>24,562,437</w:t>
            </w:r>
          </w:p>
        </w:tc>
        <w:tc>
          <w:tcPr>
            <w:tcW w:w="660" w:type="dxa"/>
            <w:vAlign w:val="bottom"/>
            <w:tcBorders>
              <w:bottom w:val="single" w:sz="8" w:color="EEEEEE"/>
            </w:tcBorders>
            <w:shd w:val="clear" w:color="auto" w:fill="EEEEE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60" w:type="dxa"/>
            <w:vAlign w:val="bottom"/>
            <w:gridSpan w:val="2"/>
          </w:tcPr>
          <w:p>
            <w:pPr>
              <w:spacing w:after="0"/>
              <w:rPr>
                <w:sz w:val="20"/>
                <w:szCs w:val="20"/>
                <w:color w:val="auto"/>
              </w:rPr>
            </w:pPr>
            <w:r>
              <w:rPr>
                <w:rFonts w:ascii="Arial" w:cs="Arial" w:eastAsia="Arial" w:hAnsi="Arial"/>
                <w:sz w:val="18"/>
                <w:szCs w:val="18"/>
                <w:color w:val="auto"/>
                <w:w w:val="98"/>
              </w:rPr>
              <w:t>Pro forma basic and diluted net loss per share attributable to common stockholders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(0.73)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pro forma stockholders’ equity at June 30, 2004 reflects the conversion, upon the closing of the Company’s initial public offering, all 267,212 shares of the Company’s Series A redeemable convertible preferred stock, all 192,618 shares of the Company’s Series B convertible preferred stock and all 980,392 shares of the Company’s Series C convertible preferred stock outstanding as of June 30, 2004, at the initial public offering price of $14.00 per share, into an aggregate of 6,166,372 shares of common stock.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cost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82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86"/>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820" w:type="dxa"/>
            <w:vAlign w:val="bottom"/>
            <w:vMerge w:val="continue"/>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5,273</w:t>
            </w:r>
          </w:p>
        </w:tc>
        <w:tc>
          <w:tcPr>
            <w:tcW w:w="54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5,273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9,566</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Building improvements</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36,296</w:t>
            </w: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36,653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16,530</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17,525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3,048</w:t>
            </w: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3,123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2,234</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627</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Deposits on equipment</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5,656</w:t>
            </w: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5,656</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80,019</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82,478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6"/>
              </w:rPr>
              <w:t>(12,696)</w:t>
            </w: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(16,243)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67,323</w:t>
            </w:r>
          </w:p>
        </w:tc>
        <w:tc>
          <w:tcPr>
            <w:tcW w:w="5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66,235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78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2"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On April 30, 2004, the Company filed a registration statement on Form S-1 with the SEC for an initial public offering of its common stock. Upon the closing of the Company’s initial public offering, which occurred on August 2, 2004, 1,440,222 shares of the Company’s Series A, B and C convertible preferred stock were converted into an aggregate of 6,166,372 shares of common stock. These conversions were based upon the conversion ratios then applicable for each series of preferred stock.</w:t>
      </w:r>
    </w:p>
    <w:p>
      <w:pPr>
        <w:spacing w:after="0" w:line="146"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March 2004, the Company’s board of directors approved the 2004 Equity Incentive Plan, the 2004 Employee Stock Purchase Plan and the 2004 Non-Employee Directors’ Stock Option Plan, each to become effective upon the closing of the Company’s initial public offering. The aggregate number of shares of common stock which may be issued under the 2004 Equity Incentive Plan and the 2004 Non-Employee Directors’ Stock Option Plan is 5,000,000 shares and 800,000 shares, respectively. The aggregate number of shares which may be sold under the 2004 Employee Stock Purchase Plan is 2,000,000 shares of common stock.</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Upon the closing of the Company’s initial public offering, the Company’s authorized capital stock consisted of 90,000,000 shares of common stock, par value $0.01 per share, and 10,000,000 shares of undesignated preferred stock, par value $0.01 per share, issuable in one or more series designated by the Company’s board of directors. No other class of capital stock is authorized.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Recently issued accounting pronouncements</w:t>
      </w:r>
    </w:p>
    <w:p>
      <w:pPr>
        <w:spacing w:after="0" w:line="189"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In December 2002, the Financial Accounting Standard Board (“FASB”) issued SFAS No. 148, “Accounting for Stock-based Compensation — Transition and Disclosure, an Amendment of FASB Statement No. 123,” to provide alternative methods of transition for a voluntary change to the fair-value based method of accounting for stock-based compensation. The Company has adopted the disclosure requirements of this statement. In March 2004, the FASB issued a proposed SFAS - - “Share-based Payment: an Amendment of FASB Statements No. 123 and 95.” The proposed statement would require companies to expense share-based payments to employees, including stock options, based on the fair value of the award at the grant date. The proposed statement also would eliminate the intrinsic value method of accounting for stock options permitted by APB No. 25, “Accounting for Stock Issued to Employees,” which the Company currently follows. The Company will continue to monitor the actions of the FASB and assess the impact, if any, on its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March 2004, the FASB approved the consensus reached on the Emerging Issues Task Force (“EITF”) Issue No. 03-1, “The Meaning of Other-Than-Temporary Impairment and Its Application to Certain Investments.” The objective of EITF Issue No. 03-1 is to provide guidance for identifying impaired investments. EITF Issue No. 03-1 also provides new disclosure requirements for investments that are deemed to be temporarily impaired. The accounting provisions of EITF Issue No. 03-1 are effective for all reporting periods beginning after June 15, 2004, while the disclosure requirements are effective only for annual periods ending after June 15, 2004. The Company has evaluated the impact of the adoption of EITF 03-1 and does not believe the impact will be significant to the Company’s overall results of operations or financial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89"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the ordinary course of its business, the Company makes certain indemnities, commitments and 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under the caption “Risk Factors” and elsewhere in this quarterly report on Form 10-Q. The interim financial statements and this Management’s discussion and analysis of financial condition and results of operations should be read in conjunction with the financial statements and notes thereto for the year ended December 31, 2003 and the related Management’s discussion and analysis of financial condition and results of operations, both of which are contained in our Prospectus filed pursuant to Rule 424(b) under the Securities Act of 1933, as amended (the “Securities Act”), with the SEC on July 28, 2004.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cancer, inflammatory and autoimmune diseases. Our lead product, the Technosphere Insulin System, which is currently in late Phase II clinical trials for the treatment of diabetes, consists of our dry powder Technosphere formulation of insulin and our MedTone inhaler through which the powder is inhaled into the deep lung. We believe the performance characteristics, convenience and ease of use of our proprietary Technosphere Insulin System have the potential to change the way diabetes is treated.</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were incorporated in February 1991 under the laws of the State of Delaware as Pharmaceutical Discovery Corporation (“PDC”). On December 12, 2001, AlleCure Corp. (“Allecure”) and CTL ImmunoTherapies Corp. (“CTL”) merged with wholly-owned subsidiaries of PDC. Pursuant to the merger, all of the outstanding shares of capital stock of AlleCure and CTL were exchanged for shares of capital stock of PDC, and AlleCure and CTL became wholly-owned subsidiaries of PDC. In connection with the merger, PDC changed its name to MannKind Corporation. On December 31, 2002, AlleCure and CTL merged with and into MannKind and ceased to be separate entities.</w:t>
      </w:r>
    </w:p>
    <w:p>
      <w:pPr>
        <w:spacing w:after="0" w:line="14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From our inception in 1991 through June 30, 2004, we have incurred a cumulative net loss of $401.6 million which includes a goodwill impairment charge of $151.4 million. We do not anticipate receiving revenues from the sales of any product prior to regulatory approval and commercialization of our Technosphere Insulin System. We expect to make substantial expenditures and to incur additional operating losses for at least the next several years as we:</w:t>
      </w:r>
    </w:p>
    <w:p>
      <w:pPr>
        <w:spacing w:after="0" w:line="106"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continue the development and commercialization of our Technosphere Insulin System for the treatment of diabetes, currently in late Phase II clinical trials;</w:t>
      </w:r>
    </w:p>
    <w:p>
      <w:pPr>
        <w:spacing w:after="0" w:line="221" w:lineRule="exact"/>
        <w:rPr>
          <w:rFonts w:ascii="Arial" w:cs="Arial" w:eastAsia="Arial" w:hAnsi="Arial"/>
          <w:sz w:val="16"/>
          <w:szCs w:val="16"/>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our proprietary Technosphere formulation technology and develop additional applications for the delivery of other drugs;</w:t>
      </w:r>
    </w:p>
    <w:p>
      <w:pPr>
        <w:spacing w:after="0" w:line="184" w:lineRule="exact"/>
        <w:rPr>
          <w:rFonts w:ascii="Arial" w:cs="Arial" w:eastAsia="Arial" w:hAnsi="Arial"/>
          <w:sz w:val="18"/>
          <w:szCs w:val="18"/>
          <w:color w:val="auto"/>
        </w:rPr>
      </w:pPr>
    </w:p>
    <w:p>
      <w:pPr>
        <w:ind w:right="600" w:firstLine="8"/>
        <w:spacing w:after="0" w:line="277" w:lineRule="auto"/>
        <w:tabs>
          <w:tab w:leader="none" w:pos="108"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our other research, discovery and development programs focused on the development of therapies for cancer, inflammation and autoimmune disorders;</w:t>
      </w:r>
    </w:p>
    <w:p>
      <w:pPr>
        <w:spacing w:after="0" w:line="129" w:lineRule="exact"/>
        <w:rPr>
          <w:rFonts w:ascii="Arial" w:cs="Arial" w:eastAsia="Arial" w:hAnsi="Arial"/>
          <w:sz w:val="18"/>
          <w:szCs w:val="18"/>
          <w:color w:val="auto"/>
        </w:rPr>
      </w:pPr>
    </w:p>
    <w:p>
      <w:pPr>
        <w:ind w:right="160" w:firstLine="8"/>
        <w:spacing w:after="0" w:line="277" w:lineRule="auto"/>
        <w:tabs>
          <w:tab w:leader="none" w:pos="108"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 our manufacturing operations and quality systems to meet our currently anticipated commercial production needs as we advance the Technosphere Insulin System through Phase III clinical trials and into commercialization; and</w:t>
      </w:r>
    </w:p>
    <w:p>
      <w:pPr>
        <w:spacing w:after="0" w:line="14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 into sales and marketing collaborations with other companies, if available on commercially reasonable terms, or develop these capabilities ourselves.</w:t>
      </w:r>
    </w:p>
    <w:p>
      <w:pPr>
        <w:spacing w:after="0" w:line="20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have a limited history of operations with our current management team and we have not generated any revenues from sales of any product to date. We currently do not have the required approvals to market any of our product candidates, and we may not receive them. We may not be profitable even if we succeed 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commercializing any of our product candidates.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funded our operations primarily through private placements of equity securities. In 2003, we raised $100.0 million through private placements of our equity securities, comprised of 3,493,194 shares of common stock sold at a weighted average price of $14.31 per share and 980,392 shares of Series C convertible preferred stock that were subscribed for in 2003 at a price of $51.00 per preferred share. Of the $50.0 million of Series C convertible preferred stock subscribed for in 2003, $31.8 million, representing the purchase price for 624,449 shares of Series C convertible preferred stock, was received in 2003. The remaining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w:t>
      </w:r>
    </w:p>
    <w:p>
      <w:pPr>
        <w:spacing w:after="0" w:line="1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and manufacturing and related activities. This staff is located at our facilities in Valencia, California and Danbury, Connecticut. We expense research and development costs as we incur them.</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results of our current Phase II trials, discussions with the U.S. Food and Drug Administration (the “FDA”) on their requirements, the length of our clinical trials and the cost and efficiency of our manufacturing process. However, we expect our research and development costs to increase as we continue to develop new applications for our proprietary therapeutics and drug-delivery technologies, refine our manufacturing processes and move our other product candidates through preclinical and clinical trials.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Clinical development timelines, likelihood of success and total costs vary widely. We are currently focused primarily on advancing the Technosphere Insulin System through continuing Phase II and into and through Phase III clinical trials. We plan to commercialize our lead product as a treatment for diabetes. Based on the results of preclinical studies, we also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8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Assessing goodwill, intangibles and other long-lived assets for impairment requires us to make assumptions and judgments regarding the carrying value of these assets. Goodwill and intangible assets with indefinite lives are tested for impairment annually, or on an interim basis if events or circumstances indicate that the fair value of the asset has decreased below its carrying value. Other long-lived assets are tested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158" w:lineRule="exact"/>
        <w:rPr>
          <w:sz w:val="20"/>
          <w:szCs w:val="20"/>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legal ownership or title to the assets; or</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believe that one of our assets is impaired, the impairment we recognize is the amount by which the carrying value of the asset exceeds the fair value of the asset.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4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part of the process of preparing consolidated financial statements we are required to estimate accrued expenses. This process involves identifying services that have been performed on our behalf and estimating the level of services performed and the associated cost incurred for these services as of each balance sheet date in our consolidated financial statements. Examples of estimated expenses for which we accrue include professional service fees, such as lawyers and accountants fees, and contract service fees such as amounts paid to clinical monitors, data management organizations and investigators in conjunction with clinical trials, as well as fees paid to contract manufacturers in conjunction with the production of clinical materials. In connection with these service fees, our estimates are primarily affected by our understanding of the status and timing of services provided relative to the actual levels of services incurred by our service providers. The majority of our service providers invoice us monthly in arrears for services performed. In the event that we do not identify certain costs that have begun to be incurred or we underestimate or overestimate the level of services performed or the costs of such services, our reported expenses for a period would be too low or too high, respectively. The date on which certain services commence, the level of services performed on or before a given date and the cost of the services are often judgmental. We make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these judgments based upon the facts and circumstances known to us in accordance with generally accepted accounting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recorded compensation expense related to options to purchase our common stock issued to employees and consultants. We have elected to follow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in accounting for our stock-options issued to employees, and we have adopted the disclosure-only alternative of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Accordingly, we have recorded stock-based compensation expense in connection with the grant of common stock options to employees based on the intrinsic-value method provided for under APB Opinion No. 25 rather than the alternative fair-value method provided for under SFAS No. 123. The intrinsic value of an employee stock option under APB Opinion No. 25 is equal to the difference between the exercise price of the option and the estimated fair value, on the measurement date, of the common stock purchasable with the option. In the notes to our financial statements, we provide pro-forma disclosures that indicate the effect on our net income as if we had applied the fair-value method.</w:t>
      </w:r>
    </w:p>
    <w:p>
      <w:pPr>
        <w:spacing w:after="0" w:line="13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measurement date for stock-based compensation, if any, in connection with an employee stock option is generally the option grant date. However, modifying option terms subsequent to the grant date can result in a remeasurement of stock option compensation on the modification date and subsequently under certain circumstances. On October 7, 2003, our board of directors approved a repricing program for certain outstanding options to purchase shares of our common stock granted under each of our stock plans. Under the repricing program, each holder of outstanding options granted under the stock plans who was an employee of ours on November 5, 2003 could elect to exchange up to all of his or her outstanding options that had an exercise price greater than $7.95 for repriced stock options with an exercise price of $7.95 per share and a term of four years. The option repricing became effective on November 5, 2003. Each replacement option vests 50% in November 2004 and the remaining 50% vests monthly until fully vested in November 2005. Employees who voluntarily resign in the 12-month period beginning November 5, 2003 will forfeit their repriced options. Employees who are involuntarily terminated in the 12-month period beginning November 5, 2003 will vest 50% upon termination and forfeit the remaining portions of their options. Compensation cost for all options repriced under the repricing program will be remeasured on a quarterly basis until the options expire or are exercised or canceled. Stock options issued to consultants are accounted for in accordance with the provisions of SFAS No. 123 and EITF Issue No. 96-18, “</w:t>
      </w:r>
      <w:r>
        <w:rPr>
          <w:rFonts w:ascii="Arial" w:cs="Arial" w:eastAsia="Arial" w:hAnsi="Arial"/>
          <w:sz w:val="17"/>
          <w:szCs w:val="17"/>
          <w:i w:val="1"/>
          <w:iCs w:val="1"/>
          <w:color w:val="auto"/>
        </w:rPr>
        <w:t>Accounting for Equity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Are Issued to Other Than Employees for Acquiring, or in Conjunction with Selling, Goods or Services”. </w:t>
      </w:r>
      <w:r>
        <w:rPr>
          <w:rFonts w:ascii="Arial" w:cs="Arial" w:eastAsia="Arial" w:hAnsi="Arial"/>
          <w:sz w:val="17"/>
          <w:szCs w:val="17"/>
          <w:color w:val="auto"/>
        </w:rPr>
        <w:t>Under SFAS No. 123,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stock options granted to consultants is equal to the fair value of the stock options rather than the intrinsic value under APB No. 25. We determine the fair value of options granted to consultants using the Black-Scholes option valuation model, which was developed for use in estimating the fair value of traded options that have no vesting restrictions and are fully transferable. The Black-Scholes option valuation model requires the input of highly subjective assumptions, including the expected volatility of our stock price. Stock-based compensation related to options granted to consultants is generally remeasured periodically as the underlying options vest.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Stock-based compensation expense includes amounts attributable to certain issuances of common stock for notes receivable that we have accounted for as in-substance stock options and are further described in the notes to our annual financial statements appearing in the Prospectus. Stock-based compensation expense is assigned to operating expense categories in our statements of operations according to nature of the services rendered by the employee or consultant to whom the expense applies.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future periods we are required to remeasure stock-based compensation cost for all employee options repriced under the repricing program that remain outstanding and to periodically remeasure the stock-based compensation cost of options we have granted to consultants. Since the amount of compensation cost attributable to the repriced options and consultant options is dependent on the fair value of our common stock underlying the options on the future remeasurement dates, the amount of stock-based compensation recognized in any given future period cannot be predicted and may have a material impact on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As of June 30,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2004, we recorded a full valuation allowance against our gross deferred tax assets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Accretion of dividends and offering costs on convertible preferred stock</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Accretion of dividends and offering costs on convertible preferred stock primarily consists of dividends on convertible preferred stock. Prior to the conversion of our convertible preferred stock into shares of our common stock that occurred on August 2, 2004 upon the completion of our initial public offering, our convertible preferred stock was entitled to accretion of dividends. The amount of the accretion of dividends decreased the amount of stockholders’ equity available to our common stockholders and effectively increased the loss per share of our common stock. After August 2, 2004, no existing convertible preferred stock was outstanding, and accordingly there will be no further accretion of dividends and offering costs on these shares. All preferred stock dividends which were accreted before August 2, 2004 were forfeited by the preferred stockholders on that date in connection with the conversion of these preferred shares to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revenues were recorded for the three months ended June 30, 2004 or 2003. We do not anticipate receiving revenues from the sales of any product prior to regulatory approval and commercialization of our Technosphere Insulin System.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and development expenses increased by $5.0 million to $14.3 million for the three months ended June 30, 2004 compared to $9.3 million for the three months ended June 30, 2003, an increase of 53.6%. The increase was primarily due to ongoing expenditures in 2004 related to our Technosphere Insulin System. Initiation of preclinical and clinical studies in 2004 increased research expenditures by $2.6 million, which also resulted in increased manufacturing costs of $2.7 million to supply clinical trial materials and our continued validation of our manufacturing system. The increased costs were offset by a decrease of $0.3 million in research and development costs resulting from the termination of AlleCure product development programs and the redesign of CTL product development programs which was initiated in the first quarter of 2003. We anticipate that our research and development expenses will increase significantly with the continuation of existing, and initiation of new, clinical trials and the resulting manufacturing costs associated with producing materials for these clinical trials. Additionally, we continue to advance our efforts in developing additional applications for our proprietary Technosphere formulation technology and developing therapies for the treatment of solid-tumor cancers.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$0.2 million to $4.1 million for the three months ended June 30, 2004 compared to $3.9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June 30, 2003, an increase of 5.1%. The increase was primarily due to stock-based compensation expense of $0.9 million in 2004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resulting primarily from the repricing of employee stock options in 2003, which was approved by our board of directors in October 2003, as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 million in stock-based compensation expense recognized in 2003. The increase in costs were offset by a decrease of $0.6 million in various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resulting from the consolidation of our California operations and reductions in workforce initiated in the first quarter of 2003.</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Interest income increased by $4,000 to $123,000 for the three months ended June 30, 2004 compared to $119,000 for the three months ended June 30, 2003, an increase of 3.4%. The increase was primarily due to higher levels of marketable securities available for investment during 2004 compared to 2003.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income of $14,000 and $17,000 for the three months ended June 30, 2004 and 2003, respectively, relates primarily to dividend income from available-for-sale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revenues were recorded for the six months ended June 30, 2004 or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expenses increased by $6.2 million to $27.1 million for the six months ended June 30, 2004 compared to $20.9 million for the six months ended June 30, 2003, an increase of 29.7%. The increase was primarily due to ongoing expenditures in 2004 related to our Technosphere Insulin System. Initiation of preclinical studies in 2004 increased research expenditures by $2.8 million, which also resulted in increased manufacturing costs of $4.3 million to supply clinical trial materials and our continued validation of our manufacturing system. The increased costs were offset by a decrease of $0.9 million in research and development costs resulting from the termination of AlleCure product development programs and the redesign of CTL product development programs initiated in the first quarter of 2003.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decreased by $4.9 million to $7.8 million for the six months ended June 30, 2004 compared to $12.7 million for the six months ended June 30, 2003, a decrease of 38.6%. The decrease was primarily due to the consolidation of California operations into our Valencia, California facility and reduction of our California workforce, which resulted in transition and severance expenses of $3.2 million in the six months ended June 30, 2003. Additionally, we recognized stock-based compensation expense of $3.2 million in 2003 resulting primarily from the modification of certain employee stock options as compared to $2.4 million in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Interest income increased by $17,000 to $221,000 for the six months ended June 30, 2004 compared to $204,000 for the six months ended June 30, 2003, an increase of 8.3%. The increase was primarily due to higher levels of cash and marketable securities available for investment during 2004 compared to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of $75,000 for the six months ended June 30, 2004 relates primarily to investment income and the receipt of $10,000 in rental income related to leasing a portion of our facility to a third party. In 2003, we fully reserved the recorded rental income receivable related to the facility lease due to non-payment by the lessee, which resulted in other expense of $33,000.</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we have funded our operations primarily through the private placement of equity securities with our majority stockholder and his affiliated entities, who have invested approximately $228.5 million of the approximately $328.5 million that we have raised as of June 30, 2004. In 2003, we raised $100.0 million through private placements of our equity securities, comprising 3,493,194 shares of common stock sold at an average price of $14.31 per share, and 980,392 shares of Series C convertible preferred stock that were subscribed for in 2003 at a price of $51.00 per share. Of the $50.0 million of Series C convertible preferred stock subscribed for in 2003, $31.8 million, representing the purchase price of 624,449 shares of Series C convertible preferred stock, was received in 2003 and $18.2 million, representing the purchase price of the remaining 355,943 shares of Series C convertible preferred stock, was received in the first quarter of 2004. All of the shares of our Series C convertible preferred stock were issued in the first quarter of 2004.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2004, we had $41.3 million in cash, cash equivalents and marketable securities.</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August 2, 2004, we closed our initial public offering at a price to the public of $14.00 per share. We sold 6,250,000 shares of our common stock in the offering and the aggregate price of the offering registered on our behalf was $87.5 million. We granted the underwriters a 30-day option to purchase up to an additional 937,500 shares of common stock to cover over-allotments, if any. This option was exercised for 307,100 shares on August 28, 2004 and closing occurred on September 1, 2004 with net proceeds to us of approximately $4.0 million. In connection with the initial public offering, we paid $6.4 million in underwriting discounts and commissions to underwriters and incurred an estimated $1.8 million in other offering expenses. After deducting the underwriting discounts and commissions and estimated offering expenses, we received net proceeds from the initial public offering, including the over-allotment, of approximately $83.6 million. These proceeds and the conversion of our preferred stock to common stock are not reflected in the accompanying consolidated financial statements as of June 30, 2004.</w:t>
      </w:r>
    </w:p>
    <w:p>
      <w:pPr>
        <w:spacing w:after="0" w:line="1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six months ended June 30, 2004, operating activities used $28.9 million of cash. Net cash used by operating activities during this period resulted primarily from a net loss of $34.7 million, which included non-cash stock-based compensation of $2.4 million and depreciation of $3.6 million. We expect our negative operating cash flow to continue for several years.</w:t>
      </w:r>
    </w:p>
    <w:p>
      <w:pPr>
        <w:spacing w:after="0" w:line="14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During the six months ended June 30, 2004, investing activities used $4.6 million of cash. This use of cash was solely for purchases of equipment of $2.5 million and marketable securities of $2.1 million. Our efforts with respect to our Technosphere Insulin System include expansion of our manufacturing operations and quality systems. Accordingly, we expect to make significant purchases of equipment in the foreseeable future.</w:t>
      </w:r>
    </w:p>
    <w:p>
      <w:pPr>
        <w:spacing w:after="0" w:line="1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six months ended June 30, 2004, financing activities provided $16.8 million in cash primarily from the collection of $18.2 million in preferred stock subscriptions receivable in the first quarter of 2004, offset by $1.4 million returned to a stockholder due to the oversubscribed sale of our Series C convertible preferred stock.</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intend to use our capital resources to continue the development of our Technosphere Insulin System and to develop additional applications for our proprietary Technosphere formulation technology. In addition, a portion of our capital resources will be devoted to expanding our other product development programs for the treatment of solid-tumor cancers and a variety of inflammatory and autoimmune diseases. We also intend to use our capital resources for general corporate purposes, which may include in-licensing or acquiring additional technologies.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intend to raise additional capital through strategic business collaborations. In addition,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We cannot assure you,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may not be on terms as commercially favorable to us.</w:t>
      </w:r>
    </w:p>
    <w:p>
      <w:pPr>
        <w:spacing w:after="0" w:line="19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contractual obligations consist of operating leases, purchase obligations, capital lease commitments and deferred compensation. Some of our current and former employees elected to defer part or all of their compensation from 1991 through 1998, resulting in total deferred compensation of $1.4 million at June 30, 2004. The amounts due for deferred compensation are non-interest-bearing with no repayment terms. Our other obligations are included in the table below.</w:t>
      </w:r>
    </w:p>
    <w:p>
      <w:pPr>
        <w:spacing w:after="0" w:line="16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At June 30, 2004, our total capital lease commitments were not material. Future payments under our operating lease obligations and open purchase commitments consist of the following at June 30, 2004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rPr>
              <w:t>Payments due in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17"/>
                <w:szCs w:val="17"/>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1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7"/>
                <w:szCs w:val="17"/>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4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Open purchase order commitments (1)</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$4,735</w:t>
            </w:r>
          </w:p>
        </w:tc>
        <w:tc>
          <w:tcPr>
            <w:tcW w:w="2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$3,085</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440" w:type="dxa"/>
            <w:vAlign w:val="bottom"/>
          </w:tcPr>
          <w:p>
            <w:pPr>
              <w:spacing w:after="0"/>
              <w:rPr>
                <w:sz w:val="22"/>
                <w:szCs w:val="22"/>
                <w:color w:val="auto"/>
              </w:rPr>
            </w:pPr>
          </w:p>
        </w:tc>
        <w:tc>
          <w:tcPr>
            <w:tcW w:w="4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contractual obligations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$5,030</w:t>
            </w:r>
          </w:p>
        </w:tc>
        <w:tc>
          <w:tcPr>
            <w:tcW w:w="200" w:type="dxa"/>
            <w:vAlign w:val="bottom"/>
            <w:shd w:val="clear" w:color="auto" w:fill="EEEEEE"/>
          </w:tcPr>
          <w:p>
            <w:pPr>
              <w:spacing w:after="0"/>
              <w:rPr>
                <w:sz w:val="22"/>
                <w:szCs w:val="22"/>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$3,269</w:t>
            </w:r>
          </w:p>
        </w:tc>
        <w:tc>
          <w:tcPr>
            <w:tcW w:w="11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EEEEEE"/>
          </w:tcPr>
          <w:p>
            <w:pPr>
              <w:spacing w:after="0"/>
              <w:rPr>
                <w:sz w:val="22"/>
                <w:szCs w:val="22"/>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28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9"/>
        </w:trPr>
        <w:tc>
          <w:tcPr>
            <w:tcW w:w="1440" w:type="dxa"/>
            <w:vAlign w:val="bottom"/>
            <w:tcBorders>
              <w:bottom w:val="single" w:sz="8" w:color="808080"/>
            </w:tcBorders>
          </w:tcPr>
          <w:p>
            <w:pPr>
              <w:spacing w:after="0"/>
              <w:rPr>
                <w:sz w:val="17"/>
                <w:szCs w:val="17"/>
                <w:color w:val="auto"/>
              </w:rPr>
            </w:pPr>
          </w:p>
        </w:tc>
        <w:tc>
          <w:tcPr>
            <w:tcW w:w="880" w:type="dxa"/>
            <w:vAlign w:val="bottom"/>
            <w:tcBorders>
              <w:top w:val="single" w:sz="8" w:color="EEEEEE"/>
              <w:bottom w:val="single" w:sz="8" w:color="808080"/>
            </w:tcBorders>
          </w:tcPr>
          <w:p>
            <w:pPr>
              <w:spacing w:after="0"/>
              <w:rPr>
                <w:sz w:val="17"/>
                <w:szCs w:val="17"/>
                <w:color w:val="auto"/>
              </w:rPr>
            </w:pPr>
          </w:p>
        </w:tc>
        <w:tc>
          <w:tcPr>
            <w:tcW w:w="2820" w:type="dxa"/>
            <w:vAlign w:val="bottom"/>
            <w:tcBorders>
              <w:top w:val="single" w:sz="8" w:color="EEEEEE"/>
            </w:tcBorders>
          </w:tcPr>
          <w:p>
            <w:pPr>
              <w:spacing w:after="0"/>
              <w:rPr>
                <w:sz w:val="17"/>
                <w:szCs w:val="17"/>
                <w:color w:val="auto"/>
              </w:rPr>
            </w:pPr>
          </w:p>
        </w:tc>
        <w:tc>
          <w:tcPr>
            <w:tcW w:w="34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420" w:type="dxa"/>
            <w:vAlign w:val="bottom"/>
            <w:tcBorders>
              <w:top w:val="single" w:sz="8" w:color="808080"/>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34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400" w:type="dxa"/>
            <w:vAlign w:val="bottom"/>
            <w:tcBorders>
              <w:top w:val="single" w:sz="8" w:color="808080"/>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360" w:type="dxa"/>
            <w:vAlign w:val="bottom"/>
            <w:tcBorders>
              <w:top w:val="single" w:sz="8" w:color="EEEEEE"/>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420" w:type="dxa"/>
            <w:vAlign w:val="bottom"/>
            <w:tcBorders>
              <w:top w:val="single" w:sz="8" w:color="808080"/>
            </w:tcBorders>
          </w:tcPr>
          <w:p>
            <w:pPr>
              <w:spacing w:after="0"/>
              <w:rPr>
                <w:sz w:val="17"/>
                <w:szCs w:val="17"/>
                <w:color w:val="auto"/>
              </w:rPr>
            </w:pPr>
          </w:p>
        </w:tc>
        <w:tc>
          <w:tcPr>
            <w:tcW w:w="200" w:type="dxa"/>
            <w:vAlign w:val="bottom"/>
            <w:tcBorders>
              <w:top w:val="single" w:sz="8" w:color="EEEEEE"/>
            </w:tcBorders>
          </w:tcPr>
          <w:p>
            <w:pPr>
              <w:spacing w:after="0"/>
              <w:rPr>
                <w:sz w:val="17"/>
                <w:szCs w:val="17"/>
                <w:color w:val="auto"/>
              </w:rPr>
            </w:pPr>
          </w:p>
        </w:tc>
        <w:tc>
          <w:tcPr>
            <w:tcW w:w="340" w:type="dxa"/>
            <w:vAlign w:val="bottom"/>
            <w:tcBorders>
              <w:top w:val="single" w:sz="8" w:color="EEEEEE"/>
            </w:tcBorders>
          </w:tcPr>
          <w:p>
            <w:pPr>
              <w:spacing w:after="0"/>
              <w:rPr>
                <w:sz w:val="17"/>
                <w:szCs w:val="17"/>
                <w:color w:val="auto"/>
              </w:rPr>
            </w:pPr>
          </w:p>
        </w:tc>
        <w:tc>
          <w:tcPr>
            <w:tcW w:w="100" w:type="dxa"/>
            <w:vAlign w:val="bottom"/>
            <w:tcBorders>
              <w:top w:val="single" w:sz="8" w:color="EEEEEE"/>
            </w:tcBorders>
          </w:tcPr>
          <w:p>
            <w:pPr>
              <w:spacing w:after="0"/>
              <w:rPr>
                <w:sz w:val="17"/>
                <w:szCs w:val="17"/>
                <w:color w:val="auto"/>
              </w:rPr>
            </w:pPr>
          </w:p>
        </w:tc>
        <w:tc>
          <w:tcPr>
            <w:tcW w:w="280" w:type="dxa"/>
            <w:vAlign w:val="bottom"/>
            <w:tcBorders>
              <w:top w:val="single" w:sz="8" w:color="808080"/>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c>
          <w:tcPr>
            <w:tcW w:w="340" w:type="dxa"/>
            <w:vAlign w:val="bottom"/>
            <w:tcBorders>
              <w:top w:val="single" w:sz="8" w:color="EEEEEE"/>
            </w:tcBorders>
          </w:tcPr>
          <w:p>
            <w:pPr>
              <w:spacing w:after="0"/>
              <w:rPr>
                <w:sz w:val="17"/>
                <w:szCs w:val="17"/>
                <w:color w:val="auto"/>
              </w:rPr>
            </w:pPr>
          </w:p>
        </w:tc>
        <w:tc>
          <w:tcPr>
            <w:tcW w:w="120" w:type="dxa"/>
            <w:vAlign w:val="bottom"/>
            <w:tcBorders>
              <w:top w:val="single" w:sz="8" w:color="EEEEEE"/>
            </w:tcBorders>
          </w:tcPr>
          <w:p>
            <w:pPr>
              <w:spacing w:after="0"/>
              <w:rPr>
                <w:sz w:val="17"/>
                <w:szCs w:val="17"/>
                <w:color w:val="auto"/>
              </w:rPr>
            </w:pPr>
          </w:p>
        </w:tc>
        <w:tc>
          <w:tcPr>
            <w:tcW w:w="180" w:type="dxa"/>
            <w:vAlign w:val="bottom"/>
            <w:tcBorders>
              <w:top w:val="single" w:sz="8" w:color="808080"/>
            </w:tcBorders>
          </w:tcPr>
          <w:p>
            <w:pPr>
              <w:spacing w:after="0"/>
              <w:rPr>
                <w:sz w:val="17"/>
                <w:szCs w:val="17"/>
                <w:color w:val="auto"/>
              </w:rPr>
            </w:pPr>
          </w:p>
        </w:tc>
        <w:tc>
          <w:tcPr>
            <w:tcW w:w="100" w:type="dxa"/>
            <w:vAlign w:val="bottom"/>
            <w:tcBorders>
              <w:top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-172720</wp:posOffset>
            </wp:positionV>
            <wp:extent cx="12446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74" w:lineRule="exact"/>
        <w:rPr>
          <w:sz w:val="20"/>
          <w:szCs w:val="20"/>
          <w:color w:val="auto"/>
        </w:rPr>
      </w:pPr>
    </w:p>
    <w:p>
      <w:pPr>
        <w:ind w:left="340" w:right="20" w:hanging="326"/>
        <w:spacing w:after="0" w:line="264"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amounts included in open purchase order commitments are subject to performance under the purchase order by the supplier of the goods or services and do not become our obligation until such performance is rendered. The amount shown is principally for the purchase of materials for our clinical trials and the acquisition of manufacturing equipment.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December 2002, FASB issued SFAS No. 148, “Accounting for Stock-based Compensation — Transition and Disclosure, an Amendment of FASB Statement No. 123,” to provide alternative methods of transition for a voluntary change to the fair value based method of accounting for stock-based compensation. We have adopted the disclosure requirements of this statement. In March 2004, the FASB issued a proposed SFAS - “Share-based Payment: an Amendment of FASB Statements No. 123 and 95.” The proposed standard would require companies to expense share-based payments to employees, including stock options, based on the fair value of the award at the grant date. The proposed statement would eliminate the intrinsic value method of accounting for stock options permitted by APB No. 25, “Accounting for Stock Issued to Employees,” which we currently follow. We will continue to monitor the actions of the FASB and assess the impact, if any, on our consolidated financial statements.</w:t>
      </w:r>
    </w:p>
    <w:p>
      <w:pPr>
        <w:spacing w:after="0" w:line="13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March 2004, the FASB approved the consensus reached on EITF Issue No. 03-1, “The Meaning of Other-Than-Temporary Impairment and Its Application to Certain Investments.” The objective of Issue No. 03-1 is to provide guidance for identifying impaired investments. Issue No. 03-1 also provides new disclosure requirements for investments that are deemed to be temporarily impaired. The accounting provisions of Issue No. 03-1 are effective for all reporting periods beginning after June 15, 2004, while the disclosure requirements are effective only for annual periods ending after June 15, 2004. We have evaluated the impact of the adoption of Issue No. 03-1 and do not believe the impact will be significant to our overall results of operations or financial position.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14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never been profitable, and, as of June 30, 2004, we had an accumulated deficit of $401.6 million and a net loss of $65.9 million for the year ended December 31, 2003 and $34.7 million for the six months ended June 30, 2004. The accumulated deficit has resulted principally from the write-off of goodwill, costs incurred in our research and development programs and general operating expenses. We expect to make substantial expenditures and to incur additional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 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will suffer.</w:t>
      </w:r>
    </w:p>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and perform preclinical research for a number of additional product candidates. Our future revenues may not be sufficient to support the expense of these activities.</w:t>
      </w:r>
    </w:p>
    <w:p>
      <w:pPr>
        <w:spacing w:after="0" w:line="1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including the proceeds from our initial public offering, will enable us to continue planned operations through at least the second quarter of 2005, even if we do not enter into a collaborative agreement. However, we cannot assure you that our plans will not change or that changed circumstances will not result in the depletion of our capital resources more rapidly than we currently anticipate. Accordingly, we expect that we will need to raise additional capital, either through a strategic business collaboration, the sale of equity and/or debt securities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189" w:lineRule="exact"/>
        <w:rPr>
          <w:sz w:val="20"/>
          <w:szCs w:val="20"/>
          <w:color w:val="auto"/>
        </w:rPr>
      </w:pPr>
    </w:p>
    <w:p>
      <w:pPr>
        <w:ind w:left="220" w:right="220" w:hanging="167"/>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amount of milestone or other payments we might receive from potential third parties;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amount of payments we might receive from potential licenses;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 and</w:t>
      </w:r>
    </w:p>
    <w:p>
      <w:pPr>
        <w:spacing w:after="0" w:line="225" w:lineRule="exact"/>
        <w:rPr>
          <w:rFonts w:ascii="Arial" w:cs="Arial" w:eastAsia="Arial" w:hAnsi="Arial"/>
          <w:sz w:val="18"/>
          <w:szCs w:val="18"/>
          <w:color w:val="auto"/>
        </w:rPr>
      </w:pPr>
    </w:p>
    <w:p>
      <w:pPr>
        <w:ind w:left="220" w:right="340" w:hanging="167"/>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raised capital in the past primarily through the private placement of equity securities. We intend to raise additional capital through strategic business collaborations. In addition,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assure you,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137"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early stages of preclinical development.</w:t>
      </w:r>
    </w:p>
    <w:p>
      <w:pPr>
        <w:spacing w:after="0" w:line="139"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to Phase III clinical trials and demonstrate in these trials that our Technosphere Insulin System is safe and effective. We currently anticipate conducting several pivotal Phase III clinical trials as well as several special population studies involving, in total, several thousand patients, which will require the expenditure of additional time and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availability of alternative treatments and cost effectiveness. If we fail to commercialize our Technosphere Insulin System, our business, financial condition and results of operations will be materially and adversely affected.</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immunology. All of these product candidates will require additional research and development and significant preclinical, clinical and other testing prior to seeking regulatory approval to market them. Accordingly, these product candidates will not be commercially available for many years, if at all.</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significant portion of the research that we are conducting involves new and unproven compounds and technologies, including our Technosphere Insulin System, Technosphere formulation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drugs or therapeutics.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13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our most clinically advanced program, we may not be able to execute on our business model.</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current strategy for developing, manufacturing and commercializing our product candidates includes securing collaborations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w:t>
      </w:r>
    </w:p>
    <w:p>
      <w:pPr>
        <w:spacing w:after="0" w:line="1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are not able to enter into collaborations for our products, we could be required to undertake and fund product development, clinical trials, manufacturing and marketing activities solely at our own expense. For example, we are currently seeking to enter into a collaboration with respect to our Technosphere Insulin System. If we are not able to enter into a collaboration prior to the commencement of Phase III clinical trials, upon successful completion of our Phase</w:t>
      </w:r>
    </w:p>
    <w:p>
      <w:pPr>
        <w:ind w:right="40" w:firstLine="8"/>
        <w:spacing w:after="0" w:line="253"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trials we intend to fund the initial Phase III clinical trials ourselves from the proceeds of the initial public offering. We estimate that the cost of a Phase III program over the next 24 to 30 months would be approximately $70 to $80 million. Failure to enter into a collaboration with respect to our Technosphere Insulin System following initial Phase III clinical trials or for any other product candidate would substantially increase our requirements for capital, which might not be available on favorable terms, or at all. Alternatively, we would have to substantially reduce our development efforts, which would delay or otherwise impede the commercialization of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testing of a particular product candidate does not yield successful results, we will be unable to commercialize that product candidate.</w:t>
      </w:r>
    </w:p>
    <w:p>
      <w:pPr>
        <w:spacing w:after="0" w:line="21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181" w:lineRule="exact"/>
        <w:rPr>
          <w:sz w:val="20"/>
          <w:szCs w:val="20"/>
          <w:color w:val="auto"/>
        </w:rPr>
      </w:pPr>
    </w:p>
    <w:p>
      <w:pPr>
        <w:jc w:val="both"/>
        <w:ind w:left="220" w:right="120" w:hanging="167"/>
        <w:spacing w:after="0" w:line="264"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be forced to stop developing product candidates that we currently believe are important to our future;</w:t>
      </w:r>
    </w:p>
    <w:p>
      <w:pPr>
        <w:spacing w:after="0" w:line="181" w:lineRule="exact"/>
        <w:rPr>
          <w:rFonts w:ascii="Arial" w:cs="Arial" w:eastAsia="Arial" w:hAnsi="Arial"/>
          <w:sz w:val="18"/>
          <w:szCs w:val="18"/>
          <w:color w:val="auto"/>
        </w:rPr>
      </w:pPr>
    </w:p>
    <w:p>
      <w:pPr>
        <w:ind w:left="220" w:hanging="167"/>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were promising; and</w:t>
      </w:r>
    </w:p>
    <w:p>
      <w:pPr>
        <w:spacing w:after="0" w:line="225" w:lineRule="exact"/>
        <w:rPr>
          <w:sz w:val="20"/>
          <w:szCs w:val="20"/>
          <w:color w:val="auto"/>
        </w:rPr>
      </w:pPr>
    </w:p>
    <w:p>
      <w:pPr>
        <w:ind w:left="220" w:right="40" w:hanging="167"/>
        <w:spacing w:after="0" w:line="27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long-term safety studies of our Technosphere Insulin system are designed to evaluate a number of safety issues, including pulmonary function. Our Technosphere Insulin System is intended for multiple uses per day. Due to the size and time frame over which the clinical trials are conducted, the results of clinical trials may not be indicative of the effects of long-term use. If long-term use of our product results in adverse health effects or reduced efficacy or both, the FDA or other regulatory agencies may terminate our ability to market and sell our Technosphere Insulin System, may narrow the approved indications for use or otherwise require restrictive product labeling, or may require further clinical trials, which may be time-consuming and expensive, and may not produce favorable results.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our collaborators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third-party payors do not reimburse customers for our products, they might not be used or purchased, which would adversely affect our revenues.</w:t>
      </w:r>
    </w:p>
    <w:p>
      <w:pPr>
        <w:spacing w:after="0" w:line="21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revenues and profitability may be affected by the continuing efforts of governments and third-party payors to contain or reduce the costs of healthcare through various means. For example, in certain foreign markets the pricing or profitability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that will require us to provide scientific and clinical support for the use of each of our products to each third-party payor separately with no assurance that approval will be obtained. This process could delay the market acceptance of new products and could have a negative effect on our revenues and operating results. Even if we succeed in bringing one or more products to market, we cannot be certain that these products will be considered cost-effective or that reimbursement to the consumer will be available, in which case our business and results of operations will be harmed and the market price of our common stock may decline.</w:t>
      </w:r>
    </w:p>
    <w:p>
      <w:pPr>
        <w:spacing w:after="0" w:line="14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the commercialization of our product candidates may be delayed and our business will be harmed.</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based on a variety of assumptions. The actual timing of the achievement of these milestones can vary dramatically compared to our estimates—in many cases for reasons beyond our control—depending on numerous factors, including:</w:t>
      </w:r>
    </w:p>
    <w:p>
      <w:pPr>
        <w:spacing w:after="0" w:line="188" w:lineRule="exact"/>
        <w:rPr>
          <w:sz w:val="20"/>
          <w:szCs w:val="20"/>
          <w:color w:val="auto"/>
        </w:rPr>
      </w:pPr>
    </w:p>
    <w:p>
      <w:pPr>
        <w:ind w:left="220" w:hanging="167"/>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w:t>
      </w:r>
    </w:p>
    <w:p>
      <w:pPr>
        <w:spacing w:after="0" w:line="225" w:lineRule="exact"/>
        <w:rPr>
          <w:rFonts w:ascii="Arial" w:cs="Arial" w:eastAsia="Arial" w:hAnsi="Arial"/>
          <w:sz w:val="18"/>
          <w:szCs w:val="18"/>
          <w:color w:val="auto"/>
        </w:rPr>
      </w:pPr>
    </w:p>
    <w:p>
      <w:pPr>
        <w:ind w:left="5620" w:right="4080" w:hanging="5567"/>
        <w:spacing w:after="0" w:line="528"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225" w:lineRule="exact"/>
        <w:rPr>
          <w:rFonts w:ascii="Arial" w:cs="Arial" w:eastAsia="Arial" w:hAnsi="Arial"/>
          <w:sz w:val="18"/>
          <w:szCs w:val="18"/>
          <w:color w:val="auto"/>
        </w:rPr>
      </w:pPr>
    </w:p>
    <w:p>
      <w:pPr>
        <w:ind w:left="220" w:right="300" w:hanging="167"/>
        <w:spacing w:after="0" w:line="277"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225"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In addition, if we do not obtain sufficient additional funds through strategic collaborations, sales of securities or the sale or license of our assets on a timely basis, we may be required to reduce expenses by delaying, reducing or curtailing our Technosphere Insulin System or other product development activities, which may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4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product candidates may be delayed and our business could be harmed.</w:t>
      </w:r>
    </w:p>
    <w:p>
      <w:pPr>
        <w:spacing w:after="0" w:line="1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currently rely on hospitals and clinical research organizations to conduct, supervise or monitor some or all aspects of clinical trials involving our product candidates, including our Technosphere Insulin System. Further, we are seeking to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our product candidates. We cannot assure you that we will be able to enter into satisfactory arrangements with third parties as contemplated or that any of our existing or future collaborations will be successful.</w:t>
      </w:r>
    </w:p>
    <w:p>
      <w:pPr>
        <w:spacing w:after="0" w:line="1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are unable to manage growth in connection with our transition from an early-stage development company to a company that commercializes therapeutics, our operations will suffer.</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need to add a significant number of new personnel, broaden our areas of expertise, and expand our manufacturing capabilities in order to successfully implement our commercialization strategy for our Technosphere Insulin System. Over the next two years, we estimate that we will need to recruit at least 65 new employees, principally in the clinical development and manufacturing production areas. Organizational growth and expansion of operations could strain our existing managerial, operational, financial and other resources.</w:t>
      </w:r>
    </w:p>
    <w:p>
      <w:pPr>
        <w:spacing w:after="0" w:line="14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have never manufactured any of our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use our Danbury, Connecticut facility to manufacture raw Technosphere material,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We are in the process of qualifying a third-party manufacturer to supply us with commercial quantities of the raw Technosphere material. We are currently negotiating a long-term supply agreement with a third party to manufacture our MedTone inhaler and the unfilled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cartridges as well as the related molds.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any of our product candidates in commercial quantities. As our product candidates move through the regulatory process, we will need to either develop the capability of manufacturing on a commercial scale or engage third-party manufacturers with this capability, and we cannot assure you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will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its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14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our potential third-party manufacturers fail to deliver the required commercial quantities of our products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our products and we would lose potential revenues.</w:t>
      </w:r>
    </w:p>
    <w:p>
      <w:pPr>
        <w:spacing w:after="0" w:line="128"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will be harmed and the market price of our common stock may decline.</w:t>
      </w:r>
    </w:p>
    <w:p>
      <w:pPr>
        <w:spacing w:after="0" w:line="15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which is currently our sole supplier for insulin. We are aware of at least five other suppliers of bulk insulin. We are currently negotiating a long-term supply agreement with the supplier of our MedTone inhaler and cartridges. We must rely on our suppliers to comply with relevant regulatory and other legal requirements, including the production of insulin in accordance with current Good Manufacturing Practices (“cGMP”).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our development or manufacturing may be delayed. Any such events would delay the submission of our product candidates for regulatory approval or market introduction and subsequent sales and, if so, our business and results of operations will be harmed and the market price of our common stock may decline.</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will be required to establish our own sales, marketing and distribution capabilities, which could delay the commercialization of our products and harm our business.</w:t>
      </w:r>
    </w:p>
    <w:p>
      <w:pPr>
        <w:spacing w:after="0" w:line="12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we fail to enter into collaborations, we will be required to establish our own direct sales, marketing and distribution capabilities. Establishing these capabilities can be time-consuming and expensive and we estimate that establishing a specialty sales force would cost more than</w:t>
      </w:r>
    </w:p>
    <w:p>
      <w:pPr>
        <w:spacing w:after="0" w:line="2"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$20 million. Because of our size, we would be at a disadvantage to our potential competitors, all of which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15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initially are focusing on the development of the Technosphere Insulin System for the treatment of diabetes, and we face intense competition in this area. Pfizer, Inc. and Aventis, in collaboration with Nektar Therapeutics, have been conducting Phase III clinical trials for the Exubera product and in March 2004 filed a submission seeking regulatory approval in Europe. Novo Nordisk A.S., in collaboration with Aradigm Corporation, has a pulmonary insulin product in Phase III clinical trials, and Eli Lilly and Company, in collaboration with Alkermes, Inc., is also developing a pulmonary insulin product, which is currently in Phase II clinical trials. In addition, a number of established pharmaceutical companies are developing proprietary technologies or have entered into arrangements with, or acquired, companies with technologies for the treatment of diabetes. We also face substantial competition for the development of our other product candidates.</w:t>
      </w:r>
    </w:p>
    <w:p>
      <w:pPr>
        <w:spacing w:after="0" w:line="1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products becoming obsolete or noncompetitive. Our competitors may develop or introduce new products that would render our technology and our Technosphere Insulin System less competitive, uneconomical or obsolete. The fact that another company will likely be the first to commercialize a pulmonary insulin system may give that company an advantage in terms of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15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also expect to face increasing competition from universities and other non-profit research organizations. These institutions carry out a significant amount of research and development in the areas of diabetes, cancer and inflammatory and autoimmune diseases. These institutions are becoming increasingly aware of the commercial value of their findings and are more active in seeking patent and other proprietary rights as well as licensing revenues.</w:t>
      </w:r>
    </w:p>
    <w:p>
      <w:pPr>
        <w:spacing w:after="0" w:line="10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our products do not become widely accepted by physicians, patients, third-party payors and the healthcare community, we may be unable to generate significant revenue, if any.</w:t>
      </w:r>
    </w:p>
    <w:p>
      <w:pPr>
        <w:spacing w:after="0" w:line="1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product candidates are new and unproven. Even if our product candidates obtain regulatory approvals,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product candidates will depend on many factors, including:</w:t>
      </w:r>
    </w:p>
    <w:p>
      <w:pPr>
        <w:spacing w:after="0" w:line="225" w:lineRule="exact"/>
        <w:rPr>
          <w:sz w:val="20"/>
          <w:szCs w:val="20"/>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adopt new technologies;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225" w:lineRule="exact"/>
        <w:rPr>
          <w:rFonts w:ascii="Arial" w:cs="Arial" w:eastAsia="Arial" w:hAnsi="Arial"/>
          <w:sz w:val="18"/>
          <w:szCs w:val="18"/>
          <w:color w:val="auto"/>
        </w:rPr>
      </w:pPr>
    </w:p>
    <w:p>
      <w:pPr>
        <w:ind w:left="220" w:right="140" w:hanging="167"/>
        <w:spacing w:after="0" w:line="27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convenience and ease of administration of the products relative to existing treatment methods;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hanging="167"/>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pricing and reimbursement of our products relative to existing treatment therapeutics and methods;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Physicians will not recommend our products until clinical data or other factors demonstrate the safety and efficacy of our products as compared to other treatments.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our products may not gain market acceptance, which would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testing, manufacturing, marketing and sale of our various product candidates, including the Technosphere Insulin System,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may not be able to obtain insurance coverage that will be adequate to satisfy any liability that may arise.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will be harmed and the market price of our common stock may decline.</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local coverage. We intend to obtain product liability coverage for commercial sales in the future. However, insurance coverage in our industry can be very expensive and difficult to obtain and we cannot assure you that we will be able to obtain sufficient coverage at an acceptable cost, if at all. If we are sued for any injury caused by our technology or products, or by third-party products that we manufacture, our liability could exceed our insurance coverage and total assets.</w:t>
      </w:r>
    </w:p>
    <w:p>
      <w:pPr>
        <w:spacing w:after="0" w:line="162"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13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 we purchased the facilities located in Danbury, Connecticut,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latter indemnities are limited to the purchase price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that we paid for the Danbury facilities. We estimate the cost to complete the soil cleanup plan is $500,000 to $1,500,000 over the next 18 to 24 months.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21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including Messrs. Mann, Edstrom, Burns and Anderson and Drs. Cheatham and Thomson,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1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 which was acquired by Boston Scientific Corporation, and is involved in many other business and charitable activities. As a result, the time and attention Mr. Mann devotes to the operation of our business varies and he may not be able to expend the same time or focus on our activities as other, similarly situated chief executive officers. Mr. Mann typically devotes anywhere between 25 and 50 hours a week to our business. If Mr. Mann is unable to devote the time and attention necessary to running our business, we may not be able to execute our business strategy and our business could be materially harmed.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headquarters and some of our research and development activities are located in Southern California, where they are subject to an enhanced risk of natural and other disasters such as power and telecommunications failures,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regulatory approvals, which could be costly and time-consuming and subject us to unanticipated delays or prevent us from marketing any products.</w:t>
      </w:r>
    </w:p>
    <w:p>
      <w:pPr>
        <w:spacing w:after="0" w:line="1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181" w:lineRule="exact"/>
        <w:rPr>
          <w:sz w:val="20"/>
          <w:szCs w:val="20"/>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expect, based on our interactions with the FDA and on our understanding of the interactions between the FDA and other pharmaceutical companies developing pulmonary insulin delivery systems, that we will need safety data covering at least two years from patients treated with our Technosphere Insulin System and that we must conduct a two-year carcinogenicity study of Technosphere Insulin in rodents. We cannot be certain when or under what conditions we will undertake further clinical trials, including a Phase III program for our Technosphere Insulin System. The clinical trials of our product candidates may not be completed on schedule, and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process of obtaining FDA and other required regulatory approvals, including foreign approvals, is expensive, often takes many years and can vary substantially based upon the type, complexity and novelty of the products involved. To our knowledge, no pulmonary insulin product has yet been approved for marketing and we are not aware of any precedent for the successful commercialization of products based on our technology or technologies similar to ours. The FDA likely will regulate our Technosphere Insulin System as a “combination product” because of the complex nature of the system that includes the combination of a new drug (Technosphere Insulin) and a new medical device (the MedTone inhaler used to administer the insulin). There have been some indications from the FDA that the review of a future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w:t>
      </w:r>
    </w:p>
    <w:p>
      <w:pPr>
        <w:spacing w:after="0" w:line="150"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FDA review of our Technosphere Insulin System as a combination-product therapy may lengthen the product development and regulatory approval process, increase our development costs and delay or prevent the commercialization of our Technosphere Insulin System.</w:t>
      </w:r>
    </w:p>
    <w:p>
      <w:pPr>
        <w:spacing w:after="0" w:line="102"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We are developing our Technosphere Insulin System as a new treatment for diabetes utilizing unique, proprietary components. The FDA advised us that the Technosphere Insulin System must be tested as an entire system and that changes to either the MedTone inhaler, the Technosphere material or the insulin could result in FDA requirements to repeat clinical studies because the agency will not permit bridging studies. Bridging studies are traditionally performed on investigational medical products to demonstrate relevance of data obtained on older generation products to newer changed products. Our product candidates that are currently in development for the treatment of cancer and autoimmune and inflammatory diseases also face similar obstacles and costs.</w:t>
      </w:r>
    </w:p>
    <w:p>
      <w:pPr>
        <w:spacing w:after="0" w:line="11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3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not be able to commercialize our Technosphere Insulin System and other product candidates until we have obtained regulatory approval, and any delay in obtaining, or inability to obtain, regulatory approval could harm our business. In addition, regulatory authorities may also limit the segments of the diabetes population to which we or others may market our Technosphere Insulin System or limit the target population for our other product candidates.</w:t>
      </w:r>
    </w:p>
    <w:p>
      <w:pPr>
        <w:spacing w:after="0" w:line="102"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we obtain regulatory approval for our product candidates, we will be subject to stringent, ongoing government regulation.</w:t>
      </w:r>
    </w:p>
    <w:p>
      <w:pPr>
        <w:spacing w:after="0" w:line="18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Even if regulatory authorities approve any of our product candidates, the manufacture, marketing and sale of these product candidates will be subject to stringent and ongoing government regulation. We also are required to register our establishments with the FDA and certain state agencies. We and any third-party manufacturers or suppliers must continually adhere to federal regulations setting forth requirements, known as cGMP (for drugs) and Quality System Regulations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establishment registration, device listing,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1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We must rely on our MedTone inhaler and cartridge supplier to comply with relevant regulatory requirements including QSR and other FDA requirements for medical device manufacturers. It also is likely that this supplier will be subject to an FDA preapproval inspection before the agency will approve a future marketing application for our Technosphere Insulin System. At the present time our supplier is certified to the ISO 9001:2000 Standard. There can be no assurance, however, that if the FDA were to conduct a preapproval inspection of our supplier, that the agency would find that the supplier substantially complies with the QSR. If we or any potential third-party manufacturer or supplier fail to comply with these cGMP or QSR requirements, regulatory authorities may subject us to regulatory action, including criminal prosecutions, fines and suspension of the manufacture of our products.</w:t>
      </w:r>
    </w:p>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13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present, there are a number of clinical trials being conducted by other pharmaceutical companies involving insulin delivery systems. The announcement of adverse results from these clinical trials, particularly trials involving the pulmonary delivery of insulin, as well as the FDA’s response to these clinical trials, could negatively impact the timing of our clinical trials, our ability to obtain regulatory approval or the public perception of our products. For example, in 2001, Pfizer and Aventis announced that the planned filing for regulatory approval of their pulmonary insulin product would be delayed, citing two concerns. The first concern was that one patient out of more than 1,000 that had used the inhaled form of insulin had developed pulmonary fibrosis. The incidence of pulmonary fibrosis seen in their Phase III clinical trials was comparable to the general population incidence, so it was unclear that the pulmonary fibrosis was related to the use of inhaled insulin. However, the use of inhaled insulin could not be ruled out as a cause. The second concern was that four times as many patients inhaling their drug developed antibodies against insulin as those who injected insulin, although these antibodies did not appear to inhibit insulin activity. Because of these concerns, Pfizer and Aventis stated that the FDA would likely require more safety data. To date, they have filed for regulatory approval in Europe (in March 2004), but have not filed for regulatory approval in the United States. A review of this long-term safety data by the FDA may result in delays in approvals of any inhaled insulin product, including our Technosphere Insulin System. 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1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if we attempt to enforce them and they are challenged in court or in other proceedings, such as oppositions, which may be brought in US or foreign jurisdictions to challenge the validity of a patent. A third party may challenge the validity or enforceability of a patent after its issuance by the US Patent and Trademark Office (“USPTO”).</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4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16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2"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Over the past three decades the number of patents issued to biotechnology companies has expanded dramatically. As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result it is not always clear to industry participants, including us, which patents cover the multitude of biotechnology product types. Ultimately, the courts must determine the scope of coverage afforded a patent and the courts do not always arrive at uniform conclusions.</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be required to obtain a license from the other party in order to continue to commercialize the affected products, or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 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w:t>
      </w:r>
    </w:p>
    <w:p>
      <w:pPr>
        <w:spacing w:after="0" w:line="18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completed our initial public offering on August 2, 2004. Prior to that, you could not buy or sell our common stock publicly. An active public market for our common stock may not continue to develop or be sustained. 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88" w:lineRule="exact"/>
        <w:rPr>
          <w:sz w:val="20"/>
          <w:szCs w:val="20"/>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225" w:lineRule="exact"/>
        <w:rPr>
          <w:rFonts w:ascii="Arial" w:cs="Arial" w:eastAsia="Arial" w:hAnsi="Arial"/>
          <w:sz w:val="18"/>
          <w:szCs w:val="18"/>
          <w:color w:val="auto"/>
        </w:rPr>
      </w:pPr>
    </w:p>
    <w:p>
      <w:pPr>
        <w:ind w:left="220" w:right="560" w:hanging="167"/>
        <w:spacing w:after="0" w:line="277"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170" w:lineRule="exact"/>
        <w:rPr>
          <w:rFonts w:ascii="Arial" w:cs="Arial" w:eastAsia="Arial" w:hAnsi="Arial"/>
          <w:sz w:val="18"/>
          <w:szCs w:val="18"/>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our Technosphere Insulin System or other product candidates;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concerning our patents, proprietary rights and potential infringement claims;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and operating performance;</w:t>
      </w:r>
    </w:p>
    <w:p>
      <w:pPr>
        <w:spacing w:after="0" w:line="225" w:lineRule="exact"/>
        <w:rPr>
          <w:rFonts w:ascii="Arial" w:cs="Arial" w:eastAsia="Arial" w:hAnsi="Arial"/>
          <w:sz w:val="18"/>
          <w:szCs w:val="18"/>
          <w:color w:val="auto"/>
        </w:rPr>
      </w:pPr>
    </w:p>
    <w:p>
      <w:pPr>
        <w:ind w:left="220" w:hanging="16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25" w:lineRule="exact"/>
        <w:rPr>
          <w:rFonts w:ascii="Arial" w:cs="Arial" w:eastAsia="Arial" w:hAnsi="Arial"/>
          <w:sz w:val="18"/>
          <w:szCs w:val="18"/>
          <w:color w:val="auto"/>
        </w:rPr>
      </w:pPr>
    </w:p>
    <w:p>
      <w:pPr>
        <w:ind w:left="220" w:hanging="167"/>
        <w:spacing w:after="0" w:line="277"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of these risks, as well as other factors, could cause the market price of our common stock to decline and may result in a loss of some or all of your investment.</w:t>
      </w:r>
    </w:p>
    <w:p>
      <w:pPr>
        <w:spacing w:after="0" w:line="13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1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Alfred E. Mann, our Chairman,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2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Mr. Mann has been our primary source of financing prior to the initial public offering. As of September 1, 2004, Mr. Mann owned or controlled approximately 48.6% of our outstanding shares of common stock. By virtue of his holdings, he is able to effectively control the election of the members of our board of directors, control our management and affairs and prevent corporate transactions such as mergers, consolidations or the sale of all or substantially all of our assets that may be favorable from our standpoint or that of our other stockholders or cause a transaction that we or our stockholders may view as unfavorable.</w:t>
      </w:r>
    </w:p>
    <w:p>
      <w:pPr>
        <w:spacing w:after="0" w:line="1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following the expiration of his lock-up agreement with the underwriters.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 Mr. Mann, four of his children and Dr. Joseph Schulman, the director of AMF. The AEMFBE is a membership foundation consisting of five members, including Mr. Mann and the same four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4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Mann has agreed to certain provisions regarding the disposition of his shares, including a prohibition on the sale of his shares for a period of 180 days following the Prospectus dated July 28, 2004.</w:t>
      </w:r>
    </w:p>
    <w:p>
      <w:pPr>
        <w:spacing w:after="0" w:line="126"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in excess of 15% of our outstanding voting stock from merging or combining with us.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entirely upon any future appreciation. There is no guarantee that our common stock will appreciate in value or even maintain the price at which you purchased your shares, and you may not realize a return on your investment in our common stock.</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19" w:right="10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not used derivative financial instruments for speculation or trading purposes. However, we are exposed to market risk related to changes in interest rates. Our current policy is to maintain an investment portfolio consisting mainly of U.S. money market and government-grade securities, directly or through managed funds, with maturities of one year or less.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June 30, 2004, we estimate that the fair value of our investment portfolio would decline by an immaterial amount. We currently have the ability to hold our fixed income investments until maturity, and therefore we do not expect our operating results or cash flows to be affected to any significant degree by the effect of a change in market interest rates on our investments.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assets are primarily monetary, consisting of cash, and cash equivalents. Because of their liquidity, these assets are not directly affected by inflation. We also believe that we have intangible assets in the value of our technology. In accordance with generally accepted accounting principles, we have not capitalized the value of this intellectual property on our consolidated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right="240" w:firstLine="222"/>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4"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foregoing, our chief executive officer and chief financial officer concluded that our disclosure controls and procedures were effective at the reasonable assurance level.</w:t>
      </w:r>
    </w:p>
    <w:p>
      <w:pPr>
        <w:spacing w:after="0" w:line="16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initial public offering of our common stock, par value $0.01 per share, was effected through a Registration Statement on Form S-1 (File No. 333-115020)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was declared effective by the SEC on July 27, 2004, and a Registration Statement on Form S-1 (File No. 333-117702)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that became effective upon filing with the SEC on July 28, 2004. The Registration Statements covered the offer and sale of up to 7,187,500 shares of our common stock, including an over-allotment option we granted to the underwriters to purchase up to 937,500 shares of our common stock from us, for an aggregate offering price of $100.6 million. Our initial public offering commenced on July 28, 2004. On August 2, 2004, 6,250,000 shares of our common stock were sold for an aggregate offering price of $87.5 million. The managing underwriters in the offering were UBS Investment Bank, Piper Jaffray, Wachovia Securities, Jefferies &amp; Company, Inc. and Harris Nesbitt. The underwriters exercised 307,100 shares of the over-allotment option on August 28, 2004 and the closing occurred on September 1, 2004.</w:t>
      </w:r>
    </w:p>
    <w:p>
      <w:pPr>
        <w:spacing w:after="0" w:line="166"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Our initial public offering resulted in aggregate proceeds to us of approximately $83.6 million, including $4.0 million in proceeds from the exercise of the underwriter’s over-allotment option. In connection with the offering, we paid $6.4 million in underwriting discounts and commissions and offering expenses of approximately $1.8 million.</w:t>
      </w:r>
    </w:p>
    <w:p>
      <w:pPr>
        <w:spacing w:after="0" w:line="14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No offering expenses were paid directly or indirectly to any of our directors or officers (or their associates) or person owning ten percent or more of any class of our equity securities or to any other affiliates. All offering expenses were paid directly to others. The foregoing payments were direct payments made to third parties who were not our directors or officers (or their associates), persons owning ten percent or more of any class of our equity securities or any other affiliate, except that the proceeds used for working capital included regular compensation for officers and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July 20, 2004, our stockholders acted by written consent to approve and adopt an Amended and Restated Certificate of Incorporation to be filed prior to the effectiveness of our initial public offering to implement a 1-for-3 reverse stock split of our outstanding common stock. Stockholders holding an aggregate of 14,190,507 shares approved the reverse stock split set forth in the action by written consent and stockholders holding approximately 11,950,954 shares did not vote with respect to the reverse stock split.</w:t>
      </w:r>
    </w:p>
    <w:p>
      <w:pPr>
        <w:spacing w:after="0" w:line="160"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The above action was effected pursuant to an action by written consent of our stockholders in compliance with Section 228 of the Delaware General Corporation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List of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ind w:left="45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Certificate of Incorporation as currently in effect (filed as Exhibit 3.5 to Registration Statement File No. 333-115020)</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as currently in effect (filed as Exhibit 3.7 to Registration Statement File No. 333-115020)</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Common Stock Certificate (filed as Exhibit 4.1 to Registration Statement File No. 333-115020)</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Registration Rights Agreement made and entered into as of October 15, 1998 by and among CTL Immunotherapies Corp., Medical Research</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Group, LLC. McLean Watson Advisory Inc. and Alfred E. Mann, as amended (filed as Exhibit 4.2 to Registration Statement File No. 333-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600" w:type="dxa"/>
            <w:vAlign w:val="bottom"/>
            <w:gridSpan w:val="2"/>
          </w:tcPr>
          <w:p>
            <w:pPr>
              <w:ind w:left="340"/>
              <w:spacing w:after="0"/>
              <w:rPr>
                <w:sz w:val="20"/>
                <w:szCs w:val="20"/>
                <w:color w:val="auto"/>
              </w:rPr>
            </w:pPr>
            <w:r>
              <w:rPr>
                <w:rFonts w:ascii="Arial" w:cs="Arial" w:eastAsia="Arial" w:hAnsi="Arial"/>
                <w:sz w:val="18"/>
                <w:szCs w:val="18"/>
                <w:color w:val="auto"/>
              </w:rPr>
              <w:t>115020)</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80" w:type="dxa"/>
            <w:vAlign w:val="bottom"/>
            <w:vMerge w:val="restart"/>
          </w:tcPr>
          <w:p>
            <w:pPr>
              <w:ind w:left="4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0"/>
                <w:szCs w:val="20"/>
                <w:color w:val="auto"/>
              </w:rPr>
            </w:pPr>
            <w:r>
              <w:rPr>
                <w:rFonts w:ascii="Arial" w:cs="Arial" w:eastAsia="Arial" w:hAnsi="Arial"/>
                <w:sz w:val="18"/>
                <w:szCs w:val="18"/>
                <w:color w:val="auto"/>
              </w:rPr>
              <w:t>10.1 (a)</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of Indemnity Agreement (filed as Exhibit 10.1 to Registration Statement File No. 333-115020)</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10.2 (a)</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89"/>
              </w:rPr>
              <w:t>2004</w:t>
            </w:r>
          </w:p>
        </w:tc>
        <w:tc>
          <w:tcPr>
            <w:tcW w:w="9880" w:type="dxa"/>
            <w:vAlign w:val="bottom"/>
          </w:tcPr>
          <w:p>
            <w:pPr>
              <w:ind w:left="20"/>
              <w:spacing w:after="0"/>
              <w:rPr>
                <w:sz w:val="20"/>
                <w:szCs w:val="20"/>
                <w:color w:val="auto"/>
              </w:rPr>
            </w:pPr>
            <w:r>
              <w:rPr>
                <w:rFonts w:ascii="Arial" w:cs="Arial" w:eastAsia="Arial" w:hAnsi="Arial"/>
                <w:sz w:val="18"/>
                <w:szCs w:val="18"/>
                <w:color w:val="auto"/>
              </w:rPr>
              <w:t>Equity Incentive Plan and Form of Stock Option Agreement thereunder</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89"/>
              </w:rPr>
              <w:t>2004</w:t>
            </w:r>
          </w:p>
        </w:tc>
        <w:tc>
          <w:tcPr>
            <w:tcW w:w="9880" w:type="dxa"/>
            <w:vAlign w:val="bottom"/>
          </w:tcPr>
          <w:p>
            <w:pPr>
              <w:ind w:left="20"/>
              <w:spacing w:after="0"/>
              <w:rPr>
                <w:sz w:val="20"/>
                <w:szCs w:val="20"/>
                <w:color w:val="auto"/>
              </w:rPr>
            </w:pPr>
            <w:r>
              <w:rPr>
                <w:rFonts w:ascii="Arial" w:cs="Arial" w:eastAsia="Arial" w:hAnsi="Arial"/>
                <w:sz w:val="18"/>
                <w:szCs w:val="18"/>
                <w:color w:val="auto"/>
                <w:w w:val="95"/>
              </w:rPr>
              <w:t>Non-Employee Directors’ Stock Option Plan and Form of Stock Option Agreement thereunder (filed as Exhibit 10.3 to Registration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No. 333-115020)</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10.4 (a)</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w w:val="89"/>
              </w:rPr>
              <w:t>2004</w:t>
            </w:r>
          </w:p>
        </w:tc>
        <w:tc>
          <w:tcPr>
            <w:tcW w:w="9880" w:type="dxa"/>
            <w:vAlign w:val="bottom"/>
          </w:tcPr>
          <w:p>
            <w:pPr>
              <w:ind w:left="20"/>
              <w:spacing w:after="0"/>
              <w:rPr>
                <w:sz w:val="20"/>
                <w:szCs w:val="20"/>
                <w:color w:val="auto"/>
              </w:rPr>
            </w:pPr>
            <w:r>
              <w:rPr>
                <w:rFonts w:ascii="Arial" w:cs="Arial" w:eastAsia="Arial" w:hAnsi="Arial"/>
                <w:sz w:val="18"/>
                <w:szCs w:val="18"/>
                <w:color w:val="auto"/>
                <w:w w:val="97"/>
              </w:rPr>
              <w:t>Employee Stock Purchase Plan and Form of Offering Document thereunder (filed as Exhibit 10.4 to Registration Statement File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 333-115020)</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under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under Section 302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under Section 906 of the Sarbanes-Oxley Act of 2002</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Indicates management contract or compensatory plan.</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Reports on Form 8-K:</w:t>
      </w:r>
    </w:p>
    <w:p>
      <w:pPr>
        <w:spacing w:after="0" w:line="185"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On September 1, 2004, we furnished with the SEC a Current Report on Form 8-K reporting the public dissemination of a press release announcing our financial results for the quarter ended June 30, 2004.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3rd day of September 2004.</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Financial Officer (Principal Financial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and Accounting Officer)</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20"/>
          </w:cols>
          <w:pgMar w:left="240" w:top="419" w:right="1139"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MANNKIND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2004 EQUITY INCENTIVE PLAN</w:t>
      </w:r>
    </w:p>
    <w:p>
      <w:pPr>
        <w:spacing w:after="0" w:line="207" w:lineRule="exact"/>
        <w:rPr>
          <w:sz w:val="20"/>
          <w:szCs w:val="20"/>
          <w:color w:val="auto"/>
        </w:rPr>
      </w:pPr>
    </w:p>
    <w:p>
      <w:pPr>
        <w:jc w:val="center"/>
        <w:ind w:left="340" w:right="640"/>
        <w:spacing w:after="0" w:line="236" w:lineRule="auto"/>
        <w:rPr>
          <w:sz w:val="20"/>
          <w:szCs w:val="20"/>
          <w:color w:val="auto"/>
        </w:rPr>
      </w:pPr>
      <w:r>
        <w:rPr>
          <w:rFonts w:ascii="Courier New" w:cs="Courier New" w:eastAsia="Courier New" w:hAnsi="Courier New"/>
          <w:sz w:val="18"/>
          <w:szCs w:val="18"/>
          <w:color w:val="auto"/>
        </w:rPr>
        <w:t>ORIGINALLY ADOPTED AS THE 2001 STOCK AWARDS PLAN ON OCTOBER 7, 2001 ORIGINALLY APPROVED BY STOCKHOLDERS ON OCTOBER 7, 2001 AMENDED AND RESTATED ON MARCH 23, 2004</w:t>
      </w:r>
    </w:p>
    <w:p>
      <w:pPr>
        <w:spacing w:after="0" w:line="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APPROVED BY STOCKHOLDERS ON MARCH 23, 2004</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TERMINATION DATE: MARCH 22, 2014</w:t>
      </w:r>
    </w:p>
    <w:p>
      <w:pPr>
        <w:spacing w:after="0" w:line="202"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w:t>
      </w:r>
    </w:p>
    <w:p>
      <w:pPr>
        <w:spacing w:after="0" w:line="206"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RESTATEMENT. The Plan amends and restates the MannKind Corporation 2001 Stock Awards Plan adopted October 7, 2001 (the "PRIOR PLAN"). All outstanding awards granted under the Prior Plan shall remain subject to the terms of the Prior Plan. All options granted subsequent to the effective date of this Plan shall be subject to the terms of this Plan.</w:t>
      </w:r>
    </w:p>
    <w:p>
      <w:pPr>
        <w:spacing w:after="0" w:line="208" w:lineRule="exact"/>
        <w:rPr>
          <w:rFonts w:ascii="Courier New" w:cs="Courier New" w:eastAsia="Courier New" w:hAnsi="Courier New"/>
          <w:sz w:val="18"/>
          <w:szCs w:val="18"/>
          <w:color w:val="auto"/>
        </w:rPr>
      </w:pPr>
    </w:p>
    <w:p>
      <w:pPr>
        <w:ind w:right="1779" w:firstLine="640"/>
        <w:spacing w:after="0" w:line="235"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STOCK AWARD RECIPIENTS. The persons eligible to receive Stock Awards are Employees, Directors and Consultants.</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 STOCK AWARDS. The purpose of the Plan is to provide a means by which eligible recipients of Stock Awards may be given an opportunity to benefit from increases in value of the Common Stock through the granting of the following Stock Awards: (i) Incentive Stock Options, (ii) Nonstatutory Stock Options, (iii) Restricted Stock Awards, (iv) Stock Appreciation Rights, (v) Phantom Stock Awards and (vi) Other Stock Awards.</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PURPOSE. The Company, by means of the Plan, seeks to retain the services of the group of persons eligible to receive Stock Awards, to secure and retain the services of new members of this group and to provide incentives for such persons to exert maximum efforts for the success of the Company and its Affiliates.</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parent corporation or subsidiary corporation of the Company, whether now or hereafter existing, as those terms are defined in Sections 424(e) and (f), respectively, of the Code.</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ADJUSTMENT" has the meaning ascribed to that term in Section 11(a).</w:t>
      </w:r>
    </w:p>
    <w:p>
      <w:pPr>
        <w:spacing w:after="0" w:line="208" w:lineRule="exact"/>
        <w:rPr>
          <w:rFonts w:ascii="Courier New" w:cs="Courier New" w:eastAsia="Courier New" w:hAnsi="Courier New"/>
          <w:sz w:val="18"/>
          <w:szCs w:val="18"/>
          <w:color w:val="auto"/>
        </w:rPr>
      </w:pPr>
    </w:p>
    <w:p>
      <w:pPr>
        <w:ind w:right="1779" w:firstLine="640"/>
        <w:spacing w:after="0" w:line="272" w:lineRule="auto"/>
        <w:tabs>
          <w:tab w:leader="none" w:pos="10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with respect to a Participant, the occurrence of any of the following: (i) such Participant's conviction of any felony or any crime involving fraud or dishonesty which, in the Board's sole discretion, materially affects the business of the Company; (ii) such Participant's participation (whether by affirmative act or omission) in a fraud, act of dishonesty or other act of misconduct against the Company and/or its Affiliates which, in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42" w:name="page43"/>
    <w:bookmarkEnd w:id="42"/>
    <w:p>
      <w:pPr>
        <w:ind w:right="1879"/>
        <w:spacing w:after="0" w:line="270" w:lineRule="auto"/>
        <w:rPr>
          <w:sz w:val="20"/>
          <w:szCs w:val="20"/>
          <w:color w:val="auto"/>
        </w:rPr>
      </w:pPr>
      <w:r>
        <w:rPr>
          <w:rFonts w:ascii="Courier New" w:cs="Courier New" w:eastAsia="Courier New" w:hAnsi="Courier New"/>
          <w:sz w:val="16"/>
          <w:szCs w:val="16"/>
          <w:color w:val="auto"/>
        </w:rPr>
        <w:t>Board's sole discretion, materially affects the business of the Company; (iii) conduct by such Participant which, based upon a good faith and reasonable factual investigation by the Company (or, if such Participant is an Officer, by the Board), demonstrates such Participant's gross unfitness to serve; (iv) such Participant's violation of any statutory or fiduciary duty, or duty of loyalty, owed to the Company and/or its Affiliates; (v) such Participant's breach of any material term of any material contract between such Participant and the Company and/or its Affiliates; and (vi) such Participant's repeated violation of any material Company policy. Notwithstanding the foregoing, such Participant's Disability shall not constitute Cause as set forth herein. The determination that a termination is for Cause shall be by the Committee in its sole and exclusive judgment and discretion.</w:t>
      </w:r>
    </w:p>
    <w:p>
      <w:pPr>
        <w:spacing w:after="0" w:line="391" w:lineRule="exact"/>
        <w:rPr>
          <w:sz w:val="20"/>
          <w:szCs w:val="20"/>
          <w:color w:val="auto"/>
        </w:rPr>
      </w:pPr>
    </w:p>
    <w:p>
      <w:pPr>
        <w:ind w:right="1779" w:firstLine="640"/>
        <w:spacing w:after="0" w:line="290" w:lineRule="auto"/>
        <w:tabs>
          <w:tab w:leader="none" w:pos="105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in a single transaction or in a series of related transactions, of any one or more of the following events:</w:t>
      </w:r>
    </w:p>
    <w:p>
      <w:pPr>
        <w:spacing w:after="0" w:line="169" w:lineRule="exact"/>
        <w:rPr>
          <w:rFonts w:ascii="Courier New" w:cs="Courier New" w:eastAsia="Courier New" w:hAnsi="Courier New"/>
          <w:sz w:val="16"/>
          <w:szCs w:val="16"/>
          <w:color w:val="auto"/>
        </w:rPr>
      </w:pPr>
    </w:p>
    <w:p>
      <w:pPr>
        <w:ind w:right="1879" w:firstLine="1272"/>
        <w:spacing w:after="0" w:line="268" w:lineRule="auto"/>
        <w:tabs>
          <w:tab w:leader="none" w:pos="1896"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w:t>
      </w:r>
    </w:p>
    <w:p>
      <w:pPr>
        <w:ind w:right="1879" w:firstLine="8"/>
        <w:spacing w:after="0" w:line="268"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account of an Exchange Act Person as described in Section 2(s) (E) transferring in a single act or series of related acts more than fifty percent (50%) of the combined voting power of the Company's then outstanding securities</w:t>
      </w: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by gift, (2) for estate planning purposes or (3) to any entity controlled directly or indirectly by such Exchange Act Person, (B) on account of the acquisition of securities of the Company by an investor, any affiliate thereof or any other Exchange Act Person from the Company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8" w:lineRule="exact"/>
        <w:rPr>
          <w:rFonts w:ascii="Courier New" w:cs="Courier New" w:eastAsia="Courier New" w:hAnsi="Courier New"/>
          <w:sz w:val="16"/>
          <w:szCs w:val="16"/>
          <w:color w:val="auto"/>
        </w:rPr>
      </w:pPr>
    </w:p>
    <w:p>
      <w:pPr>
        <w:ind w:right="1779" w:firstLine="1272"/>
        <w:spacing w:after="0" w:line="238" w:lineRule="auto"/>
        <w:tabs>
          <w:tab w:leader="none" w:pos="1896"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3" w:name="page44"/>
    <w:bookmarkEnd w:id="43"/>
    <w:p>
      <w:pPr>
        <w:ind w:right="1879" w:firstLine="1272"/>
        <w:spacing w:after="0" w:line="237"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on the date this Plan is adopted by the Board,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the foregoing or any other provision of this Plan,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205" w:lineRule="exact"/>
        <w:rPr>
          <w:sz w:val="20"/>
          <w:szCs w:val="20"/>
          <w:color w:val="auto"/>
        </w:rPr>
      </w:pPr>
    </w:p>
    <w:p>
      <w:pPr>
        <w:ind w:left="1060" w:hanging="420"/>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6" w:lineRule="exact"/>
        <w:rPr>
          <w:rFonts w:ascii="Courier New" w:cs="Courier New" w:eastAsia="Courier New" w:hAnsi="Courier New"/>
          <w:sz w:val="18"/>
          <w:szCs w:val="18"/>
          <w:color w:val="auto"/>
        </w:rPr>
      </w:pPr>
    </w:p>
    <w:p>
      <w:pPr>
        <w:ind w:right="2319" w:firstLine="640"/>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of one or more members of the Board appointed by the Board in accordance with Section 3(c).</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MannKind Corporation, a Delaware corporation.</w:t>
      </w:r>
    </w:p>
    <w:p>
      <w:pPr>
        <w:spacing w:after="0" w:line="206" w:lineRule="exact"/>
        <w:rPr>
          <w:rFonts w:ascii="Courier New" w:cs="Courier New" w:eastAsia="Courier New" w:hAnsi="Courier New"/>
          <w:sz w:val="18"/>
          <w:szCs w:val="18"/>
          <w:color w:val="auto"/>
        </w:rPr>
      </w:pPr>
    </w:p>
    <w:p>
      <w:pPr>
        <w:ind w:right="1779" w:firstLine="640"/>
        <w:spacing w:after="0" w:line="272"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means any person, including an advisor, who (i) is engaged by the Company or an Affiliate to render consulting or advisory services and is compensated for such services or (ii) is serving as a member of the Board of Directors of an Affiliate and is compensated for such services. However, service solely as a Director, or payment of a fee for such services, shall not cause a Director to be considered a "Consultant" for purposes of the Plan.</w:t>
      </w:r>
    </w:p>
    <w:p>
      <w:pPr>
        <w:spacing w:after="0" w:line="185" w:lineRule="exact"/>
        <w:rPr>
          <w:rFonts w:ascii="Courier New" w:cs="Courier New" w:eastAsia="Courier New" w:hAnsi="Courier New"/>
          <w:sz w:val="16"/>
          <w:szCs w:val="16"/>
          <w:color w:val="auto"/>
        </w:rPr>
      </w:pPr>
    </w:p>
    <w:p>
      <w:pPr>
        <w:ind w:right="1779" w:firstLine="640"/>
        <w:spacing w:after="0" w:line="270" w:lineRule="auto"/>
        <w:tabs>
          <w:tab w:leader="none" w:pos="105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SERVICE"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For example, a change in status from an Employee of the Company to a Consultant of an Affiliate or to a Director shall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4" w:name="page45"/>
    <w:bookmarkEnd w:id="44"/>
    <w:p>
      <w:pPr>
        <w:ind w:right="1999"/>
        <w:spacing w:after="0" w:line="237" w:lineRule="auto"/>
        <w:rPr>
          <w:sz w:val="20"/>
          <w:szCs w:val="20"/>
          <w:color w:val="auto"/>
        </w:rPr>
      </w:pPr>
      <w:r>
        <w:rPr>
          <w:rFonts w:ascii="Courier New" w:cs="Courier New" w:eastAsia="Courier New" w:hAnsi="Courier New"/>
          <w:sz w:val="18"/>
          <w:szCs w:val="18"/>
          <w:color w:val="auto"/>
        </w:rPr>
        <w:t>the foregoing, a leave of absence shall be treated as Continuous Service for purposes of vesting in a Stock Award only to such extent as may be provided in the Company's leave of absence policy or in the written terms of the Participant's leave of absence.</w:t>
      </w:r>
    </w:p>
    <w:p>
      <w:pPr>
        <w:spacing w:after="0" w:line="207" w:lineRule="exact"/>
        <w:rPr>
          <w:sz w:val="20"/>
          <w:szCs w:val="20"/>
          <w:color w:val="auto"/>
        </w:rPr>
      </w:pPr>
    </w:p>
    <w:p>
      <w:pPr>
        <w:ind w:right="1879" w:firstLine="640"/>
        <w:spacing w:after="0" w:line="236"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means the occurrence, in a single transaction or in a series of related transactions, of any one or more of the following events:</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89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disposition of all or substantially all, as determined by the Board in its discretion, of the consolidated assets of the Company and its Subsidiaries;</w:t>
      </w:r>
    </w:p>
    <w:p>
      <w:pPr>
        <w:spacing w:after="0" w:line="208" w:lineRule="exact"/>
        <w:rPr>
          <w:rFonts w:ascii="Courier New" w:cs="Courier New" w:eastAsia="Courier New" w:hAnsi="Courier New"/>
          <w:sz w:val="18"/>
          <w:szCs w:val="18"/>
          <w:color w:val="auto"/>
        </w:rPr>
      </w:pPr>
    </w:p>
    <w:p>
      <w:pPr>
        <w:ind w:right="1999" w:firstLine="1272"/>
        <w:spacing w:after="0" w:line="235" w:lineRule="auto"/>
        <w:tabs>
          <w:tab w:leader="none" w:pos="189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disposition of at least ninety percent (90%) of the outstanding securities of the Company;</w:t>
      </w:r>
    </w:p>
    <w:p>
      <w:pPr>
        <w:spacing w:after="0" w:line="208" w:lineRule="exact"/>
        <w:rPr>
          <w:rFonts w:ascii="Courier New" w:cs="Courier New" w:eastAsia="Courier New" w:hAnsi="Courier New"/>
          <w:sz w:val="18"/>
          <w:szCs w:val="18"/>
          <w:color w:val="auto"/>
        </w:rPr>
      </w:pPr>
    </w:p>
    <w:p>
      <w:pPr>
        <w:ind w:right="1779" w:firstLine="1272"/>
        <w:spacing w:after="0" w:line="235" w:lineRule="auto"/>
        <w:tabs>
          <w:tab w:leader="none" w:pos="189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consolidation or similar transaction following which the Company is not the surviving corporation; or</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"COVERED EMPLOYEE" means the chief executive officer and the four (4) other highest compensated officers of the Company for whom total compensation is required to be reported to stockholders under the Exchange Act, as determined for purposes of Section 162(m) of the Code.</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206" w:lineRule="exact"/>
        <w:rPr>
          <w:rFonts w:ascii="Courier New" w:cs="Courier New" w:eastAsia="Courier New" w:hAnsi="Courier New"/>
          <w:sz w:val="18"/>
          <w:szCs w:val="18"/>
          <w:color w:val="auto"/>
        </w:rPr>
      </w:pPr>
    </w:p>
    <w:p>
      <w:pPr>
        <w:ind w:right="2319" w:firstLine="640"/>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permanent and total disability of a person within the meaning of Section 22(e)(3) of the Code.</w:t>
      </w:r>
    </w:p>
    <w:p>
      <w:pPr>
        <w:spacing w:after="0" w:line="208"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employed by the Company or an Affiliate. However, service solely as a Director, or payment of a fee for such services, shall not cause a Director to be considered an "Employee" for purposes of the Plan.</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means a corporation, partnership or other entity.</w:t>
      </w:r>
    </w:p>
    <w:p>
      <w:pPr>
        <w:spacing w:after="0" w:line="20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223"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PERSON" means any natural person, Entity or "group" (within the meaning of Section 13(d) or 14(d) of the Exchange Act), except that "Exchange Act Person" shall not include (A) the Company or any Subsidiary of the Company, (B) any employee benefit plan of the Company or any Subsidiary of the Company or any trustee or other fiduciary holding securities under an employee benefit plan of the Company or any Subsidiary of the Company, (C) an underwriter temporarily holding securities pursuant to an offering of such securities, (D) an Entity Owned, directly or indirectly, by the stockholders of the Company in substantially the same proportions as their Ownership of stock of the Company; or (E) any natural person, Entity</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5" w:name="page46"/>
    <w:bookmarkEnd w:id="45"/>
    <w:p>
      <w:pPr>
        <w:ind w:right="2099"/>
        <w:spacing w:after="0" w:line="237" w:lineRule="auto"/>
        <w:rPr>
          <w:sz w:val="20"/>
          <w:szCs w:val="20"/>
          <w:color w:val="auto"/>
        </w:rPr>
      </w:pPr>
      <w:r>
        <w:rPr>
          <w:rFonts w:ascii="Courier New" w:cs="Courier New" w:eastAsia="Courier New" w:hAnsi="Courier New"/>
          <w:sz w:val="18"/>
          <w:szCs w:val="18"/>
          <w:color w:val="auto"/>
        </w:rPr>
        <w:t>or "group" (within the meaning of Section 13(d) or 14(d) of the Exchange Act) that, as of the effective date of the Plan as set forth in Section 14, is the Owner, directly or indirectly, of securities of the Company representing more than fifty percent (50%) of the combined voting power of the Company's then outstanding securities.</w:t>
      </w:r>
    </w:p>
    <w:p>
      <w:pPr>
        <w:spacing w:after="0" w:line="209" w:lineRule="exact"/>
        <w:rPr>
          <w:sz w:val="20"/>
          <w:szCs w:val="20"/>
          <w:color w:val="auto"/>
        </w:rPr>
      </w:pPr>
    </w:p>
    <w:p>
      <w:pPr>
        <w:ind w:right="2199" w:firstLine="640"/>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value of the Common Stock determined as follows: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212" w:lineRule="exact"/>
        <w:rPr>
          <w:rFonts w:ascii="Courier New" w:cs="Courier New" w:eastAsia="Courier New" w:hAnsi="Courier New"/>
          <w:sz w:val="18"/>
          <w:szCs w:val="18"/>
          <w:color w:val="auto"/>
        </w:rPr>
      </w:pPr>
    </w:p>
    <w:p>
      <w:pPr>
        <w:ind w:right="1879" w:firstLine="1272"/>
        <w:spacing w:after="0" w:line="235" w:lineRule="auto"/>
        <w:tabs>
          <w:tab w:leader="none" w:pos="189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such markets for the Common Stock, the Fair Market Value shall be determined in good faith by the Board.</w:t>
      </w:r>
    </w:p>
    <w:p>
      <w:pPr>
        <w:spacing w:after="0" w:line="208" w:lineRule="exact"/>
        <w:rPr>
          <w:rFonts w:ascii="Courier New" w:cs="Courier New" w:eastAsia="Courier New" w:hAnsi="Courier New"/>
          <w:sz w:val="18"/>
          <w:szCs w:val="18"/>
          <w:color w:val="auto"/>
        </w:rPr>
      </w:pPr>
    </w:p>
    <w:p>
      <w:pPr>
        <w:jc w:val="both"/>
        <w:ind w:right="2199" w:firstLine="640"/>
        <w:spacing w:after="0" w:line="23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intended to qualify as an incentive stock option within the meaning of Section 422 of the Code and the regulations promulgated thereunder.</w:t>
      </w:r>
    </w:p>
    <w:p>
      <w:pPr>
        <w:spacing w:after="0" w:line="208" w:lineRule="exact"/>
        <w:rPr>
          <w:rFonts w:ascii="Courier New" w:cs="Courier New" w:eastAsia="Courier New" w:hAnsi="Courier New"/>
          <w:sz w:val="18"/>
          <w:szCs w:val="18"/>
          <w:color w:val="auto"/>
        </w:rPr>
      </w:pPr>
    </w:p>
    <w:p>
      <w:pPr>
        <w:ind w:right="2099" w:firstLine="640"/>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"IPO DATE" means the closing date of the initial public offering of the Common Stock.</w:t>
      </w:r>
    </w:p>
    <w:p>
      <w:pPr>
        <w:spacing w:after="0" w:line="208" w:lineRule="exact"/>
        <w:rPr>
          <w:rFonts w:ascii="Courier New" w:cs="Courier New" w:eastAsia="Courier New" w:hAnsi="Courier New"/>
          <w:sz w:val="18"/>
          <w:szCs w:val="18"/>
          <w:color w:val="auto"/>
        </w:rPr>
      </w:pPr>
    </w:p>
    <w:p>
      <w:pPr>
        <w:ind w:right="1999" w:firstLine="640"/>
        <w:spacing w:after="0" w:line="270"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391" w:lineRule="exact"/>
        <w:rPr>
          <w:rFonts w:ascii="Courier New" w:cs="Courier New" w:eastAsia="Courier New" w:hAnsi="Courier New"/>
          <w:sz w:val="16"/>
          <w:szCs w:val="16"/>
          <w:color w:val="auto"/>
        </w:rPr>
      </w:pPr>
    </w:p>
    <w:p>
      <w:pPr>
        <w:ind w:right="1779" w:firstLine="640"/>
        <w:spacing w:after="0" w:line="235"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 means an Option not intended to qualify as an Incentive Stock Option.</w:t>
      </w:r>
    </w:p>
    <w:p>
      <w:pPr>
        <w:spacing w:after="0" w:line="208"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 means a person who is an officer of the Company within the meaning of Section 16 of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2419" w:firstLine="640"/>
        <w:spacing w:after="0" w:line="290"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 Incentive Stock Option or a Nonstatutory Stock Option to purchase shares of Common Stock granted pursuant to the Plan.</w:t>
      </w:r>
    </w:p>
    <w:p>
      <w:pPr>
        <w:spacing w:after="0" w:line="170" w:lineRule="exact"/>
        <w:rPr>
          <w:sz w:val="20"/>
          <w:szCs w:val="20"/>
          <w:color w:val="auto"/>
        </w:rPr>
      </w:pPr>
    </w:p>
    <w:p>
      <w:pPr>
        <w:ind w:right="1879" w:firstLine="640"/>
        <w:spacing w:after="0" w:line="279" w:lineRule="auto"/>
        <w:tabs>
          <w:tab w:leader="none" w:pos="115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 an Optionholder evidencing the terms and conditions of an Option grant. Each Option Agreement shall be subject to the terms and conditions of the Plan.</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6" w:name="page47"/>
    <w:bookmarkEnd w:id="46"/>
    <w:p>
      <w:pPr>
        <w:ind w:left="-640" w:right="1999" w:firstLine="640"/>
        <w:spacing w:after="0" w:line="236"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"OPTIONHOLDER" means a person to whom an Option is granted pursuant to the Plan or, if applicable, such other person who holds an outstanding Option.</w:t>
      </w:r>
    </w:p>
    <w:p>
      <w:pPr>
        <w:spacing w:after="0" w:line="208" w:lineRule="exact"/>
        <w:rPr>
          <w:rFonts w:ascii="Courier New" w:cs="Courier New" w:eastAsia="Courier New" w:hAnsi="Courier New"/>
          <w:sz w:val="18"/>
          <w:szCs w:val="18"/>
          <w:color w:val="auto"/>
        </w:rPr>
      </w:pPr>
    </w:p>
    <w:p>
      <w:pPr>
        <w:ind w:left="-640" w:right="2419" w:firstLine="640"/>
        <w:spacing w:after="0" w:line="236"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AWARD" means an award based in whole or in part by reference to the Common Stock which is granted pursuant to the terms and conditions of Section 7(d).</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AWARD AGREEMENT" means a written agreement between the Company and a holder of an Other Stock Award evidencing the terms and conditions of an Other Stock Award grant. Each Other Stock Award Agreement shall be subject to the terms and conditions of the Plan.</w:t>
      </w:r>
    </w:p>
    <w:p>
      <w:pPr>
        <w:spacing w:after="0" w:line="207" w:lineRule="exact"/>
        <w:rPr>
          <w:rFonts w:ascii="Courier New" w:cs="Courier New" w:eastAsia="Courier New" w:hAnsi="Courier New"/>
          <w:sz w:val="18"/>
          <w:szCs w:val="18"/>
          <w:color w:val="auto"/>
        </w:rPr>
      </w:pPr>
    </w:p>
    <w:p>
      <w:pPr>
        <w:ind w:left="-640" w:right="1779" w:firstLine="640"/>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214" w:lineRule="exact"/>
        <w:rPr>
          <w:rFonts w:ascii="Courier New" w:cs="Courier New" w:eastAsia="Courier New" w:hAnsi="Courier New"/>
          <w:sz w:val="18"/>
          <w:szCs w:val="18"/>
          <w:color w:val="auto"/>
        </w:rPr>
      </w:pPr>
    </w:p>
    <w:p>
      <w:pPr>
        <w:ind w:left="-640" w:right="1779" w:firstLine="640"/>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"OWNED," "OWNER," "OWNERSHIP"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09" w:lineRule="exact"/>
        <w:rPr>
          <w:rFonts w:ascii="Courier New" w:cs="Courier New" w:eastAsia="Courier New" w:hAnsi="Courier New"/>
          <w:sz w:val="18"/>
          <w:szCs w:val="18"/>
          <w:color w:val="auto"/>
        </w:rPr>
      </w:pPr>
    </w:p>
    <w:p>
      <w:pPr>
        <w:ind w:left="-640" w:right="2619" w:firstLine="640"/>
        <w:spacing w:after="0" w:line="236"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 person to whom a Stock Award is granted pursuant to the Plan or, if applicable, such other person who holds an outstanding Stock Award.</w:t>
      </w:r>
    </w:p>
    <w:p>
      <w:pPr>
        <w:spacing w:after="0" w:line="208" w:lineRule="exact"/>
        <w:rPr>
          <w:rFonts w:ascii="Courier New" w:cs="Courier New" w:eastAsia="Courier New" w:hAnsi="Courier New"/>
          <w:sz w:val="18"/>
          <w:szCs w:val="18"/>
          <w:color w:val="auto"/>
        </w:rPr>
      </w:pPr>
    </w:p>
    <w:p>
      <w:pPr>
        <w:ind w:left="-640" w:right="1779" w:firstLine="640"/>
        <w:spacing w:after="0" w:line="235"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STOCK AWARD" means a right to receive shares of Common Stock which is granted pursuant to the terms and conditions of Section 7(b).</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STOCK AWARD AGREEMENT" means a written agreement between the Company and a holder of a Phantom Stock Award evidencing the terms and conditions of a Phantom Stock Award grant. Each Phantom Stock Award Agreement shall be subject to the terms and conditions of the Plan.</w:t>
      </w:r>
    </w:p>
    <w:p>
      <w:pPr>
        <w:spacing w:after="0" w:line="201" w:lineRule="exact"/>
        <w:rPr>
          <w:rFonts w:ascii="Courier New" w:cs="Courier New" w:eastAsia="Courier New" w:hAnsi="Courier New"/>
          <w:sz w:val="18"/>
          <w:szCs w:val="18"/>
          <w:color w:val="auto"/>
        </w:rPr>
      </w:pPr>
    </w:p>
    <w:p>
      <w:pPr>
        <w:ind w:left="520" w:hanging="520"/>
        <w:spacing w:after="0"/>
        <w:tabs>
          <w:tab w:leader="none" w:pos="5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MannKind Corporation 2003 Equity Incentive Plan.</w:t>
      </w:r>
    </w:p>
    <w:p>
      <w:pPr>
        <w:spacing w:after="0" w:line="206" w:lineRule="exact"/>
        <w:rPr>
          <w:rFonts w:ascii="Courier New" w:cs="Courier New" w:eastAsia="Courier New" w:hAnsi="Courier New"/>
          <w:sz w:val="18"/>
          <w:szCs w:val="18"/>
          <w:color w:val="auto"/>
        </w:rPr>
      </w:pPr>
    </w:p>
    <w:p>
      <w:pPr>
        <w:ind w:left="-640" w:right="2199" w:firstLine="640"/>
        <w:spacing w:after="0" w:line="290" w:lineRule="auto"/>
        <w:tabs>
          <w:tab w:leader="none" w:pos="51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 means an award of shares of Common Stock which is granted pursuant to the terms and conditions of Section 7(a).</w:t>
      </w:r>
    </w:p>
    <w:p>
      <w:pPr>
        <w:spacing w:after="0" w:line="169" w:lineRule="exact"/>
        <w:rPr>
          <w:rFonts w:ascii="Courier New" w:cs="Courier New" w:eastAsia="Courier New" w:hAnsi="Courier New"/>
          <w:sz w:val="16"/>
          <w:szCs w:val="16"/>
          <w:color w:val="auto"/>
        </w:rPr>
      </w:pPr>
    </w:p>
    <w:p>
      <w:pPr>
        <w:ind w:left="-640" w:right="1879" w:firstLine="640"/>
        <w:spacing w:after="0" w:line="237" w:lineRule="auto"/>
        <w:tabs>
          <w:tab w:leader="none" w:pos="51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 AGREEMENT"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579"/>
          </w:cols>
          <w:pgMar w:left="880" w:top="723" w:right="1440" w:bottom="1440" w:gutter="0" w:footer="0" w:header="0"/>
        </w:sectPr>
      </w:pPr>
    </w:p>
    <w:bookmarkStart w:id="47" w:name="page48"/>
    <w:bookmarkEnd w:id="47"/>
    <w:p>
      <w:pPr>
        <w:ind w:left="-8" w:right="1999" w:firstLine="640"/>
        <w:spacing w:after="0" w:line="235"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promulgated under the Exchange Act or any successor to Rule 16b-3, as in effect from time to time.</w:t>
      </w:r>
    </w:p>
    <w:p>
      <w:pPr>
        <w:spacing w:after="0" w:line="202" w:lineRule="exact"/>
        <w:rPr>
          <w:rFonts w:ascii="Courier New" w:cs="Courier New" w:eastAsia="Courier New" w:hAnsi="Courier New"/>
          <w:sz w:val="18"/>
          <w:szCs w:val="18"/>
          <w:color w:val="auto"/>
        </w:rPr>
      </w:pPr>
    </w:p>
    <w:p>
      <w:pPr>
        <w:ind w:left="1152" w:hanging="520"/>
        <w:spacing w:after="0"/>
        <w:tabs>
          <w:tab w:leader="none" w:pos="1152"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means the Securities Act of 1933, as amended.</w:t>
      </w:r>
    </w:p>
    <w:p>
      <w:pPr>
        <w:spacing w:after="0" w:line="206" w:lineRule="exact"/>
        <w:rPr>
          <w:rFonts w:ascii="Courier New" w:cs="Courier New" w:eastAsia="Courier New" w:hAnsi="Courier New"/>
          <w:sz w:val="18"/>
          <w:szCs w:val="18"/>
          <w:color w:val="auto"/>
        </w:rPr>
      </w:pPr>
    </w:p>
    <w:p>
      <w:pPr>
        <w:jc w:val="both"/>
        <w:ind w:left="-8" w:right="1879" w:firstLine="640"/>
        <w:spacing w:after="0" w:line="236"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means a right to receive the appreciation of Common Stock that is granted pursuant to the terms and conditions of Section 7(c).</w:t>
      </w:r>
    </w:p>
    <w:p>
      <w:pPr>
        <w:spacing w:after="0" w:line="208" w:lineRule="exact"/>
        <w:rPr>
          <w:rFonts w:ascii="Courier New" w:cs="Courier New" w:eastAsia="Courier New" w:hAnsi="Courier New"/>
          <w:sz w:val="18"/>
          <w:szCs w:val="18"/>
          <w:color w:val="auto"/>
        </w:rPr>
      </w:pPr>
    </w:p>
    <w:p>
      <w:pPr>
        <w:ind w:left="-8" w:right="1779" w:firstLine="640"/>
        <w:spacing w:after="0" w:line="237"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AGREEMENT"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208" w:lineRule="exact"/>
        <w:rPr>
          <w:rFonts w:ascii="Courier New" w:cs="Courier New" w:eastAsia="Courier New" w:hAnsi="Courier New"/>
          <w:sz w:val="18"/>
          <w:szCs w:val="18"/>
          <w:color w:val="auto"/>
        </w:rPr>
      </w:pPr>
    </w:p>
    <w:p>
      <w:pPr>
        <w:jc w:val="both"/>
        <w:ind w:left="-8" w:right="2099" w:firstLine="640"/>
        <w:spacing w:after="0" w:line="236"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AWARD" means any right granted under the Plan, including an Option, a Restricted Stock Award, a Stock Appreciation Right, a Phantom Stock Award or any Other Stock Award.</w:t>
      </w:r>
    </w:p>
    <w:p>
      <w:pPr>
        <w:spacing w:after="0" w:line="208" w:lineRule="exact"/>
        <w:rPr>
          <w:rFonts w:ascii="Courier New" w:cs="Courier New" w:eastAsia="Courier New" w:hAnsi="Courier New"/>
          <w:sz w:val="18"/>
          <w:szCs w:val="18"/>
          <w:color w:val="auto"/>
        </w:rPr>
      </w:pPr>
    </w:p>
    <w:p>
      <w:pPr>
        <w:jc w:val="both"/>
        <w:ind w:left="-8" w:right="1779" w:firstLine="640"/>
        <w:spacing w:after="0" w:line="237"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AWARD AGREEMENT" means a written agreement between the Company and a holder of a Stock Award Participant evidencing the terms and conditions of a Stock Award grant. Each Stock Award Agreement shall be subject to the terms and conditions of the Plan.</w:t>
      </w:r>
    </w:p>
    <w:p>
      <w:pPr>
        <w:spacing w:after="0" w:line="207" w:lineRule="exact"/>
        <w:rPr>
          <w:rFonts w:ascii="Courier New" w:cs="Courier New" w:eastAsia="Courier New" w:hAnsi="Courier New"/>
          <w:sz w:val="18"/>
          <w:szCs w:val="18"/>
          <w:color w:val="auto"/>
        </w:rPr>
      </w:pPr>
    </w:p>
    <w:p>
      <w:pPr>
        <w:ind w:left="-8" w:right="1879" w:firstLine="640"/>
        <w:spacing w:after="0" w:line="271" w:lineRule="auto"/>
        <w:tabs>
          <w:tab w:leader="none" w:pos="1151"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in which the Company has a direct or indirect interest (whether in the form of voting or participation in profits or capital contribution) of more than fifty percent (50%).</w:t>
      </w:r>
    </w:p>
    <w:p>
      <w:pPr>
        <w:spacing w:after="0" w:line="183" w:lineRule="exact"/>
        <w:rPr>
          <w:rFonts w:ascii="Courier New" w:cs="Courier New" w:eastAsia="Courier New" w:hAnsi="Courier New"/>
          <w:sz w:val="16"/>
          <w:szCs w:val="16"/>
          <w:color w:val="auto"/>
        </w:rPr>
      </w:pPr>
    </w:p>
    <w:p>
      <w:pPr>
        <w:ind w:left="-8" w:right="1879" w:firstLine="640"/>
        <w:spacing w:after="0" w:line="237" w:lineRule="auto"/>
        <w:tabs>
          <w:tab w:leader="none" w:pos="1151"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means a person who Owns (or is deemed to Own pursuant to Section 424(d) of the Code) stock possessing more than ten percent (10%) of the total combined voting power of all classes of stock of the Company or of any of its Affiliates.</w:t>
      </w:r>
    </w:p>
    <w:p>
      <w:pPr>
        <w:spacing w:after="0" w:line="201"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left="-8" w:right="2099" w:firstLine="640"/>
        <w:spacing w:after="0" w:line="236" w:lineRule="auto"/>
        <w:tabs>
          <w:tab w:leader="none" w:pos="104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BY BOARD. The Board shall administer the Plan unless and until the Board delegates administration to a Committee, as provided in Section 3(c).</w:t>
      </w:r>
    </w:p>
    <w:p>
      <w:pPr>
        <w:spacing w:after="0" w:line="208" w:lineRule="exact"/>
        <w:rPr>
          <w:rFonts w:ascii="Courier New" w:cs="Courier New" w:eastAsia="Courier New" w:hAnsi="Courier New"/>
          <w:sz w:val="18"/>
          <w:szCs w:val="18"/>
          <w:color w:val="auto"/>
        </w:rPr>
      </w:pPr>
    </w:p>
    <w:p>
      <w:pPr>
        <w:ind w:left="-8" w:right="2419" w:firstLine="640"/>
        <w:spacing w:after="0" w:line="235" w:lineRule="auto"/>
        <w:tabs>
          <w:tab w:leader="none" w:pos="104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BOARD. The Board shall have the power, subject to, and within the limitations of, the express provisions of the Plan:</w:t>
      </w:r>
    </w:p>
    <w:p>
      <w:pPr>
        <w:spacing w:after="0" w:line="208" w:lineRule="exact"/>
        <w:rPr>
          <w:rFonts w:ascii="Courier New" w:cs="Courier New" w:eastAsia="Courier New" w:hAnsi="Courier New"/>
          <w:sz w:val="18"/>
          <w:szCs w:val="18"/>
          <w:color w:val="auto"/>
        </w:rPr>
      </w:pPr>
    </w:p>
    <w:p>
      <w:pPr>
        <w:ind w:left="-8" w:right="1879" w:firstLine="1272"/>
        <w:spacing w:after="0" w:line="237" w:lineRule="auto"/>
        <w:tabs>
          <w:tab w:leader="none" w:pos="1994"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from time to time which of the persons eligible under the Plan shall be granted Stock Awards; when and how each Stock Award shall be granted; what type or combination of types of Stock Award shall be granted; the provisions of each Stock Award granted (which need not be identical), including the time or times when a person shall be permitted to receive Common Stock pursuant to a Stock Award; and the number of shares of Common Stock with respect to which a Stock Award shall be granted to each such person.</w:t>
      </w: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23" w:right="1440" w:bottom="1440" w:gutter="0" w:footer="0" w:header="0"/>
        </w:sectPr>
      </w:pPr>
    </w:p>
    <w:bookmarkStart w:id="48" w:name="page49"/>
    <w:bookmarkEnd w:id="48"/>
    <w:p>
      <w:pPr>
        <w:ind w:left="-640" w:right="1999" w:firstLine="1272"/>
        <w:spacing w:after="0" w:line="237" w:lineRule="auto"/>
        <w:tabs>
          <w:tab w:leader="none" w:pos="125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Plan and Stock Awards granted under it, and to establish, amend and revoke rules and regulations for its administration. The Board, in the exercise of this power, may correct any defect, omission or inconsistency in the Plan or in any Stock Award Agreement, in a manner and to the extent it shall deem necessary or expedient to make the Plan fully effective.</w:t>
      </w:r>
    </w:p>
    <w:p>
      <w:pPr>
        <w:spacing w:after="0" w:line="209" w:lineRule="exact"/>
        <w:rPr>
          <w:rFonts w:ascii="Courier New" w:cs="Courier New" w:eastAsia="Courier New" w:hAnsi="Courier New"/>
          <w:sz w:val="18"/>
          <w:szCs w:val="18"/>
          <w:color w:val="auto"/>
        </w:rPr>
      </w:pPr>
    </w:p>
    <w:p>
      <w:pPr>
        <w:ind w:left="-640" w:right="1779" w:firstLine="1272"/>
        <w:spacing w:after="0" w:line="237" w:lineRule="auto"/>
        <w:tabs>
          <w:tab w:leader="none" w:pos="125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effect, at any time and from time to time, with the consent of any adversely affected Optionholder, (1) the reduction of the exercise price of any outstanding Option under the Plan, (2) the cancellation of any outstanding Option under the Plan and the grant in substitution therefor of (A) a new Option under the Plan or another equity plan of the Company covering the same or a different number of shares of Common Stock, (B) a Restricted Stock Award (including a stock bonus), (C) a Stock Appreciation Right, (D) a Phantom Stock Award (E) an Other Stock Award, (F) cash and/or (G) other valuable consideration (as determined by the Board, in its sole discretion), or (3) any other action that is treated as a repricing under generally accepted accounting principles.</w:t>
      </w:r>
    </w:p>
    <w:p>
      <w:pPr>
        <w:spacing w:after="0" w:line="215" w:lineRule="exact"/>
        <w:rPr>
          <w:rFonts w:ascii="Courier New" w:cs="Courier New" w:eastAsia="Courier New" w:hAnsi="Courier New"/>
          <w:sz w:val="18"/>
          <w:szCs w:val="18"/>
          <w:color w:val="auto"/>
        </w:rPr>
      </w:pPr>
    </w:p>
    <w:p>
      <w:pPr>
        <w:ind w:left="1260" w:hanging="628"/>
        <w:spacing w:after="0"/>
        <w:tabs>
          <w:tab w:leader="none" w:pos="12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Plan or a Stock Award as provided in Section 12.</w:t>
      </w:r>
    </w:p>
    <w:p>
      <w:pPr>
        <w:spacing w:after="0" w:line="218" w:lineRule="exact"/>
        <w:rPr>
          <w:rFonts w:ascii="Courier New" w:cs="Courier New" w:eastAsia="Courier New" w:hAnsi="Courier New"/>
          <w:sz w:val="16"/>
          <w:szCs w:val="16"/>
          <w:color w:val="auto"/>
        </w:rPr>
      </w:pPr>
    </w:p>
    <w:p>
      <w:pPr>
        <w:ind w:left="1260" w:hanging="628"/>
        <w:spacing w:after="0"/>
        <w:tabs>
          <w:tab w:leader="none" w:pos="12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terminate or suspend the Plan as provided in Section 13.</w:t>
      </w:r>
    </w:p>
    <w:p>
      <w:pPr>
        <w:spacing w:after="0" w:line="206" w:lineRule="exact"/>
        <w:rPr>
          <w:rFonts w:ascii="Courier New" w:cs="Courier New" w:eastAsia="Courier New" w:hAnsi="Courier New"/>
          <w:sz w:val="18"/>
          <w:szCs w:val="18"/>
          <w:color w:val="auto"/>
        </w:rPr>
      </w:pPr>
    </w:p>
    <w:p>
      <w:pPr>
        <w:ind w:left="-640" w:right="1779" w:firstLine="1272"/>
        <w:spacing w:after="0" w:line="236" w:lineRule="auto"/>
        <w:tabs>
          <w:tab w:leader="none" w:pos="125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exercise such powers and to perform such acts as the Board deems necessary or expedient to promote the best interests of the Company and that are not in conflict with the provisions of the Plan.</w:t>
      </w:r>
    </w:p>
    <w:p>
      <w:pPr>
        <w:spacing w:after="0" w:line="208" w:lineRule="exact"/>
        <w:rPr>
          <w:rFonts w:ascii="Courier New" w:cs="Courier New" w:eastAsia="Courier New" w:hAnsi="Courier New"/>
          <w:sz w:val="18"/>
          <w:szCs w:val="18"/>
          <w:color w:val="auto"/>
        </w:rPr>
      </w:pPr>
    </w:p>
    <w:p>
      <w:pPr>
        <w:jc w:val="both"/>
        <w:ind w:left="-640" w:right="2199" w:firstLine="1272"/>
        <w:spacing w:after="0" w:line="236" w:lineRule="auto"/>
        <w:tabs>
          <w:tab w:leader="none" w:pos="125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such procedures and sub-plans as are necessary or appropriate to permit participation in the Plan by Employees who are foreign nationals or employed outside the United States.</w:t>
      </w:r>
    </w:p>
    <w:p>
      <w:pPr>
        <w:spacing w:after="0" w:line="203" w:lineRule="exact"/>
        <w:rPr>
          <w:rFonts w:ascii="Courier New" w:cs="Courier New" w:eastAsia="Courier New" w:hAnsi="Courier New"/>
          <w:sz w:val="18"/>
          <w:szCs w:val="18"/>
          <w:color w:val="auto"/>
        </w:rPr>
      </w:pPr>
    </w:p>
    <w:p>
      <w:pPr>
        <w:ind w:left="640" w:hanging="640"/>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COMMITTEE.</w:t>
      </w:r>
    </w:p>
    <w:p>
      <w:pPr>
        <w:spacing w:after="0" w:line="206" w:lineRule="exact"/>
        <w:rPr>
          <w:rFonts w:ascii="Courier New" w:cs="Courier New" w:eastAsia="Courier New" w:hAnsi="Courier New"/>
          <w:sz w:val="18"/>
          <w:szCs w:val="18"/>
          <w:color w:val="auto"/>
        </w:rPr>
      </w:pPr>
    </w:p>
    <w:p>
      <w:pPr>
        <w:ind w:left="-640" w:right="1779" w:firstLine="1272"/>
        <w:spacing w:after="0" w:line="238" w:lineRule="auto"/>
        <w:tabs>
          <w:tab w:leader="none" w:pos="125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The Board may delegate administration of the Plan to a Committee or Committees of one or more members of the Board, and the term "COMMITTEE"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125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AND RULE 16b-3 COMPLIANCE. In the discretion of the Board, the Committee may consist solely of two or more Outside Directors, in accordance with Section 162(m) of the Code, and/or solely of two or more Non-Employee Directors, in accordance with Rule 16b-3. In addition, the Board or the Committee, in its sole discretion, may (1) delegate to a committee of one or more members of the Board who need not be Outside Directors the authority to grant Stock Awards to eligible persons who are either (a) not then Covered Employees and are not expected to be Covered Employees at the time of recognition of</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579"/>
          </w:cols>
          <w:pgMar w:left="880" w:top="723" w:right="1440" w:bottom="1440" w:gutter="0" w:footer="0" w:header="0"/>
        </w:sectPr>
      </w:pPr>
    </w:p>
    <w:bookmarkStart w:id="49" w:name="page50"/>
    <w:bookmarkEnd w:id="49"/>
    <w:p>
      <w:pPr>
        <w:ind w:right="1879"/>
        <w:spacing w:after="0" w:line="237" w:lineRule="auto"/>
        <w:rPr>
          <w:sz w:val="20"/>
          <w:szCs w:val="20"/>
          <w:color w:val="auto"/>
        </w:rPr>
      </w:pPr>
      <w:r>
        <w:rPr>
          <w:rFonts w:ascii="Courier New" w:cs="Courier New" w:eastAsia="Courier New" w:hAnsi="Courier New"/>
          <w:sz w:val="18"/>
          <w:szCs w:val="18"/>
          <w:color w:val="auto"/>
        </w:rPr>
        <w:t>income resulting from such Stock Award, or (b) not persons with respect to whom the Company wishes to comply with Section 162(m) of the Code, and/or (2) delegate to a committee of one or more members of the Board who need not be Non-Employee Directors the authority to grant Stock Awards to eligible persons who are not then subject to Section 16 of the Exchange Act.</w:t>
      </w:r>
    </w:p>
    <w:p>
      <w:pPr>
        <w:spacing w:after="0" w:line="209" w:lineRule="exact"/>
        <w:rPr>
          <w:sz w:val="20"/>
          <w:szCs w:val="20"/>
          <w:color w:val="auto"/>
        </w:rPr>
      </w:pPr>
    </w:p>
    <w:p>
      <w:pPr>
        <w:ind w:right="1779" w:firstLine="640"/>
        <w:spacing w:after="0" w:line="238" w:lineRule="auto"/>
        <w:tabs>
          <w:tab w:leader="none" w:pos="10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DELEGATION TO AN OFFICER. The Board may delegate to one or more Officers of the Company the authority to do one or both of the following (i) designate Officers and Employees of the Company or any of its Subsidiaries to be recipients of Stock Awards and (ii) determine the number of shares of Common Stock to be subject to such Stock Awards granted to such Officers and Employees of the Company; provided, however, that the Board resolutions regarding such delegation shall specify the total number of shares of Common Stock that may be subject to the Stock Awards granted by such Officer and that such Officer may not grant a Stock Award to himself or herself. Notwithstanding anything to the contrary in this Section 3(d), the Board may not delegate to an Officer authority to determine the Fair Market Value of the Common Stock pursuant to Section 2(t)(ii) above.</w:t>
      </w:r>
    </w:p>
    <w:p>
      <w:pPr>
        <w:spacing w:after="0" w:line="207"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BOARD'S DECISION. All determinations, interpretations and constructions made by the Board in good faith shall not be subject to review by any person and shall be final, binding and conclusive on all persons.</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w:t>
      </w:r>
    </w:p>
    <w:p>
      <w:pPr>
        <w:spacing w:after="0" w:line="206"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RESERVE. Subject to the provisions of Section 11(a) relating to Capitalization Adjustments, the shares of Common Stock that may be issued pursuant to Stock Awards shall not exceed in the aggregate five million (5,000,000) shares of Common Stock.</w:t>
      </w:r>
    </w:p>
    <w:p>
      <w:pPr>
        <w:spacing w:after="0" w:line="207"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REVERSION OF SHARES TO THE SHARE RESERVE. If any Stock Award shall for any reason expire or otherwise terminate, in whole or in part, without having been exercised in full, or if any shares of Common Stock issued to a Participant pursuant to a Stock Award are forfeited to or repurchased by the Company, including, but not limited to, any repurchase or forfeiture caused by the failure to meet a contingency or condition required for the vesting of such shares, then the shares of Common Stock not issued under such Stock Award, or forfeited to or repurchased by the Company, shall revert to and again become available for issuance under the Plan. If any shares subject to a Stock Award are not delivered to a Participant because such shares are withheld for the payment of taxes or the Stock Award is exercised through a reduction of shares subject to the Stock Award (i.e., "net exercised"), the number of shares that are not delivered to the Participant shall remain available for issuance under the Plan. If the exercise price of any Stock Award is satisfied by tendering shares of Common Stock held by the Participant (either by actual delivery or attestation), then the number of shares so tendered shall remain available for issuance under the Plan. Notwithstanding anything to the contrary in this Section 4(b), subject to the provisions of Section 11(a) relating to Capitalization Adjustments the aggregate maximum number of shares of Common Stock that may be issued as Incentive Stock Options shall be seven million (7,000,000) shares of Common Stock.</w:t>
      </w:r>
    </w:p>
    <w:p>
      <w:pPr>
        <w:spacing w:after="0" w:line="210" w:lineRule="exact"/>
        <w:rPr>
          <w:rFonts w:ascii="Courier New" w:cs="Courier New" w:eastAsia="Courier New" w:hAnsi="Courier New"/>
          <w:sz w:val="18"/>
          <w:szCs w:val="18"/>
          <w:color w:val="auto"/>
        </w:rPr>
      </w:pPr>
    </w:p>
    <w:p>
      <w:pPr>
        <w:ind w:right="1999" w:firstLine="640"/>
        <w:spacing w:after="0" w:line="290" w:lineRule="auto"/>
        <w:tabs>
          <w:tab w:leader="none" w:pos="105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SHARES. The shares of Common Stock subject to the Plan may be unissued shares or reacquired shares, bought on the market or otherwise.</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0" w:name="page51"/>
    <w:bookmarkEnd w:id="50"/>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FOR SPECIFIC STOCK AWARDS. Incentive Stock Options may be granted only to Employees. Stock Awards other than Incentive Stock Options may be granted to Employees, Directors and Consultants.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STOCKHOLDERS. A Ten Percent Stockholder shall not be granted an Incentive Stock Option unless the exercise price of such Option is at least one hundred ten percent (110%) of the Fair Market Value of the Common Stock on the date of grant and the Option is not exercisable after the expiration of five (5) years from the date of grant.</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LIMITATION ON ANNUAL GRANTS. Subject to the provisions of Section 11(a) relating to Capitalization Adjustments, at such time as the Company may be subject to the applicable provisions of Section 162(m) of the Code, no Employee shall be eligible to be granted Options or Stock Appreciation Rights covering more than two million (2,000,000) shares of Common Stock during any calendar year.</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CONSULTANTS. A Consultant shall not be eligible for the grant of a Stock Award if, at the time of grant, a Form S-8 Registration Statement under the Securities Act ("FORM S-8") is not available to register either the offer or the sale of the Company's securities to such Consultant because of the nature of the services that the Consultant is providing to the Company, because the Consultant is not a natural person, or because of any other rule governing the use of Form S-8.</w:t>
      </w: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PROVISIONS.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Each Option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The provisions of separate Options need not be identical, but each Option shall include (through incorporation of provisions hereof by reference in the Option or otherwise) the substance of each of the following provisions:</w:t>
      </w:r>
    </w:p>
    <w:p>
      <w:pPr>
        <w:spacing w:after="0" w:line="186" w:lineRule="exact"/>
        <w:rPr>
          <w:sz w:val="20"/>
          <w:szCs w:val="20"/>
          <w:color w:val="auto"/>
        </w:rPr>
      </w:pPr>
    </w:p>
    <w:p>
      <w:pPr>
        <w:ind w:right="2099" w:firstLine="640"/>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Board shall determine the term of an Option; provided however that, subject to the provisions of Section 5(b) regarding Ten Percent Stockholders, no Incentive Stock Option shall be exercisable after the expiration of ten (10) years from the date on which it was granted.</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OF AN INCENTIVE STOCK OPTION. Subject to the provisions of Section 5(b) regarding Ten Percent Stockholders, the exercise price of each Incentive Stock Option shall be not less than one hundred percent (100%) of the Fair Market Value of the Common Stock subject to the Option on the date the Option is granted. Notwithstanding the foregoing, an Incentive Stock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51" w:name="page52"/>
    <w:bookmarkEnd w:id="51"/>
    <w:p>
      <w:pPr>
        <w:ind w:right="2419" w:firstLine="640"/>
        <w:spacing w:after="0" w:line="236"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OF A NONSTATUTORY STOCK OPTION. The Board, in its discretion, shall determine the exercise price of each Nonstatutory Stock Option.</w:t>
      </w:r>
    </w:p>
    <w:p>
      <w:pPr>
        <w:spacing w:after="0" w:line="208" w:lineRule="exact"/>
        <w:rPr>
          <w:rFonts w:ascii="Courier New" w:cs="Courier New" w:eastAsia="Courier New" w:hAnsi="Courier New"/>
          <w:sz w:val="18"/>
          <w:szCs w:val="18"/>
          <w:color w:val="auto"/>
        </w:rPr>
      </w:pPr>
    </w:p>
    <w:p>
      <w:pPr>
        <w:ind w:right="1779" w:firstLine="640"/>
        <w:spacing w:after="0" w:line="269"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The purchase price of Common Stock acquired pursuant to an Option shall be paid, to the extent permitted by applicable law, either (i) in cash at the time the Option is exercised or (ii) at the discretion of the Board at the time of the grant of the Option (or subsequently in the case of a Nonstatutory Stock Option) (1) by delivery to the Company (either by actual delivery or attestation) of other Common Stock at the time the Option is exercised, (2) according to a deferred payment or other similar arrangement with the Optionholder, (3) by a "net exercise" of the Option (as further described below), (4)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or (5) in any other form of legal consideration that may be acceptable to the Board. Unless otherwise specifically provided in the Option, the purchase price of Common Stock acquired pursuant to an Option that is paid by delivery to the Company of other Common Stock acquired, directly or indirectly from the Company, shall be paid only by shares of the Common Stock of the Company that have been held for more than six (6) months (or such longer or shorter period of time required to avoid a charge to earnings for financial accounting purposes). At any time that the Company is incorporated in Delaware, payment of the Common Stock's "par value," as defined in the Delaware General Corporation Law, shall not be made by deferred payment.</w:t>
      </w:r>
    </w:p>
    <w:p>
      <w:pPr>
        <w:spacing w:after="0" w:line="200" w:lineRule="exact"/>
        <w:rPr>
          <w:sz w:val="20"/>
          <w:szCs w:val="20"/>
          <w:color w:val="auto"/>
        </w:rPr>
      </w:pPr>
    </w:p>
    <w:p>
      <w:pPr>
        <w:spacing w:after="0" w:line="39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the case of any deferred payment arrangement, 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treatment of the Option as a variable award for financial accounting purposes.</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that does not exceed the aggregate exercise price. With respect to any remaining balance of the aggregate exercise price, the Company shall accept a cash payment from the Participant. Shares of Common Stock will no longer be outstanding under an Option (and will therefore not thereafter be exercisable) following the exercise of such Option to the extent of (i) shares used to pay the exercise price of an Option under the "net exercise", (ii) shares actually delivered to the Participant as a result of such exercise and (iii) shares withheld for purposes of tax withholding.</w:t>
      </w:r>
    </w:p>
    <w:p>
      <w:pPr>
        <w:spacing w:after="0" w:line="207" w:lineRule="exact"/>
        <w:rPr>
          <w:sz w:val="20"/>
          <w:szCs w:val="20"/>
          <w:color w:val="auto"/>
        </w:rPr>
      </w:pPr>
    </w:p>
    <w:p>
      <w:pPr>
        <w:ind w:right="1879" w:firstLine="640"/>
        <w:spacing w:after="0" w:line="271"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provided by or otherwise satisfactory to the Company, designate a third party who, in the event of the death of the Optionholder, shall thereafter be entitled to exercise the Option.</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2" w:name="page53"/>
    <w:bookmarkEnd w:id="52"/>
    <w:p>
      <w:pPr>
        <w:ind w:left="-640" w:right="1779" w:firstLine="640"/>
        <w:spacing w:after="0" w:line="237"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A NONSTATUTORY STOCK OPTION. A Nonstatutory Stock Option shall be transferable to the extent provided in the Option Agreement. If the Nonstatutory Stock Option does not provide for transferability, then the Nonstatutory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provided by or otherwise satisfactory to the Company, designate a third party who, in the event of the death of the Optionholder, shall thereafter be entitled to exercise the Option.</w:t>
      </w:r>
    </w:p>
    <w:p>
      <w:pPr>
        <w:spacing w:after="0" w:line="214" w:lineRule="exact"/>
        <w:rPr>
          <w:rFonts w:ascii="Courier New" w:cs="Courier New" w:eastAsia="Courier New" w:hAnsi="Courier New"/>
          <w:sz w:val="18"/>
          <w:szCs w:val="18"/>
          <w:color w:val="auto"/>
        </w:rPr>
      </w:pPr>
    </w:p>
    <w:p>
      <w:pPr>
        <w:ind w:left="-640" w:right="1779" w:firstLine="640"/>
        <w:spacing w:after="0" w:line="237"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GENERALLY. The total number of shares of Common Stock subject to an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 The provisions of this Section 6(g) are subject to any Option provisions governing the minimum number of shares of Common Stock as to which an Option may be exercised.</w:t>
      </w:r>
    </w:p>
    <w:p>
      <w:pPr>
        <w:spacing w:after="0" w:line="213" w:lineRule="exact"/>
        <w:rPr>
          <w:rFonts w:ascii="Courier New" w:cs="Courier New" w:eastAsia="Courier New" w:hAnsi="Courier New"/>
          <w:sz w:val="18"/>
          <w:szCs w:val="18"/>
          <w:color w:val="auto"/>
        </w:rPr>
      </w:pPr>
    </w:p>
    <w:p>
      <w:pPr>
        <w:ind w:left="-640" w:right="1779" w:firstLine="640"/>
        <w:spacing w:after="0" w:line="270" w:lineRule="auto"/>
        <w:tabs>
          <w:tab w:leader="none" w:pos="4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CONTINUOUS SERVICE. In the event that an Optionholder's Continuous Service terminates (for reasons other than Cause or upon the Optionholder's death or Disability), the Optionholder may exercise his or her Option (to the extent that the Optionholder was entitled to exercise such Option as of the date of termination) but only within such period of time ending on the earlier of (i) the date three (3) months following the termination of the Optionholder's Continuous Service (or such longer or shorter period specified in the Option Agreement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87" w:lineRule="exact"/>
        <w:rPr>
          <w:rFonts w:ascii="Courier New" w:cs="Courier New" w:eastAsia="Courier New" w:hAnsi="Courier New"/>
          <w:sz w:val="16"/>
          <w:szCs w:val="16"/>
          <w:color w:val="auto"/>
        </w:rPr>
      </w:pPr>
    </w:p>
    <w:p>
      <w:pPr>
        <w:ind w:left="-640" w:right="1779" w:firstLine="640"/>
        <w:spacing w:after="0" w:line="270" w:lineRule="auto"/>
        <w:tabs>
          <w:tab w:leader="none" w:pos="4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EXTENSION OF TERMINATION DATE. An Optionholder's Option Agreement may also provide that if the exercise of the Option following the termination of the Optionholder's Continuous Service (for reasons other than Cause or upon the Optionholder's death or Disability) would be prohibited at any time solely because the issuance of shares of Common Stock would violate the registration requirements under the Securities Act, then the Option shall terminate on the earlier of (i) the expiration of the term of the Option set forth in the Option Agreement or (ii) the expiration of a period of three (3) months after the termination of the Optionholder's Continuous Service during which the exercise of the Option would not be in violation of such registration requirements.</w:t>
      </w:r>
    </w:p>
    <w:p>
      <w:pPr>
        <w:spacing w:after="0" w:line="189" w:lineRule="exact"/>
        <w:rPr>
          <w:rFonts w:ascii="Courier New" w:cs="Courier New" w:eastAsia="Courier New" w:hAnsi="Courier New"/>
          <w:sz w:val="16"/>
          <w:szCs w:val="16"/>
          <w:color w:val="auto"/>
        </w:rPr>
      </w:pPr>
    </w:p>
    <w:p>
      <w:pPr>
        <w:ind w:left="-640" w:right="1779" w:firstLine="640"/>
        <w:spacing w:after="0" w:line="270" w:lineRule="auto"/>
        <w:tabs>
          <w:tab w:leader="none" w:pos="4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OF OPTIONHOLDER.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(i) the date twelve (12) months following such termination (or such longer or shorter period specified in the Option Agreement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723" w:right="1440" w:bottom="1440" w:gutter="0" w:footer="0" w:header="0"/>
        </w:sectPr>
      </w:pPr>
    </w:p>
    <w:bookmarkStart w:id="53" w:name="page54"/>
    <w:bookmarkEnd w:id="53"/>
    <w:p>
      <w:pPr>
        <w:ind w:left="-8" w:right="1879" w:firstLine="640"/>
        <w:spacing w:after="0" w:line="270" w:lineRule="auto"/>
        <w:tabs>
          <w:tab w:leader="none" w:pos="104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OF OPTIONHOLDER. In the event that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pursuant to Section 6(e) or 6(f), but only within the period ending on the earlier of (1) the date eighteen (18) months following the date of death (or such longer or shorter period specified in the Option Agreement or (2) the expiration of the term of such Option as set forth in the Option Agreement. If, after the Optionholder's death, the Option is not exercised within the time specified herein or in the Option Agreement (as applicable), the Option shall terminate.</w:t>
      </w:r>
    </w:p>
    <w:p>
      <w:pPr>
        <w:spacing w:after="0" w:line="386" w:lineRule="exact"/>
        <w:rPr>
          <w:rFonts w:ascii="Courier New" w:cs="Courier New" w:eastAsia="Courier New" w:hAnsi="Courier New"/>
          <w:sz w:val="16"/>
          <w:szCs w:val="16"/>
          <w:color w:val="auto"/>
        </w:rPr>
      </w:pPr>
    </w:p>
    <w:p>
      <w:pPr>
        <w:ind w:left="-8" w:right="1779" w:firstLine="640"/>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Notwithstanding the foregoing, if at the time of termination of an Optionholder's Continuous Service for any reason other than Cause, the Optionholder is at least fifty five (55) years old, then the Optionholder (or such person or person(s) as may be entitled to exercise such Option pursuant to Section 6(k) in the event of the Optionholder's death) may exercise his or her Option (to the extent that the Optionholder was entitled to exercise such Option as of the date of termination) within such period of time ending on the earlier of (i) the date twenty four (24) months following such termination or (ii) the expiration of the term of the Option as set forth in the Option Agreement. If, after termination, the Option is not exercised within the time specified herein, the Option shall terminate.</w:t>
      </w:r>
    </w:p>
    <w:p>
      <w:pPr>
        <w:spacing w:after="0" w:line="215" w:lineRule="exact"/>
        <w:rPr>
          <w:rFonts w:ascii="Courier New" w:cs="Courier New" w:eastAsia="Courier New" w:hAnsi="Courier New"/>
          <w:sz w:val="18"/>
          <w:szCs w:val="18"/>
          <w:color w:val="auto"/>
        </w:rPr>
      </w:pPr>
    </w:p>
    <w:p>
      <w:pPr>
        <w:ind w:left="-8" w:right="1779" w:firstLine="640"/>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In the event an Optionholder's Continuous Service is terminated for Cause, the Option shall terminate upon the termination date of such Optionholder's Continuous Service and the Optionholder shall be prohibited from exercising his or her Option from and after the time of such termination of Continuous Service.</w:t>
      </w:r>
    </w:p>
    <w:p>
      <w:pPr>
        <w:spacing w:after="0" w:line="208" w:lineRule="exact"/>
        <w:rPr>
          <w:rFonts w:ascii="Courier New" w:cs="Courier New" w:eastAsia="Courier New" w:hAnsi="Courier New"/>
          <w:sz w:val="18"/>
          <w:szCs w:val="18"/>
          <w:color w:val="auto"/>
        </w:rPr>
      </w:pPr>
    </w:p>
    <w:p>
      <w:pPr>
        <w:ind w:left="-8" w:right="1779" w:firstLine="640"/>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EARLY EXERCISE. The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Any unvested shares of Common Stock so purchased may be subject to a repurchase option in favor of the Company or to any other restriction the Board determines to be appropriate. The Company shall not be required to exercise its repurchase option until at least six (6) months (or such longer or shorter period of time required to avoid a charge to earnings for financial accounting purposes) have elapsed following exercise of the Option unless the Board otherwise specifically provides in the Option.</w:t>
      </w:r>
    </w:p>
    <w:p>
      <w:pPr>
        <w:spacing w:after="0" w:line="210" w:lineRule="exact"/>
        <w:rPr>
          <w:rFonts w:ascii="Courier New" w:cs="Courier New" w:eastAsia="Courier New" w:hAnsi="Courier New"/>
          <w:sz w:val="18"/>
          <w:szCs w:val="18"/>
          <w:color w:val="auto"/>
        </w:rPr>
      </w:pPr>
    </w:p>
    <w:p>
      <w:pPr>
        <w:ind w:left="632" w:hanging="632"/>
        <w:spacing w:after="0"/>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OF STOCK AWARDS OTHER THAN OPTIONS.</w:t>
      </w:r>
    </w:p>
    <w:p>
      <w:pPr>
        <w:spacing w:after="0" w:line="206" w:lineRule="exact"/>
        <w:rPr>
          <w:rFonts w:ascii="Courier New" w:cs="Courier New" w:eastAsia="Courier New" w:hAnsi="Courier New"/>
          <w:sz w:val="18"/>
          <w:szCs w:val="18"/>
          <w:color w:val="auto"/>
        </w:rPr>
      </w:pPr>
    </w:p>
    <w:p>
      <w:pPr>
        <w:ind w:left="-8" w:right="1879" w:firstLine="640"/>
        <w:spacing w:after="0" w:line="237" w:lineRule="auto"/>
        <w:tabs>
          <w:tab w:leader="none" w:pos="104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AWARDS. Each Restricted Stock Award Agreement shall be in such form and shall contain such terms and conditions as the Board shall deem appropriate. At the Board's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Board. The terms and conditions of Restricted Stock Award Agreements may change from time to time, and the terms and conditions of separate Restricted Stock Award Agreements</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723" w:right="1440" w:bottom="144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need not be identical, provided, however, that each Restricted Stock Award Agreement shall include (through incorporation of the provisions hereof by reference in the agreement or otherwise) the substance of each of the following provisions:</w:t>
      </w:r>
    </w:p>
    <w:p>
      <w:pPr>
        <w:spacing w:after="0" w:line="207" w:lineRule="exact"/>
        <w:rPr>
          <w:sz w:val="20"/>
          <w:szCs w:val="20"/>
          <w:color w:val="auto"/>
        </w:rPr>
      </w:pPr>
    </w:p>
    <w:p>
      <w:pPr>
        <w:ind w:right="1779" w:firstLine="1272"/>
        <w:spacing w:after="0" w:line="271" w:lineRule="auto"/>
        <w:tabs>
          <w:tab w:leader="none" w:pos="1896"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At the time of the grant of a Restricted Stock Award, the Board will determine the price to be paid by the Participant for each share subject to the Restricted Stock Award. To the extent required by applicable law, the price to be paid by the Participant for each share of the Restricted Stock Award will not be less than the par value of a share of Common Stock. A Restricted Stock Award may be awarded as a stock bonus (i.e., with no cash purchase price to be paid) to the extent permissible under applicable law.</w:t>
      </w:r>
    </w:p>
    <w:p>
      <w:pPr>
        <w:spacing w:after="0" w:line="187" w:lineRule="exact"/>
        <w:rPr>
          <w:rFonts w:ascii="Courier New" w:cs="Courier New" w:eastAsia="Courier New" w:hAnsi="Courier New"/>
          <w:sz w:val="16"/>
          <w:szCs w:val="16"/>
          <w:color w:val="auto"/>
        </w:rPr>
      </w:pPr>
    </w:p>
    <w:p>
      <w:pPr>
        <w:ind w:right="1779" w:firstLine="1272"/>
        <w:spacing w:after="0" w:line="271" w:lineRule="auto"/>
        <w:tabs>
          <w:tab w:leader="none" w:pos="1896"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At the time of the grant of a Restricted Stock Award, the Board will determine the consideration permissible for the payment of the purchase price of the Restricted Stock Award. The purchase price of Common Stock acquired pursuant to the Restricted Stock Award shall be paid in one of the following ways: (i) in cash at the time of purchase; (ii) at the discretion of the Board, according to a deferred payment or other similar arrangement with the Participant; (iii) by services previously rendered to the Company in the case of a stock bonus; or (iv) in any other form of legal consideration that may be acceptable to the Board and permissible under the Delaware Corporation Law.</w:t>
      </w:r>
    </w:p>
    <w:p>
      <w:pPr>
        <w:spacing w:after="0" w:line="183" w:lineRule="exact"/>
        <w:rPr>
          <w:rFonts w:ascii="Courier New" w:cs="Courier New" w:eastAsia="Courier New" w:hAnsi="Courier New"/>
          <w:sz w:val="16"/>
          <w:szCs w:val="16"/>
          <w:color w:val="auto"/>
        </w:rPr>
      </w:pPr>
    </w:p>
    <w:p>
      <w:pPr>
        <w:ind w:right="1779" w:firstLine="1272"/>
        <w:spacing w:after="0" w:line="237" w:lineRule="auto"/>
        <w:tabs>
          <w:tab w:leader="none" w:pos="1896"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Shares of Common Stock acquired under a Restricted Stock Award may, but need not, be (i) subject to a share repurchase right or option in favor of the Company or (ii) subject to a forfeiture right in favor of the Company, each in accordance with a vesting schedule to be determined by the Board.</w:t>
      </w:r>
    </w:p>
    <w:p>
      <w:pPr>
        <w:spacing w:after="0" w:line="208" w:lineRule="exact"/>
        <w:rPr>
          <w:rFonts w:ascii="Courier New" w:cs="Courier New" w:eastAsia="Courier New" w:hAnsi="Courier New"/>
          <w:sz w:val="18"/>
          <w:szCs w:val="18"/>
          <w:color w:val="auto"/>
        </w:rPr>
      </w:pPr>
    </w:p>
    <w:p>
      <w:pPr>
        <w:ind w:right="1779" w:firstLine="1272"/>
        <w:spacing w:after="0" w:line="268" w:lineRule="auto"/>
        <w:tabs>
          <w:tab w:leader="none" w:pos="1896"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PARTICIPANT'S CONTINUOUS SERVICE. In the event that a Participant's Continuous Service terminates, the Company shall have the right, but not the obligation, to repurchase, otherwise reacquire or receive by a forfeiture right, any or all of the shares of Common Stock held by the Participant that have not vested as of the date of termination under the terms of the Restricted Stock Award Agreement. At the Board's election, the repurchase right may be at the least of: (i) the Fair Market Value on the relevant date;</w:t>
      </w:r>
    </w:p>
    <w:p>
      <w:pPr>
        <w:spacing w:after="0" w:line="1" w:lineRule="exact"/>
        <w:rPr>
          <w:rFonts w:ascii="Courier New" w:cs="Courier New" w:eastAsia="Courier New" w:hAnsi="Courier New"/>
          <w:sz w:val="16"/>
          <w:szCs w:val="16"/>
          <w:color w:val="auto"/>
        </w:rPr>
      </w:pPr>
    </w:p>
    <w:p>
      <w:pPr>
        <w:ind w:right="1999" w:firstLine="8"/>
        <w:spacing w:after="0" w:line="271" w:lineRule="auto"/>
        <w:tabs>
          <w:tab w:leader="none" w:pos="5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Participant's original cost; or (iii) if the Participant paid the purchase price for the shares of Common Stock with services rendered, then for no consideration. The Company shall not be required to exercise its repurchase option until at least six (6) months (or such longer or shorter period of time required to avoid a charge to earnings for financial accounting purposes) have elapsed following the purchase of the restricted stock unless otherwise determined by the Board or provided in the Restricted Stock Award Agreement.</w:t>
      </w:r>
    </w:p>
    <w:p>
      <w:pPr>
        <w:spacing w:after="0" w:line="187" w:lineRule="exact"/>
        <w:rPr>
          <w:rFonts w:ascii="Courier New" w:cs="Courier New" w:eastAsia="Courier New" w:hAnsi="Courier New"/>
          <w:sz w:val="16"/>
          <w:szCs w:val="16"/>
          <w:color w:val="auto"/>
        </w:rPr>
      </w:pPr>
    </w:p>
    <w:p>
      <w:pPr>
        <w:ind w:right="1779" w:firstLine="1272"/>
        <w:spacing w:after="0" w:line="237" w:lineRule="auto"/>
        <w:tabs>
          <w:tab w:leader="none" w:pos="1896"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Rights to purchase or receive shares of Common Stock granted under a Restricted Stock Award shall be transferable by the Participant only upon such terms and conditions as are set forth in the Restricted Stock Award Agreement, as the Board shall determine in its discretion, and so long as Common Stock awarded under the Restricted Stock Award remains subject to the terms of the Restricted Stock Award Agreement.</w:t>
      </w:r>
    </w:p>
    <w:p>
      <w:pPr>
        <w:spacing w:after="0" w:line="209" w:lineRule="exact"/>
        <w:rPr>
          <w:rFonts w:ascii="Courier New" w:cs="Courier New" w:eastAsia="Courier New" w:hAnsi="Courier New"/>
          <w:sz w:val="18"/>
          <w:szCs w:val="18"/>
          <w:color w:val="auto"/>
        </w:rPr>
      </w:pPr>
    </w:p>
    <w:p>
      <w:pPr>
        <w:ind w:right="2199" w:firstLine="640"/>
        <w:spacing w:after="0" w:line="237" w:lineRule="auto"/>
        <w:tabs>
          <w:tab w:leader="none" w:pos="105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STOCK. Each Phantom Stock Award Agreement shall be in such form and shall contain such terms and conditions as the Board shall deem appropriate. The terms and conditions of Phantom Stock Award Agreements may change from time to time, and the terms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and conditions of separate Phantom Stock Award Agreements need not be identical, provided, however, that each Phantom Stock Award Agreement shall include (through incorporation of the provisions hereof by reference in the agreement or otherwise) the substance of each of the following provisions:</w:t>
      </w:r>
    </w:p>
    <w:p>
      <w:pPr>
        <w:spacing w:after="0" w:line="207" w:lineRule="exact"/>
        <w:rPr>
          <w:sz w:val="20"/>
          <w:szCs w:val="20"/>
          <w:color w:val="auto"/>
        </w:rPr>
      </w:pPr>
    </w:p>
    <w:p>
      <w:pPr>
        <w:ind w:right="1779" w:firstLine="1272"/>
        <w:spacing w:after="0" w:line="237" w:lineRule="auto"/>
        <w:tabs>
          <w:tab w:leader="none" w:pos="1896"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At the time of grant of a Phantom Stock Award, the Board will determine the consideration, if any, to be paid by the Participant upon delivery of each share of Common Stock subject to the Phantom Stock Award. To the extent required by applicable law, the consideration to be paid by the Participant for each share of Common Stock subject to a Phantom Stock Award will not be less than the par value of a share of Common Stock. Such consideration may be paid in any form permitted under applicable law.</w:t>
      </w:r>
    </w:p>
    <w:p>
      <w:pPr>
        <w:spacing w:after="0" w:line="211" w:lineRule="exact"/>
        <w:rPr>
          <w:rFonts w:ascii="Courier New" w:cs="Courier New" w:eastAsia="Courier New" w:hAnsi="Courier New"/>
          <w:sz w:val="18"/>
          <w:szCs w:val="18"/>
          <w:color w:val="auto"/>
        </w:rPr>
      </w:pPr>
    </w:p>
    <w:p>
      <w:pPr>
        <w:ind w:right="2099" w:firstLine="1272"/>
        <w:spacing w:after="0" w:line="279" w:lineRule="auto"/>
        <w:tabs>
          <w:tab w:leader="none" w:pos="189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At the time of the grant of a Phantom Stock Award, the Board may impose such restrictions or conditions to the vesting of the Phantom Stock Award as it, in its absolute discretion, deems appropriate.</w:t>
      </w:r>
    </w:p>
    <w:p>
      <w:pPr>
        <w:spacing w:after="0" w:line="178" w:lineRule="exact"/>
        <w:rPr>
          <w:rFonts w:ascii="Courier New" w:cs="Courier New" w:eastAsia="Courier New" w:hAnsi="Courier New"/>
          <w:sz w:val="16"/>
          <w:szCs w:val="16"/>
          <w:color w:val="auto"/>
        </w:rPr>
      </w:pPr>
    </w:p>
    <w:p>
      <w:pPr>
        <w:jc w:val="both"/>
        <w:ind w:right="1879" w:firstLine="1272"/>
        <w:spacing w:after="0" w:line="237" w:lineRule="auto"/>
        <w:tabs>
          <w:tab w:leader="none" w:pos="1896"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 Phantom Stock Award may be settled by the delivery of shares of Common Stock, their cash equivalent, any combination thereof or in any other form of consideration as determined by the Board and contained in the Phantom Stock Award Agreement.</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RESTRICTIONS. At the time of the grant of a Phantom Stock Award, the Board, as it deems appropriate, may impose such restrictions or conditions that delay the delivery of the shares of Common Stock (or their cash equivalent) subject to a Phantom Stock Award after the vesting of such Phantom Stock Award.</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EQUIVALENTS. Dividend equivalents may be credited in respect of shares of Common Stock covered by a Phantom Stock Award, as determined by the Board and contained in the Phantom Stock Award Agreement. At the discretion of the Board, such dividend equivalents may be converted into additional shares of Common Stock covered by the Phantom Stock Award in such manner as determined by the Board. Any additional shares covered by the Phantom Stock Award credited by reason of such dividend equivalents will be subject to all the terms and conditions of the underlying Phantom Stock Award Agreement to which they relate.</w:t>
      </w:r>
    </w:p>
    <w:p>
      <w:pPr>
        <w:spacing w:after="0" w:line="213"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PARTICIPANT'S CONTINUOUS SERVICE. Except as otherwise provided in the applicable Phantom Stock Award Agreement, such portion of the Phantom Stock Award that has not vested will be forfeited upon the Participant's termination of Continuous Service for any reason.</w:t>
      </w:r>
    </w:p>
    <w:p>
      <w:pPr>
        <w:spacing w:after="0" w:line="207"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 Each Stock Appreciation Right Agreement shall be in such form and shall contain such terms and conditions as the Board shall deem appropriate. The terms and conditions of Stock Appreciation Right Agreements may change from time to time, and the terms and conditions of separate Stock Appreciation Right Agreements need not be identical, provided, however, that each Stock Appreciation Right Agreement shall include (through incorporation of the provisions hereof by reference in the agreement or otherwise) the substance of each of the following provisions: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56" w:name="page57"/>
    <w:bookmarkEnd w:id="56"/>
    <w:p>
      <w:pPr>
        <w:ind w:left="-640" w:right="1779" w:firstLine="1272"/>
        <w:spacing w:after="0" w:line="270" w:lineRule="auto"/>
        <w:tabs>
          <w:tab w:leader="none" w:pos="1256"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STRIKE PRICE AND CALCULATION OF APPRECIATION. Each Stock Appreciation Right will be denominated in share of Common Stock equivalents.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share of Common Stock equivalents in which the Participant is vested under such Stock Appreciation Right, and with respect to which the Participant is exercising the Stock Appreciation Right on such date, over (B) an amount (the strike price) that will be determined by the Board at the time of grant of the Stock Appreciation Right.</w:t>
      </w:r>
    </w:p>
    <w:p>
      <w:pPr>
        <w:spacing w:after="0" w:line="189" w:lineRule="exact"/>
        <w:rPr>
          <w:rFonts w:ascii="Courier New" w:cs="Courier New" w:eastAsia="Courier New" w:hAnsi="Courier New"/>
          <w:sz w:val="16"/>
          <w:szCs w:val="16"/>
          <w:color w:val="auto"/>
        </w:rPr>
      </w:pPr>
    </w:p>
    <w:p>
      <w:pPr>
        <w:ind w:left="-640" w:right="2099" w:firstLine="1272"/>
        <w:spacing w:after="0" w:line="237" w:lineRule="auto"/>
        <w:tabs>
          <w:tab w:leader="none" w:pos="1256"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At the time of the grant of a Stock Appreciation Right, the Board may impose such restrictions or conditions to the vesting of such Stock Appreciation Right as it, in its absolute discretion, deems appropriate.</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1256"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To exercise any outstanding Stock Appreciation Right, the Participant must provide written notice of exercise to the Company in compliance with the provisions of the Stock Appreciation Right Agreement evidencing such Stock Appreciation Right.</w:t>
      </w:r>
    </w:p>
    <w:p>
      <w:pPr>
        <w:spacing w:after="0" w:line="207" w:lineRule="exact"/>
        <w:rPr>
          <w:rFonts w:ascii="Courier New" w:cs="Courier New" w:eastAsia="Courier New" w:hAnsi="Courier New"/>
          <w:sz w:val="18"/>
          <w:szCs w:val="18"/>
          <w:color w:val="auto"/>
        </w:rPr>
      </w:pPr>
    </w:p>
    <w:p>
      <w:pPr>
        <w:ind w:left="-640" w:right="1999" w:firstLine="1272"/>
        <w:spacing w:after="0" w:line="237" w:lineRule="auto"/>
        <w:tabs>
          <w:tab w:leader="none" w:pos="1256"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The appreciation distribution in respect to a Stock Appreciation Right may be paid in Common Stock, in cash, in any combination thereof or in any other form of consideration as determined by the Board and contained in the Stock Appreciation Right Agreement evidencing such Stock Appreciation Right.</w:t>
      </w:r>
    </w:p>
    <w:p>
      <w:pPr>
        <w:spacing w:after="0" w:line="208" w:lineRule="exact"/>
        <w:rPr>
          <w:rFonts w:ascii="Courier New" w:cs="Courier New" w:eastAsia="Courier New" w:hAnsi="Courier New"/>
          <w:sz w:val="18"/>
          <w:szCs w:val="18"/>
          <w:color w:val="auto"/>
        </w:rPr>
      </w:pPr>
    </w:p>
    <w:p>
      <w:pPr>
        <w:ind w:left="-640" w:right="1779" w:firstLine="1272"/>
        <w:spacing w:after="0" w:line="270" w:lineRule="auto"/>
        <w:tabs>
          <w:tab w:leader="none" w:pos="1256"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CONTINUOUS SERVICE. In the event that a Participant's Continuous Service terminates, the Participant may exercise his or her Stock Appreciation Right (to the extent that the Participant was entitled to exercise such Stock Appreciation Right as of the date of termination) but only within such period of time ending on the earlier of (i) the date three (3) months following the termination of the Participant's Continuous Service (or such longer or shorter period specified in the Stock Appreciation Right Agreement) or (ii) the expiration of the term of the Stock Appreciation Right as set forth in the Stock Appreciation Right Agreement. If, after termination, the Participant does not exercise his or her Stock Appreciation Right within the time specified herein or in the Stock Appreciation Right Agreement (as applicable), the Stock Appreciation Right shall terminate.</w:t>
      </w:r>
    </w:p>
    <w:p>
      <w:pPr>
        <w:spacing w:after="0" w:line="390" w:lineRule="exact"/>
        <w:rPr>
          <w:rFonts w:ascii="Courier New" w:cs="Courier New" w:eastAsia="Courier New" w:hAnsi="Courier New"/>
          <w:sz w:val="16"/>
          <w:szCs w:val="16"/>
          <w:color w:val="auto"/>
        </w:rPr>
      </w:pPr>
    </w:p>
    <w:p>
      <w:pPr>
        <w:ind w:left="-640" w:right="1779" w:firstLine="640"/>
        <w:spacing w:after="0" w:line="237" w:lineRule="auto"/>
        <w:tabs>
          <w:tab w:leader="none" w:pos="41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 AWARDS. Other forms of Stock Awards valued in whole or in part by reference to, or otherwise based on, Common Stock may be granted either alone or in addition to Stock Awards provided for under Section 6 and the preceding provisions of this Section 7. Subject to the provisions of the Plan, the Board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579"/>
          </w:cols>
          <w:pgMar w:left="880" w:top="723" w:right="1440" w:bottom="1440" w:gutter="0" w:footer="0" w:header="0"/>
        </w:sectPr>
      </w:pPr>
    </w:p>
    <w:bookmarkStart w:id="57" w:name="page58"/>
    <w:bookmarkEnd w:id="57"/>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w:t>
      </w:r>
    </w:p>
    <w:p>
      <w:pPr>
        <w:spacing w:after="0" w:line="206" w:lineRule="exact"/>
        <w:rPr>
          <w:rFonts w:ascii="Courier New" w:cs="Courier New" w:eastAsia="Courier New" w:hAnsi="Courier New"/>
          <w:sz w:val="18"/>
          <w:szCs w:val="18"/>
          <w:color w:val="auto"/>
        </w:rPr>
      </w:pPr>
    </w:p>
    <w:p>
      <w:pPr>
        <w:ind w:right="1999" w:firstLine="640"/>
        <w:spacing w:after="0" w:line="236" w:lineRule="auto"/>
        <w:tabs>
          <w:tab w:leader="none" w:pos="105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SHARES. During the terms of the Stock Awards, the Company shall keep available at all times the number of shares of Common Stock required to satisfy such Stock Awards.</w:t>
      </w:r>
    </w:p>
    <w:p>
      <w:pPr>
        <w:spacing w:after="0" w:line="208"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COMPLIANCE. The Company shall seek to obtain from each regulatory commission 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FROM STOCK.</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Proceeds from the sale of Common Stock pursuant to Stock Awards shall constitute general funds of the Company.</w:t>
      </w:r>
    </w:p>
    <w:p>
      <w:pPr>
        <w:spacing w:after="0" w:line="203" w:lineRule="exact"/>
        <w:rPr>
          <w:sz w:val="20"/>
          <w:szCs w:val="20"/>
          <w:color w:val="auto"/>
        </w:rPr>
      </w:pPr>
    </w:p>
    <w:p>
      <w:pPr>
        <w:ind w:left="640" w:hanging="632"/>
        <w:spacing w:after="0"/>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640"/>
        <w:spacing w:after="0" w:line="273" w:lineRule="auto"/>
        <w:tabs>
          <w:tab w:leader="none" w:pos="105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OF EXERCISABILITY AND VESTING. The Board shall have the power 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84" w:lineRule="exact"/>
        <w:rPr>
          <w:rFonts w:ascii="Courier New" w:cs="Courier New" w:eastAsia="Courier New" w:hAnsi="Courier New"/>
          <w:sz w:val="16"/>
          <w:szCs w:val="16"/>
          <w:color w:val="auto"/>
        </w:rPr>
      </w:pPr>
    </w:p>
    <w:p>
      <w:pPr>
        <w:ind w:right="1999" w:firstLine="640"/>
        <w:spacing w:after="0" w:line="237" w:lineRule="auto"/>
        <w:tabs>
          <w:tab w:leader="none" w:pos="105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No Participant shall be deemed to be the holder of, or to have any of the rights of a holder with respect to, any shares of Common Stock subject to such Stock Award unless and until such Participant has satisfied all requirements for exercise of the Stock Award pursuant to its terms.</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EMPLOYMENT OR OTHER SERVICE RIGHTS. Nothing in the Plan or any instrument executed or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215"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$100,000 LIMITATION. To the extent that the aggregate Fair Market Value (determined at the time of grant) of Common Stock with respect to which Incentive Stock Options are exercisable for the first time by any Optionholder during 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58" w:name="page59"/>
    <w:bookmarkEnd w:id="58"/>
    <w:p>
      <w:pPr>
        <w:ind w:right="1779"/>
        <w:spacing w:after="0" w:line="237" w:lineRule="auto"/>
        <w:rPr>
          <w:sz w:val="20"/>
          <w:szCs w:val="20"/>
          <w:color w:val="auto"/>
        </w:rPr>
      </w:pPr>
      <w:r>
        <w:rPr>
          <w:rFonts w:ascii="Courier New" w:cs="Courier New" w:eastAsia="Courier New" w:hAnsi="Courier New"/>
          <w:sz w:val="18"/>
          <w:szCs w:val="18"/>
          <w:color w:val="auto"/>
        </w:rPr>
        <w:t>calendar year (under all plans of the Company and its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209" w:lineRule="exact"/>
        <w:rPr>
          <w:sz w:val="20"/>
          <w:szCs w:val="20"/>
          <w:color w:val="auto"/>
        </w:rPr>
      </w:pPr>
    </w:p>
    <w:p>
      <w:pPr>
        <w:ind w:right="1779" w:firstLine="640"/>
        <w:spacing w:after="0" w:line="269" w:lineRule="auto"/>
        <w:tabs>
          <w:tab w:leader="none" w:pos="105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ASSURANCES.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(1) the issuance of the shares of Common Stock upon the exercise or acquisition of Common Stock under the Stock Award has been registered under a then currently effective registration statement under the Securities Act or (2)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640"/>
        <w:spacing w:after="0" w:line="268" w:lineRule="auto"/>
        <w:tabs>
          <w:tab w:leader="none" w:pos="105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OBLIGATIONS. To the extent provided by the terms of a Stock Award Agreement, the Company may in its sole discretion, satisfy any federal, state or local tax withholding obligation relating to a Stock Award by any of the following means (in addition to the Company's right to withhold from any compensation paid to the Participant by the Company) or by a combination of such means: (i) causing the Participant to tender a cash payment; (ii) withholding shares of Common Stock from the shares of Common Stock issued or otherwise issuable to the Participant in connection with the Stock Award; or</w:t>
      </w:r>
    </w:p>
    <w:p>
      <w:pPr>
        <w:ind w:left="640" w:hanging="632"/>
        <w:spacing w:after="0" w:line="238" w:lineRule="auto"/>
        <w:tabs>
          <w:tab w:leader="none" w:pos="6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such other method as may be set forth in the Stock Award Agreement.</w:t>
      </w:r>
    </w:p>
    <w:p>
      <w:pPr>
        <w:spacing w:after="0" w:line="202" w:lineRule="exact"/>
        <w:rPr>
          <w:sz w:val="20"/>
          <w:szCs w:val="20"/>
          <w:color w:val="auto"/>
        </w:rPr>
      </w:pPr>
    </w:p>
    <w:p>
      <w:pPr>
        <w:ind w:left="640" w:hanging="632"/>
        <w:spacing w:after="0"/>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STOCK.</w:t>
      </w:r>
    </w:p>
    <w:p>
      <w:pPr>
        <w:spacing w:after="0" w:line="206" w:lineRule="exact"/>
        <w:rPr>
          <w:rFonts w:ascii="Courier New" w:cs="Courier New" w:eastAsia="Courier New" w:hAnsi="Courier New"/>
          <w:sz w:val="18"/>
          <w:szCs w:val="18"/>
          <w:color w:val="auto"/>
        </w:rPr>
      </w:pPr>
    </w:p>
    <w:p>
      <w:pPr>
        <w:ind w:right="1779" w:firstLine="640"/>
        <w:spacing w:after="0" w:line="238" w:lineRule="auto"/>
        <w:tabs>
          <w:tab w:leader="none" w:pos="105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ADJUSTMENTS. If any change is made in, or other event occurs with respect to, the Common Stock subject to the Plan or subject to any Stock Award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(each a "CAPITALIZATION ADJUSTMENT"), the Plan will be appropriately adjusted in the class(es) and maximum number of securities subject to the Plan pursuant to Sections 4(a) and 4(b) and the maximum number of securities subject to award to any person pursuant to Section 5(c), and the outstanding Stock Awards will be appropriately adjusted in the class(es) and number of securities and price per share of Common Stock subject to such outstanding Stock Awards.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Board shall make such adjustments, and its determination shall be final, binding and conclusive. (Notwithstanding the foregoing, the conversion of any convertible securities of the Company shall not be treated as a transaction "without receipt of consideration" by the Company.)</w:t>
      </w:r>
    </w:p>
    <w:p>
      <w:pPr>
        <w:spacing w:after="0" w:line="207" w:lineRule="exact"/>
        <w:rPr>
          <w:sz w:val="20"/>
          <w:szCs w:val="20"/>
          <w:color w:val="auto"/>
        </w:rPr>
      </w:pPr>
    </w:p>
    <w:p>
      <w:pPr>
        <w:ind w:right="2099" w:firstLine="640"/>
        <w:spacing w:after="0" w:line="279" w:lineRule="auto"/>
        <w:tabs>
          <w:tab w:leader="none" w:pos="105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a dissolution or liquidation of the Company, then all outstanding Stock Awards shall terminate immediately prior to the completion of such dissolution or liquidation.</w:t>
      </w:r>
    </w:p>
    <w:p>
      <w:pPr>
        <w:spacing w:after="0" w:line="178" w:lineRule="exact"/>
        <w:rPr>
          <w:rFonts w:ascii="Courier New" w:cs="Courier New" w:eastAsia="Courier New" w:hAnsi="Courier New"/>
          <w:sz w:val="16"/>
          <w:szCs w:val="16"/>
          <w:color w:val="auto"/>
        </w:rPr>
      </w:pPr>
    </w:p>
    <w:p>
      <w:pPr>
        <w:ind w:right="1779" w:firstLine="640"/>
        <w:spacing w:after="0" w:line="238" w:lineRule="auto"/>
        <w:tabs>
          <w:tab w:leader="none" w:pos="105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In the event of a Corporate Transaction, any surviving corporation or acquiring corporation may assume or continue any or all Stock Awards outstanding under the Plan or may substitute similar stock awards for Stock Awards outstanding under the Plan (including, but not limited to, awards to acquire the same consideration paid to the stockholders of the Company, as the case may be,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In the event that any surviving corporation or acquiring corporation does not assume or continue all such outstanding Stock Awards or substitute similar stock awards for all such outstanding Stock Awards, then with respect to Stock Awards that have been not assumed, continued or substituted and that are held by Participants whose Continuous Service has not terminated prior to the effective time of the Corporate Transaction, the vesting of such Stock Awards (and, if applicable, the time at which such Stock Awards may be exercised)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Stock Awards shall terminate if not exercised (if applicable) at or prior to such effective time, and any reacquisition or repurchase rights held by the Company with respect to such Stock Awards shall (contingent upon the effectiveness of the Corporate Transaction) lapse. With respect to any other Stock Awards outstanding under the Plan that have not been assumed, continued or substituted, the vesting of such Stock Awards (and, if applicable, the time at which such Stock Award may be exercised) shall not be accelerated, unless otherwise provided in a written agreement between the Company or any Affiliate and the holder of such Stock Award, and such Stock Awards shall terminate if not exercised (if applicable) prior to the effective time of the Corporate Transaction.</w:t>
      </w:r>
    </w:p>
    <w:p>
      <w:pPr>
        <w:spacing w:after="0" w:line="214"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 AND STOCK AWARDS.</w:t>
      </w:r>
    </w:p>
    <w:p>
      <w:pPr>
        <w:spacing w:after="0" w:line="206"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PLAN. Subject to the limitations, if any, of applicable law, the Board at any time, and from time to time, may amend the Plan. However, except as provided in Section 11(a) relating to Capitalization Adjustments, no amendment shall be effective unless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60" w:name="page61"/>
    <w:bookmarkEnd w:id="60"/>
    <w:p>
      <w:pPr>
        <w:ind w:right="1999"/>
        <w:spacing w:after="0" w:line="235" w:lineRule="auto"/>
        <w:rPr>
          <w:sz w:val="20"/>
          <w:szCs w:val="20"/>
          <w:color w:val="auto"/>
        </w:rPr>
      </w:pPr>
      <w:r>
        <w:rPr>
          <w:rFonts w:ascii="Courier New" w:cs="Courier New" w:eastAsia="Courier New" w:hAnsi="Courier New"/>
          <w:sz w:val="18"/>
          <w:szCs w:val="18"/>
          <w:color w:val="auto"/>
        </w:rPr>
        <w:t>approved by the stockholders of the Company to the extent stockholder approval is necessary to satisfy applicable law.</w:t>
      </w:r>
    </w:p>
    <w:p>
      <w:pPr>
        <w:spacing w:after="0" w:line="208" w:lineRule="exact"/>
        <w:rPr>
          <w:sz w:val="20"/>
          <w:szCs w:val="20"/>
          <w:color w:val="auto"/>
        </w:rPr>
      </w:pPr>
    </w:p>
    <w:p>
      <w:pPr>
        <w:ind w:right="2099" w:firstLine="640"/>
        <w:spacing w:after="0" w:line="237" w:lineRule="auto"/>
        <w:tabs>
          <w:tab w:leader="none" w:pos="1053"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The Board, in its sole discretion, may submit any other amendment to the Plan for stockholder approval, including, but not limited to, amendments to the Plan intended to satisfy the requirements of Section 162(m) of the Code and the regulations thereunder regarding the exclusion of performance-based compensation from the limit on corporate deductibility of compensation paid to Covered Employees.</w:t>
      </w:r>
    </w:p>
    <w:p>
      <w:pPr>
        <w:spacing w:after="0" w:line="209" w:lineRule="exact"/>
        <w:rPr>
          <w:rFonts w:ascii="Courier New" w:cs="Courier New" w:eastAsia="Courier New" w:hAnsi="Courier New"/>
          <w:sz w:val="18"/>
          <w:szCs w:val="18"/>
          <w:color w:val="auto"/>
        </w:rPr>
      </w:pPr>
    </w:p>
    <w:p>
      <w:pPr>
        <w:ind w:right="1879" w:firstLine="640"/>
        <w:spacing w:after="0" w:line="272" w:lineRule="auto"/>
        <w:tabs>
          <w:tab w:leader="none" w:pos="105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CONTEMPLATED AMENDMENTS. It is expressly contemplated that the Board may amend the Plan in any respect the Board deems necessary or advisable to provide eligible Employees with the maximum benefits provided or to be provided under the provisions of the Code and the regulations promulgated thereunder relating to Incentive Stock Options and/or to bring the Plan and/or Incentive Stock Options granted under it into compliance therewith.</w:t>
      </w:r>
    </w:p>
    <w:p>
      <w:pPr>
        <w:spacing w:after="0" w:line="185" w:lineRule="exact"/>
        <w:rPr>
          <w:rFonts w:ascii="Courier New" w:cs="Courier New" w:eastAsia="Courier New" w:hAnsi="Courier New"/>
          <w:sz w:val="16"/>
          <w:szCs w:val="16"/>
          <w:color w:val="auto"/>
        </w:rPr>
      </w:pPr>
    </w:p>
    <w:p>
      <w:pPr>
        <w:ind w:right="1879" w:firstLine="640"/>
        <w:spacing w:after="0" w:line="268" w:lineRule="auto"/>
        <w:tabs>
          <w:tab w:leader="none" w:pos="1053"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OF RIGHTS. Rights under any Stock Award granted before amendment of the Plan shall not be impaired by any amendment of the Plan unless</w:t>
      </w:r>
    </w:p>
    <w:p>
      <w:pPr>
        <w:ind w:right="1779" w:firstLine="8"/>
        <w:spacing w:after="0" w:line="235"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requests the consent of the Participant and (ii) the Participant consents in writing.</w:t>
      </w:r>
    </w:p>
    <w:p>
      <w:pPr>
        <w:spacing w:after="0" w:line="208" w:lineRule="exact"/>
        <w:rPr>
          <w:rFonts w:ascii="Courier New" w:cs="Courier New" w:eastAsia="Courier New" w:hAnsi="Courier New"/>
          <w:sz w:val="18"/>
          <w:szCs w:val="18"/>
          <w:color w:val="auto"/>
        </w:rPr>
      </w:pPr>
    </w:p>
    <w:p>
      <w:pPr>
        <w:ind w:right="1879" w:firstLine="640"/>
        <w:spacing w:after="0" w:line="268" w:lineRule="auto"/>
        <w:tabs>
          <w:tab w:leader="none" w:pos="105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OF STOCK AWARDS. The Board at any time, and from time to time, may amend the terms of any one or more Stock Awards, including, but not limited to, amendments to provide terms more favorable than previously provided in the agreement evidencing a Stock Award, subject to any specified limits in the Plan that are not subject to Board discretion; provided, however, that the rights under any Stock Award shall not be impaired by any such amendment unless</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requests the consent of the Participant and (ii) the Participant consents in writing.</w:t>
      </w:r>
    </w:p>
    <w:p>
      <w:pPr>
        <w:spacing w:after="0" w:line="203" w:lineRule="exact"/>
        <w:rPr>
          <w:sz w:val="20"/>
          <w:szCs w:val="20"/>
          <w:color w:val="auto"/>
        </w:rPr>
      </w:pPr>
    </w:p>
    <w:p>
      <w:pPr>
        <w:ind w:left="640" w:hanging="632"/>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SUSPENSION OF THE PLAN.</w:t>
      </w:r>
    </w:p>
    <w:p>
      <w:pPr>
        <w:spacing w:after="0" w:line="206" w:lineRule="exact"/>
        <w:rPr>
          <w:rFonts w:ascii="Courier New" w:cs="Courier New" w:eastAsia="Courier New" w:hAnsi="Courier New"/>
          <w:sz w:val="18"/>
          <w:szCs w:val="18"/>
          <w:color w:val="auto"/>
        </w:rPr>
      </w:pPr>
    </w:p>
    <w:p>
      <w:pPr>
        <w:ind w:right="1999" w:firstLine="640"/>
        <w:spacing w:after="0" w:line="273" w:lineRule="auto"/>
        <w:tabs>
          <w:tab w:leader="none" w:pos="105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 The Board may suspend or terminate the Plan at any time. Unless sooner terminated, the Plan shall terminate on the day before the tenth (10th) anniversary of the date the Plan is adopted by the Board or approved by the stockholders of the Company, whichever is earlier. No Stock Awards may be granted under the Plan while the Plan is suspended or after it is terminated.</w:t>
      </w:r>
    </w:p>
    <w:p>
      <w:pPr>
        <w:spacing w:after="0" w:line="184" w:lineRule="exact"/>
        <w:rPr>
          <w:rFonts w:ascii="Courier New" w:cs="Courier New" w:eastAsia="Courier New" w:hAnsi="Courier New"/>
          <w:sz w:val="16"/>
          <w:szCs w:val="16"/>
          <w:color w:val="auto"/>
        </w:rPr>
      </w:pPr>
    </w:p>
    <w:p>
      <w:pPr>
        <w:jc w:val="both"/>
        <w:ind w:right="1999" w:firstLine="640"/>
        <w:spacing w:after="0" w:line="236" w:lineRule="auto"/>
        <w:tabs>
          <w:tab w:leader="none" w:pos="105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OF RIGHTS. Suspension or termination of the Plan shall not impair rights and obligations under any Stock Award granted while the Plan is in effect except with the written consent of the Participant.</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PLAN.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Plan shall become effective on the IPO Date, but no Stock Award shall be exercised (or, in the case of a stock bonus, shall be granted) unless and until the Plan has been approved by the stockholders of the Company, which approval shall be within twelve (12) months before or after the date the Plan is adopted by the Board.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61" w:name="page62"/>
    <w:bookmarkEnd w:id="61"/>
    <w:p>
      <w:pPr>
        <w:ind w:left="640" w:hanging="632"/>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laws of the State of California shall govern all questions concerning the construction, validity and interpretation of this Plan, without regard to such state's conflict of laws rules.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62" w:name="page63"/>
    <w:bookmarkEnd w:id="62"/>
    <w:p>
      <w:pPr>
        <w:jc w:val="center"/>
        <w:ind w:right="1779"/>
        <w:spacing w:after="0"/>
        <w:rPr>
          <w:sz w:val="20"/>
          <w:szCs w:val="20"/>
          <w:color w:val="auto"/>
        </w:rPr>
      </w:pPr>
      <w:r>
        <w:rPr>
          <w:rFonts w:ascii="Courier New" w:cs="Courier New" w:eastAsia="Courier New" w:hAnsi="Courier New"/>
          <w:sz w:val="18"/>
          <w:szCs w:val="18"/>
          <w:color w:val="auto"/>
        </w:rPr>
        <w:t>MANNKIND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2004 EQUITY INCENTIVE PLAN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OPTION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(INCENTIVE STOCK OPTION OR NONSTATUTORY STOCK OPTION)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Pursuant to your Stock Option Grant Notice ("GRANT NOTICE") and this Stock Option Agreement, MannKind Corporation (the "COMPANY") has granted you an option under its 2004 Equity Incentive Plan (the "PLAN")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details of your option are as follows:</w:t>
      </w:r>
    </w:p>
    <w:p>
      <w:pPr>
        <w:spacing w:after="0" w:line="207" w:lineRule="exact"/>
        <w:rPr>
          <w:sz w:val="20"/>
          <w:szCs w:val="20"/>
          <w:color w:val="auto"/>
        </w:rPr>
      </w:pPr>
    </w:p>
    <w:p>
      <w:pPr>
        <w:ind w:right="2099" w:firstLine="640"/>
        <w:spacing w:after="0" w:line="236"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Subject to the limitations contained herein, your option will vest as provided in your Grant Notice, provided that vesting will cease upon the termination of your Continuous Service.</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AND EXERCISE PRICE. The number of shares of Common Stock subject to your option and your exercise price per share referenced in your Grant Notice may be adjusted from time to time for Capitalization Adjustments.</w:t>
      </w:r>
    </w:p>
    <w:p>
      <w:pPr>
        <w:spacing w:after="0" w:line="207" w:lineRule="exact"/>
        <w:rPr>
          <w:rFonts w:ascii="Courier New" w:cs="Courier New" w:eastAsia="Courier New" w:hAnsi="Courier New"/>
          <w:sz w:val="18"/>
          <w:szCs w:val="18"/>
          <w:color w:val="auto"/>
        </w:rPr>
      </w:pPr>
    </w:p>
    <w:p>
      <w:pPr>
        <w:ind w:right="1779" w:firstLine="640"/>
        <w:spacing w:after="0" w:line="272" w:lineRule="auto"/>
        <w:tabs>
          <w:tab w:leader="none" w:pos="126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PRIOR TO VESTING ("EARLY EXERCISE"). If permitted in your Grant Notice (i.e., the "EXERCISE SCHEDULE" indicates that "EARLY EXERCISE" of your option is permitted) and subject to the provisions of your option, you may elect at any time that is both (i) during the period of your Continuous Service and (ii) during the term of your option, to exercise all or part of your option, including the nonvested portion of your option; provided, however, that:</w:t>
      </w:r>
    </w:p>
    <w:p>
      <w:pPr>
        <w:spacing w:after="0" w:line="185" w:lineRule="exact"/>
        <w:rPr>
          <w:rFonts w:ascii="Courier New" w:cs="Courier New" w:eastAsia="Courier New" w:hAnsi="Courier New"/>
          <w:sz w:val="16"/>
          <w:szCs w:val="16"/>
          <w:color w:val="auto"/>
        </w:rPr>
      </w:pPr>
    </w:p>
    <w:p>
      <w:pPr>
        <w:ind w:right="1779" w:firstLine="1272"/>
        <w:spacing w:after="0" w:line="236" w:lineRule="auto"/>
        <w:tabs>
          <w:tab w:leader="none" w:pos="1896"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partial exercise of your option shall be deemed to cover first vested shares of Common Stock and then the earliest vesting installment of unvested shares of Common Stock;</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207" w:lineRule="exact"/>
        <w:rPr>
          <w:rFonts w:ascii="Courier New" w:cs="Courier New" w:eastAsia="Courier New" w:hAnsi="Courier New"/>
          <w:sz w:val="18"/>
          <w:szCs w:val="18"/>
          <w:color w:val="auto"/>
        </w:rPr>
      </w:pPr>
    </w:p>
    <w:p>
      <w:pPr>
        <w:ind w:right="2099" w:firstLine="1272"/>
        <w:spacing w:after="0" w:line="236" w:lineRule="auto"/>
        <w:tabs>
          <w:tab w:leader="none" w:pos="1896"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enter into the Company's form of Early Exercise Stock Purchase Agreement with a vesting schedule that will result in the same vesting as if no early exercise had occurred; and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63" w:name="page64"/>
    <w:bookmarkEnd w:id="63"/>
    <w:p>
      <w:pPr>
        <w:ind w:right="1779"/>
        <w:spacing w:after="0" w:line="235" w:lineRule="auto"/>
        <w:rPr>
          <w:sz w:val="20"/>
          <w:szCs w:val="20"/>
          <w:color w:val="auto"/>
        </w:rPr>
      </w:pPr>
      <w:r>
        <w:rPr>
          <w:rFonts w:ascii="Courier New" w:cs="Courier New" w:eastAsia="Courier New" w:hAnsi="Courier New"/>
          <w:sz w:val="18"/>
          <w:szCs w:val="18"/>
          <w:color w:val="auto"/>
        </w:rPr>
        <w:t>that exceed such limit (according to the order in which they were granted) shall be treated as Nonstatutory Stock Options.</w:t>
      </w:r>
    </w:p>
    <w:p>
      <w:pPr>
        <w:spacing w:after="0" w:line="208" w:lineRule="exact"/>
        <w:rPr>
          <w:sz w:val="20"/>
          <w:szCs w:val="20"/>
          <w:color w:val="auto"/>
        </w:rPr>
      </w:pPr>
    </w:p>
    <w:p>
      <w:pPr>
        <w:jc w:val="both"/>
        <w:ind w:right="1779" w:firstLine="640"/>
        <w:spacing w:after="0" w:line="237"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of the exercise price is due in full upon exercise of all or any part of your option. You may elect to make payment of the exercise price in cash or by check or in any other manner PERMITTED BY YOUR GRANT NOTICE, which may include one or more of the following:</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Company's sole discretion at the time your option is exercised and provided that at the time of exercise the Common Stock is publicly traded and quoted regularly in The Wall Street Journal,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Payment of the exercise price pursuant to this Section 5(a) must comply with applicable law, including the Sarbanes-Oxley Act of 2002.</w:t>
      </w:r>
    </w:p>
    <w:p>
      <w:pPr>
        <w:spacing w:after="0" w:line="213" w:lineRule="exact"/>
        <w:rPr>
          <w:rFonts w:ascii="Courier New" w:cs="Courier New" w:eastAsia="Courier New" w:hAnsi="Courier New"/>
          <w:sz w:val="18"/>
          <w:szCs w:val="18"/>
          <w:color w:val="auto"/>
        </w:rPr>
      </w:pPr>
    </w:p>
    <w:p>
      <w:pPr>
        <w:ind w:right="1779" w:firstLine="1272"/>
        <w:spacing w:after="0" w:line="238" w:lineRule="auto"/>
        <w:tabs>
          <w:tab w:leader="none" w:pos="1896"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at the time of exercise the Common Stock is publicly traded and quoted regularly in The Wall Street Journal, by delivery of already-owned shares of Common Stock either that you have held for the period required to avoid a charge to the Company's reported earnings (generally six (6) 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following deferred payment alternative:</w:t>
      </w:r>
    </w:p>
    <w:p>
      <w:pPr>
        <w:spacing w:after="0" w:line="206" w:lineRule="exact"/>
        <w:rPr>
          <w:rFonts w:ascii="Courier New" w:cs="Courier New" w:eastAsia="Courier New" w:hAnsi="Courier New"/>
          <w:sz w:val="18"/>
          <w:szCs w:val="18"/>
          <w:color w:val="auto"/>
        </w:rPr>
      </w:pPr>
    </w:p>
    <w:p>
      <w:pPr>
        <w:ind w:right="2099" w:firstLine="1904"/>
        <w:spacing w:after="0" w:line="237" w:lineRule="auto"/>
        <w:tabs>
          <w:tab w:leader="none" w:pos="2528" w:val="left"/>
        </w:tabs>
        <w:numPr>
          <w:ilvl w:val="3"/>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one hundred percent (100%) of the aggregate exercise price, plus accrued interest, shall be due four (4) years from date of exercise or, at the Company's election, upon termination of your Continuous Service.</w:t>
      </w:r>
    </w:p>
    <w:p>
      <w:pPr>
        <w:spacing w:after="0" w:line="207" w:lineRule="exact"/>
        <w:rPr>
          <w:rFonts w:ascii="Courier New" w:cs="Courier New" w:eastAsia="Courier New" w:hAnsi="Courier New"/>
          <w:sz w:val="18"/>
          <w:szCs w:val="18"/>
          <w:color w:val="auto"/>
        </w:rPr>
      </w:pPr>
    </w:p>
    <w:p>
      <w:pPr>
        <w:ind w:right="1779" w:firstLine="1904"/>
        <w:spacing w:after="0" w:line="268" w:lineRule="auto"/>
        <w:tabs>
          <w:tab w:leader="none" w:pos="2528" w:val="left"/>
        </w:tabs>
        <w:numPr>
          <w:ilvl w:val="3"/>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w:t>
      </w:r>
    </w:p>
    <w:p>
      <w:pPr>
        <w:ind w:right="2199" w:firstLine="8"/>
        <w:spacing w:after="0" w:line="235"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treatment of the Option as a variable award for financial accounting purposes.</w:t>
      </w:r>
    </w:p>
    <w:p>
      <w:pPr>
        <w:spacing w:after="0" w:line="208" w:lineRule="exact"/>
        <w:rPr>
          <w:rFonts w:ascii="Courier New" w:cs="Courier New" w:eastAsia="Courier New" w:hAnsi="Courier New"/>
          <w:sz w:val="18"/>
          <w:szCs w:val="18"/>
          <w:color w:val="auto"/>
        </w:rPr>
      </w:pPr>
    </w:p>
    <w:p>
      <w:pPr>
        <w:ind w:right="1879" w:firstLine="1904"/>
        <w:spacing w:after="0" w:line="279" w:lineRule="auto"/>
        <w:tabs>
          <w:tab w:leader="none" w:pos="2528" w:val="left"/>
        </w:tabs>
        <w:numPr>
          <w:ilvl w:val="3"/>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that the Company is incorporated in Delaware, payment of the Common Stock's "par value," as defined in the Delaware General Corporation Law, shall be made in cash and not by deferred payment.</w:t>
      </w:r>
    </w:p>
    <w:p>
      <w:pPr>
        <w:spacing w:after="0" w:line="178" w:lineRule="exact"/>
        <w:rPr>
          <w:rFonts w:ascii="Courier New" w:cs="Courier New" w:eastAsia="Courier New" w:hAnsi="Courier New"/>
          <w:sz w:val="16"/>
          <w:szCs w:val="16"/>
          <w:color w:val="auto"/>
        </w:rPr>
      </w:pPr>
    </w:p>
    <w:p>
      <w:pPr>
        <w:jc w:val="both"/>
        <w:ind w:right="1879" w:firstLine="1904"/>
        <w:spacing w:after="0" w:line="236" w:lineRule="auto"/>
        <w:tabs>
          <w:tab w:leader="none" w:pos="2528" w:val="left"/>
        </w:tabs>
        <w:numPr>
          <w:ilvl w:val="3"/>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elect the deferred payment alternative, you must, as a part of your written notice of exercise, give notice of the election of this payment alternative and,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64" w:name="page65"/>
    <w:bookmarkEnd w:id="64"/>
    <w:p>
      <w:pPr>
        <w:ind w:right="1879"/>
        <w:spacing w:after="0" w:line="237" w:lineRule="auto"/>
        <w:rPr>
          <w:sz w:val="20"/>
          <w:szCs w:val="20"/>
          <w:color w:val="auto"/>
        </w:rPr>
      </w:pPr>
      <w:r>
        <w:rPr>
          <w:rFonts w:ascii="Courier New" w:cs="Courier New" w:eastAsia="Courier New" w:hAnsi="Courier New"/>
          <w:sz w:val="18"/>
          <w:szCs w:val="18"/>
          <w:color w:val="auto"/>
        </w:rPr>
        <w:t>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209" w:lineRule="exact"/>
        <w:rPr>
          <w:sz w:val="20"/>
          <w:szCs w:val="20"/>
          <w:color w:val="auto"/>
        </w:rPr>
      </w:pPr>
    </w:p>
    <w:p>
      <w:pPr>
        <w:ind w:right="1879" w:firstLine="640"/>
        <w:spacing w:after="0" w:line="235"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WHOLE SHARES. You may exercise your option only for whole shares of Common Stock.</w:t>
      </w:r>
    </w:p>
    <w:p>
      <w:pPr>
        <w:spacing w:after="0" w:line="208" w:lineRule="exact"/>
        <w:rPr>
          <w:rFonts w:ascii="Courier New" w:cs="Courier New" w:eastAsia="Courier New" w:hAnsi="Courier New"/>
          <w:sz w:val="18"/>
          <w:szCs w:val="18"/>
          <w:color w:val="auto"/>
        </w:rPr>
      </w:pPr>
    </w:p>
    <w:p>
      <w:pPr>
        <w:ind w:right="1779" w:firstLine="640"/>
        <w:spacing w:after="0" w:line="271" w:lineRule="auto"/>
        <w:tabs>
          <w:tab w:leader="none" w:pos="126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83" w:lineRule="exact"/>
        <w:rPr>
          <w:rFonts w:ascii="Courier New" w:cs="Courier New" w:eastAsia="Courier New" w:hAnsi="Courier New"/>
          <w:sz w:val="16"/>
          <w:szCs w:val="16"/>
          <w:color w:val="auto"/>
        </w:rPr>
      </w:pPr>
    </w:p>
    <w:p>
      <w:pPr>
        <w:ind w:right="1879" w:firstLine="640"/>
        <w:spacing w:after="0" w:line="236"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You may not exercise your option before the commencement or after the expiration of its term. The term of your option commences on the Date of Grant and expires upon the earliest of the following:</w:t>
      </w:r>
    </w:p>
    <w:p>
      <w:pPr>
        <w:spacing w:after="0" w:line="208" w:lineRule="exact"/>
        <w:rPr>
          <w:rFonts w:ascii="Courier New" w:cs="Courier New" w:eastAsia="Courier New" w:hAnsi="Courier New"/>
          <w:sz w:val="18"/>
          <w:szCs w:val="18"/>
          <w:color w:val="auto"/>
        </w:rPr>
      </w:pPr>
    </w:p>
    <w:p>
      <w:pPr>
        <w:ind w:right="1879" w:firstLine="1272"/>
        <w:spacing w:after="0" w:line="271" w:lineRule="auto"/>
        <w:tabs>
          <w:tab w:leader="none" w:pos="1896"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less than fifty five (55) years old at the time of such termination of your Continuous Service, three (3) months after the termination of your Continuous Service for any reason other than Cause or upon your Disability or death, provided that if during any part of such three (3) month period your option is not exercisable solely because of the condition set forth in Section 7, your option shall not expire until the earlier of the Expiration Date or until it shall have been exercisable for an aggregate period of three (3) months after the termination of your Continuous Service;</w:t>
      </w:r>
    </w:p>
    <w:p>
      <w:pPr>
        <w:spacing w:after="0" w:line="185" w:lineRule="exact"/>
        <w:rPr>
          <w:rFonts w:ascii="Courier New" w:cs="Courier New" w:eastAsia="Courier New" w:hAnsi="Courier New"/>
          <w:sz w:val="16"/>
          <w:szCs w:val="16"/>
          <w:color w:val="auto"/>
        </w:rPr>
      </w:pPr>
    </w:p>
    <w:p>
      <w:pPr>
        <w:ind w:right="1879" w:firstLine="1272"/>
        <w:spacing w:after="0" w:line="236"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less than fifty five (55) years old at the time of such termination of your Continuous Service, twelve (12) months after the termination of your Continuous Service due to your Disability;</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less than fifty five (55) years old at the time of such termination of your Continuous Service, eighteen (18) months after your death if you die either during your Continuous Service or within three (3) months after your Continuous Service terminates;</w:t>
      </w:r>
    </w:p>
    <w:p>
      <w:pPr>
        <w:spacing w:after="0" w:line="207" w:lineRule="exact"/>
        <w:rPr>
          <w:rFonts w:ascii="Courier New" w:cs="Courier New" w:eastAsia="Courier New" w:hAnsi="Courier New"/>
          <w:sz w:val="18"/>
          <w:szCs w:val="18"/>
          <w:color w:val="auto"/>
        </w:rPr>
      </w:pPr>
    </w:p>
    <w:p>
      <w:pPr>
        <w:ind w:right="1999" w:firstLine="1272"/>
        <w:spacing w:after="0" w:line="236" w:lineRule="auto"/>
        <w:tabs>
          <w:tab w:leader="none" w:pos="1896"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fifty five (55) years or older at the time of termination of your Continuous Service for any reason other than Cause, twenty four (24) months after such termination of your Continuous Service;</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Date indicated in your Grant Notice; or</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before the tenth (10th) anniversary of the Date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w:t>
      </w:r>
    </w:p>
    <w:p>
      <w:pPr>
        <w:spacing w:after="0" w:line="207"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If your option is an Incentive Stock Option, note that to obtain the federal income tax advantages associated with an Incentive Stock Option, the Code requires that at all times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65" w:name="page66"/>
    <w:bookmarkEnd w:id="65"/>
    <w:p>
      <w:pPr>
        <w:ind w:right="1779"/>
        <w:spacing w:after="0" w:line="270" w:lineRule="auto"/>
        <w:rPr>
          <w:sz w:val="20"/>
          <w:szCs w:val="20"/>
          <w:color w:val="auto"/>
        </w:rPr>
      </w:pPr>
      <w:r>
        <w:rPr>
          <w:rFonts w:ascii="Courier New" w:cs="Courier New" w:eastAsia="Courier New" w:hAnsi="Courier New"/>
          <w:sz w:val="16"/>
          <w:szCs w:val="16"/>
          <w:color w:val="auto"/>
        </w:rPr>
        <w:t>beginning on the date of grant of your option and ending on the day three (3) months before the date of your option's exercise, you must be an employee of the Company or an Affiliate, except in the event of your death or your permanent and total disability, as defined in Section 22(e) of the Code.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84" w:lineRule="exact"/>
        <w:rPr>
          <w:sz w:val="20"/>
          <w:szCs w:val="20"/>
          <w:color w:val="auto"/>
        </w:rPr>
      </w:pPr>
    </w:p>
    <w:p>
      <w:pPr>
        <w:ind w:left="1280" w:hanging="640"/>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896"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209" w:lineRule="exact"/>
        <w:rPr>
          <w:rFonts w:ascii="Courier New" w:cs="Courier New" w:eastAsia="Courier New" w:hAnsi="Courier New"/>
          <w:sz w:val="18"/>
          <w:szCs w:val="18"/>
          <w:color w:val="auto"/>
        </w:rPr>
      </w:pPr>
    </w:p>
    <w:p>
      <w:pPr>
        <w:ind w:right="1999" w:firstLine="1272"/>
        <w:spacing w:after="0" w:line="237" w:lineRule="auto"/>
        <w:tabs>
          <w:tab w:leader="none" w:pos="1896" w:val="left"/>
        </w:tabs>
        <w:numPr>
          <w:ilvl w:val="2"/>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211" w:lineRule="exact"/>
        <w:rPr>
          <w:rFonts w:ascii="Courier New" w:cs="Courier New" w:eastAsia="Courier New" w:hAnsi="Courier New"/>
          <w:sz w:val="18"/>
          <w:szCs w:val="18"/>
          <w:color w:val="auto"/>
        </w:rPr>
      </w:pPr>
    </w:p>
    <w:p>
      <w:pPr>
        <w:ind w:right="1779" w:firstLine="1272"/>
        <w:spacing w:after="0" w:line="268" w:lineRule="auto"/>
        <w:tabs>
          <w:tab w:leader="none" w:pos="1896" w:val="left"/>
        </w:tabs>
        <w:numPr>
          <w:ilvl w:val="2"/>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option is an Incentive Stock Option, by exercising your option you agree that you will notify the Company in writing within fifteen</w:t>
      </w:r>
    </w:p>
    <w:p>
      <w:pPr>
        <w:ind w:right="1779" w:firstLine="8"/>
        <w:spacing w:after="0" w:line="237"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date of any disposition of any of the shares of the Common Stock issued upon exercise of your option that occurs within two (2) years after the date of your option grant or within one (1) year after such shares of Common Stock are transferred upon exercise of your option.</w:t>
      </w:r>
    </w:p>
    <w:p>
      <w:pPr>
        <w:spacing w:after="0" w:line="207" w:lineRule="exact"/>
        <w:rPr>
          <w:rFonts w:ascii="Courier New" w:cs="Courier New" w:eastAsia="Courier New" w:hAnsi="Courier New"/>
          <w:sz w:val="18"/>
          <w:szCs w:val="18"/>
          <w:color w:val="auto"/>
        </w:rPr>
      </w:pPr>
    </w:p>
    <w:p>
      <w:pPr>
        <w:ind w:right="1879" w:firstLine="640"/>
        <w:spacing w:after="0" w:line="237" w:lineRule="auto"/>
        <w:tabs>
          <w:tab w:leader="none" w:pos="12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Your option is not transferable, except by will or by the laws of descent and distribution, and is exercisable during your life only by you. Notwithstanding the foregoing, by delivering written notice to the Company, in a form satisfactory to the Company, you may designate a third party who, in the event of your death, shall thereafter be entitled to exercise your option.</w:t>
      </w:r>
    </w:p>
    <w:p>
      <w:pPr>
        <w:spacing w:after="0" w:line="209"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A SERVICE CONTRACT. Your option is not an employment or service contract, and nothing in 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66" w:name="page67"/>
    <w:bookmarkEnd w:id="66"/>
    <w:p>
      <w:pPr>
        <w:ind w:left="640" w:hanging="640"/>
        <w:spacing w:after="0"/>
        <w:tabs>
          <w:tab w:leader="none" w:pos="6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OBLIGATIONS.</w:t>
      </w:r>
    </w:p>
    <w:p>
      <w:pPr>
        <w:spacing w:after="0" w:line="206" w:lineRule="exact"/>
        <w:rPr>
          <w:rFonts w:ascii="Courier New" w:cs="Courier New" w:eastAsia="Courier New" w:hAnsi="Courier New"/>
          <w:sz w:val="18"/>
          <w:szCs w:val="18"/>
          <w:color w:val="auto"/>
        </w:rPr>
      </w:pPr>
    </w:p>
    <w:p>
      <w:pPr>
        <w:ind w:left="-640" w:right="1879" w:firstLine="1272"/>
        <w:spacing w:after="0" w:line="237" w:lineRule="auto"/>
        <w:tabs>
          <w:tab w:leader="none" w:pos="1256"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213" w:lineRule="exact"/>
        <w:rPr>
          <w:rFonts w:ascii="Courier New" w:cs="Courier New" w:eastAsia="Courier New" w:hAnsi="Courier New"/>
          <w:sz w:val="18"/>
          <w:szCs w:val="18"/>
          <w:color w:val="auto"/>
        </w:rPr>
      </w:pPr>
    </w:p>
    <w:p>
      <w:pPr>
        <w:ind w:left="-640" w:right="1779" w:firstLine="1272"/>
        <w:spacing w:after="0" w:line="269" w:lineRule="auto"/>
        <w:tabs>
          <w:tab w:leader="none" w:pos="1256"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variable award accounting).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394" w:lineRule="exact"/>
        <w:rPr>
          <w:rFonts w:ascii="Courier New" w:cs="Courier New" w:eastAsia="Courier New" w:hAnsi="Courier New"/>
          <w:sz w:val="16"/>
          <w:szCs w:val="16"/>
          <w:color w:val="auto"/>
        </w:rPr>
      </w:pPr>
    </w:p>
    <w:p>
      <w:pPr>
        <w:ind w:left="-640" w:right="1779" w:firstLine="1272"/>
        <w:spacing w:after="0" w:line="272" w:lineRule="auto"/>
        <w:tabs>
          <w:tab w:leader="none" w:pos="1256"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85" w:lineRule="exact"/>
        <w:rPr>
          <w:rFonts w:ascii="Courier New" w:cs="Courier New" w:eastAsia="Courier New" w:hAnsi="Courier New"/>
          <w:sz w:val="16"/>
          <w:szCs w:val="16"/>
          <w:color w:val="auto"/>
        </w:rPr>
      </w:pPr>
    </w:p>
    <w:p>
      <w:pPr>
        <w:ind w:left="-640" w:right="1779" w:firstLine="640"/>
        <w:spacing w:after="0" w:line="237" w:lineRule="auto"/>
        <w:tabs>
          <w:tab w:leader="none" w:pos="62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notices provided for in your option or the Plan shall be given in writing and shall be deemed effectively given upon receipt or, in the case of notices delivered by mail by the Company to you, five (5) days after deposit in the United States mail, postage prepaid, addressed to you at the last address you provided to the Company.</w:t>
      </w:r>
    </w:p>
    <w:p>
      <w:pPr>
        <w:spacing w:after="0" w:line="208" w:lineRule="exact"/>
        <w:rPr>
          <w:rFonts w:ascii="Courier New" w:cs="Courier New" w:eastAsia="Courier New" w:hAnsi="Courier New"/>
          <w:sz w:val="18"/>
          <w:szCs w:val="18"/>
          <w:color w:val="auto"/>
        </w:rPr>
      </w:pPr>
    </w:p>
    <w:p>
      <w:pPr>
        <w:ind w:left="-640" w:right="1779" w:firstLine="640"/>
        <w:spacing w:after="0" w:line="237" w:lineRule="auto"/>
        <w:tabs>
          <w:tab w:leader="none" w:pos="624"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579"/>
          </w:cols>
          <w:pgMar w:left="880" w:top="717" w:right="1440" w:bottom="1440" w:gutter="0" w:footer="0" w:header="0"/>
        </w:sectPr>
      </w:pPr>
    </w:p>
    <w:bookmarkStart w:id="67" w:name="page68"/>
    <w:bookmarkEnd w:id="67"/>
    <w:p>
      <w:pPr>
        <w:ind w:left="1272" w:hanging="640"/>
        <w:spacing w:after="0"/>
        <w:tabs>
          <w:tab w:leader="none" w:pos="1272"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spacing w:after="0" w:line="201" w:lineRule="exact"/>
        <w:rPr>
          <w:rFonts w:ascii="Courier New" w:cs="Courier New" w:eastAsia="Courier New" w:hAnsi="Courier New"/>
          <w:sz w:val="18"/>
          <w:szCs w:val="18"/>
          <w:color w:val="auto"/>
        </w:rPr>
      </w:pPr>
    </w:p>
    <w:p>
      <w:pPr>
        <w:ind w:left="1892" w:hanging="628"/>
        <w:spacing w:after="0"/>
        <w:tabs>
          <w:tab w:leader="none" w:pos="1892"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Change in Control occurs and as of, or within thirteen</w:t>
      </w:r>
    </w:p>
    <w:p>
      <w:pPr>
        <w:spacing w:after="0" w:line="4" w:lineRule="exact"/>
        <w:rPr>
          <w:rFonts w:ascii="Courier New" w:cs="Courier New" w:eastAsia="Courier New" w:hAnsi="Courier New"/>
          <w:sz w:val="18"/>
          <w:szCs w:val="18"/>
          <w:color w:val="auto"/>
        </w:rPr>
      </w:pPr>
    </w:p>
    <w:p>
      <w:pPr>
        <w:ind w:left="-8" w:right="1879" w:firstLine="8"/>
        <w:spacing w:after="0" w:line="273" w:lineRule="auto"/>
        <w:tabs>
          <w:tab w:leader="none" w:pos="51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after, the effective time of such Change in Control your Continuous Service terminates due to an involuntary termination (not including death or Disability) without Cause or due to a voluntary termination with Good Reason, then, as of the date of termination of Continuous Service, the vesting and exercisability of your option shall be accelerated in full.</w:t>
      </w:r>
    </w:p>
    <w:p>
      <w:pPr>
        <w:spacing w:after="0" w:line="184" w:lineRule="exact"/>
        <w:rPr>
          <w:rFonts w:ascii="Courier New" w:cs="Courier New" w:eastAsia="Courier New" w:hAnsi="Courier New"/>
          <w:sz w:val="16"/>
          <w:szCs w:val="16"/>
          <w:color w:val="auto"/>
        </w:rPr>
      </w:pPr>
    </w:p>
    <w:p>
      <w:pPr>
        <w:ind w:left="-8" w:right="1779" w:firstLine="1272"/>
        <w:spacing w:after="0" w:line="238" w:lineRule="auto"/>
        <w:tabs>
          <w:tab w:leader="none" w:pos="1888"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REASON" means that one or more of the following are undertaken by the Company without your express written consent: (i) the assignment to you of any duties or responsibilities that results in a material diminution in your function as in effect immediately prior to the effective date of the Change in Control; provided, however, that a change in your title or reporting relationships shall not provide the basis for a voluntary termination with Good Reason; (ii) a material reduction by the Company in your annual base salary, as in effect on the effective date of the Change in Control or as increased thereafter; provided, however, that Good Reason shall not be deemed to have occurred in the event of a reduction in your annual base salary that is pursuant to a salary reduction program affecting substantially all of the employees of the Company and that does not adversely affect you to a greater extent than other similarly situated employees; (iii) any failure by the Company to continue in effect any benefit plan or program, including incentive plans or plans with respect to the receipt of securities of the Company, in which you were participating immediately prior to the effective date of the Change in Control (hereinafter referred to as "BENEFIT PLANS"), or the taking of any action by the Company that would adversely affect your participation in or reduce your benefits under the Benefit Plans or deprive you of any fringe benefit that you enjoyed immediately prior to the effective date of the Change in Control; provided, however, that Good Reason shall not be deemed to have occurred if the Company provides for your participation in benefit plans and programs that, taken as a whole, are comparable to the Benefit Plans; (iv) a relocation of your business office to a location more than fifty (50) miles from the location at which you performed your duties as of the effective date of the Change in Control, except for required travel by you on the Company's business to an extent substantially consistent with your business travel obligations prior to the effective date of the Change in Control; or (v) a material breach by the Company of any provision of the Plan or the Option Agreement or any other material agreement between you and the Company concerning the terms and conditions of your employment.</w:t>
      </w:r>
    </w:p>
    <w:p>
      <w:pPr>
        <w:spacing w:after="0" w:line="214" w:lineRule="exact"/>
        <w:rPr>
          <w:rFonts w:ascii="Courier New" w:cs="Courier New" w:eastAsia="Courier New" w:hAnsi="Courier New"/>
          <w:sz w:val="18"/>
          <w:szCs w:val="18"/>
          <w:color w:val="auto"/>
        </w:rPr>
      </w:pPr>
    </w:p>
    <w:p>
      <w:pPr>
        <w:ind w:left="-8" w:right="1779" w:firstLine="1272"/>
        <w:spacing w:after="0" w:line="269" w:lineRule="auto"/>
        <w:tabs>
          <w:tab w:leader="none" w:pos="1888"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payment or benefit you would receive pursuant to a Change in Control from the Company or otherwise ("PAYMENT") would (i) constitute a "parachute payment" within the meaning of Section 280G of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following order unless you elect in writing a different order</w:t>
      </w:r>
    </w:p>
    <w:p>
      <w:pPr>
        <w:spacing w:after="0" w:line="391"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1"/>
          </w:cols>
          <w:pgMar w:left="248" w:top="717" w:right="1440" w:bottom="144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(provided, however, that such election shall be subject to Company approval if made on or after the effective date of the event that triggers the Payment):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your Stock Awards (i.e., earliest granted Stock Award cancelled last) unless you elect in writing a different order for cancellation.</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accounting firm engaged by the Company for general audit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accounting firm engaged to make the determinations hereunder shall provide its calculations, together with detailed supporting documentation, to you and the Company within fifteen (15) calendar days after the date on which your right to a Payment is triggered (if requested at that time by you or the Company) or such other time as requested by you or the Company. If the accounting firm determines that no Excise Tax is payable with respect to a Payment, either before or after the application of the Reduced Amount, it shall furnish you and the Company with an opinion reasonably acceptable to you that no Excise Tax will be imposed with respect to such Payment. Any good faith determinations of the accounting firm made hereunder shall be final, binding and conclusive upon you and the Company.</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EXECUTIVE OFFICER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85" w:lineRule="exact"/>
        <w:rPr>
          <w:sz w:val="20"/>
          <w:szCs w:val="20"/>
          <w:color w:val="auto"/>
        </w:rPr>
      </w:pPr>
    </w:p>
    <w:p>
      <w:pPr>
        <w:ind w:left="420" w:hanging="187"/>
        <w:spacing w:after="0"/>
        <w:tabs>
          <w:tab w:leader="none" w:pos="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420" w:firstLine="233"/>
        <w:spacing w:after="0" w:line="342" w:lineRule="auto"/>
        <w:tabs>
          <w:tab w:leader="none" w:pos="4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480" w:firstLine="233"/>
        <w:spacing w:after="0" w:line="277" w:lineRule="auto"/>
        <w:tabs>
          <w:tab w:leader="none" w:pos="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720" w:firstLine="233"/>
        <w:spacing w:after="0" w:line="277" w:lineRule="auto"/>
        <w:tabs>
          <w:tab w:leader="none" w:pos="4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60" w:right="220" w:hanging="254"/>
        <w:spacing w:after="0" w:line="264" w:lineRule="auto"/>
        <w:tabs>
          <w:tab w:leader="none" w:pos="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60" w:right="720" w:hanging="264"/>
        <w:spacing w:after="0" w:line="342" w:lineRule="auto"/>
        <w:tabs>
          <w:tab w:leader="none" w:pos="9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hanging="254"/>
        <w:spacing w:after="0" w:line="342" w:lineRule="auto"/>
        <w:tabs>
          <w:tab w:leader="none" w:pos="9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00" w:firstLine="233"/>
        <w:spacing w:after="0" w:line="308" w:lineRule="auto"/>
        <w:tabs>
          <w:tab w:leader="none" w:pos="40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180" w:hanging="254"/>
        <w:spacing w:after="0" w:line="308" w:lineRule="auto"/>
        <w:tabs>
          <w:tab w:leader="none" w:pos="9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0" w:right="140" w:hanging="264"/>
        <w:spacing w:after="0" w:line="277" w:lineRule="auto"/>
        <w:tabs>
          <w:tab w:leader="none" w:pos="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2004</w:t>
      </w:r>
    </w:p>
    <w:p>
      <w:pPr>
        <w:spacing w:after="0" w:line="200" w:lineRule="exact"/>
        <w:rPr>
          <w:sz w:val="20"/>
          <w:szCs w:val="20"/>
          <w:color w:val="auto"/>
        </w:rPr>
      </w:pPr>
    </w:p>
    <w:p>
      <w:pPr>
        <w:spacing w:after="0" w:line="20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74930</wp:posOffset>
            </wp:positionV>
            <wp:extent cx="1724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40" w:top="134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CERTIFICATION OF CHIEF FINANCIAL OFFICER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98" w:lineRule="exact"/>
        <w:rPr>
          <w:sz w:val="20"/>
          <w:szCs w:val="20"/>
          <w:color w:val="auto"/>
        </w:rPr>
      </w:pPr>
    </w:p>
    <w:p>
      <w:pPr>
        <w:ind w:left="420" w:hanging="187"/>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84" w:lineRule="exact"/>
        <w:rPr>
          <w:rFonts w:ascii="Arial" w:cs="Arial" w:eastAsia="Arial" w:hAnsi="Arial"/>
          <w:sz w:val="18"/>
          <w:szCs w:val="18"/>
          <w:color w:val="auto"/>
        </w:rPr>
      </w:pPr>
    </w:p>
    <w:p>
      <w:pPr>
        <w:ind w:right="420" w:firstLine="233"/>
        <w:spacing w:after="0" w:line="342" w:lineRule="auto"/>
        <w:tabs>
          <w:tab w:leader="none" w:pos="4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80" w:firstLine="233"/>
        <w:spacing w:after="0" w:line="277" w:lineRule="auto"/>
        <w:tabs>
          <w:tab w:leader="none" w:pos="4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720" w:firstLine="233"/>
        <w:spacing w:after="0" w:line="277" w:lineRule="auto"/>
        <w:tabs>
          <w:tab w:leader="none" w:pos="4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960" w:right="240" w:hanging="254"/>
        <w:spacing w:after="0" w:line="264" w:lineRule="auto"/>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particularly during the period in which this report is being prepared;</w:t>
      </w:r>
    </w:p>
    <w:p>
      <w:pPr>
        <w:spacing w:after="0" w:line="181" w:lineRule="exact"/>
        <w:rPr>
          <w:rFonts w:ascii="Arial" w:cs="Arial" w:eastAsia="Arial" w:hAnsi="Arial"/>
          <w:sz w:val="18"/>
          <w:szCs w:val="18"/>
          <w:color w:val="auto"/>
        </w:rPr>
      </w:pPr>
    </w:p>
    <w:p>
      <w:pPr>
        <w:jc w:val="both"/>
        <w:ind w:left="960" w:right="720" w:hanging="264"/>
        <w:spacing w:after="0" w:line="342" w:lineRule="auto"/>
        <w:tabs>
          <w:tab w:leader="none" w:pos="9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60" w:hanging="254"/>
        <w:spacing w:after="0" w:line="342" w:lineRule="auto"/>
        <w:tabs>
          <w:tab w:leader="none" w:pos="9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400" w:firstLine="233"/>
        <w:spacing w:after="0" w:line="308" w:lineRule="auto"/>
        <w:tabs>
          <w:tab w:leader="none" w:pos="40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60" w:right="180" w:hanging="254"/>
        <w:spacing w:after="0" w:line="308" w:lineRule="auto"/>
        <w:tabs>
          <w:tab w:leader="none" w:pos="9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60" w:right="140" w:hanging="264"/>
        <w:spacing w:after="0" w:line="277" w:lineRule="auto"/>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2004</w:t>
      </w:r>
    </w:p>
    <w:p>
      <w:pPr>
        <w:spacing w:after="0" w:line="200" w:lineRule="exact"/>
        <w:rPr>
          <w:sz w:val="20"/>
          <w:szCs w:val="20"/>
          <w:color w:val="auto"/>
        </w:rPr>
      </w:pPr>
    </w:p>
    <w:p>
      <w:pPr>
        <w:spacing w:after="0" w:line="20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74930</wp:posOffset>
            </wp:positionV>
            <wp:extent cx="1646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40" w:top="936"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Alfred E. Mann, Chief Executive Officer of MannKind Corporation (the “Company”), certify, pursuant to Section 906 of the Sarbanes-Oxley Act of 2002, 18 U.S.C. Section 1350, that to my knowledge:</w:t>
      </w:r>
    </w:p>
    <w:p>
      <w:pPr>
        <w:spacing w:after="0" w:line="130" w:lineRule="exact"/>
        <w:rPr>
          <w:sz w:val="20"/>
          <w:szCs w:val="20"/>
          <w:color w:val="auto"/>
        </w:rPr>
      </w:pPr>
    </w:p>
    <w:p>
      <w:pPr>
        <w:ind w:firstLine="233"/>
        <w:spacing w:after="0" w:line="277" w:lineRule="auto"/>
        <w:tabs>
          <w:tab w:leader="none" w:pos="4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2004 (the “Report”) fully complies with the requirements of section 13(a) or 15(d) of the Securities Exchange Act of 1934; and</w:t>
      </w:r>
    </w:p>
    <w:p>
      <w:pPr>
        <w:spacing w:after="0" w:line="143" w:lineRule="exact"/>
        <w:rPr>
          <w:rFonts w:ascii="Arial" w:cs="Arial" w:eastAsia="Arial" w:hAnsi="Arial"/>
          <w:sz w:val="18"/>
          <w:szCs w:val="18"/>
          <w:color w:val="auto"/>
        </w:rPr>
      </w:pPr>
    </w:p>
    <w:p>
      <w:pPr>
        <w:ind w:right="20" w:firstLine="233"/>
        <w:spacing w:after="0" w:line="277" w:lineRule="auto"/>
        <w:tabs>
          <w:tab w:leader="none" w:pos="4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September 3, 2004</w:t>
      </w:r>
    </w:p>
    <w:p>
      <w:pPr>
        <w:spacing w:after="0" w:line="200" w:lineRule="exact"/>
        <w:rPr>
          <w:sz w:val="20"/>
          <w:szCs w:val="20"/>
          <w:color w:val="auto"/>
        </w:rPr>
      </w:pPr>
    </w:p>
    <w:p>
      <w:pPr>
        <w:spacing w:after="0" w:line="20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74930</wp:posOffset>
            </wp:positionV>
            <wp:extent cx="1800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Chief Executive Officer</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Richard L. Anderson, Chief Financial Officer of MannKind Corporation (the “Company”), certify pursuant to Section 906 of the Sarbanes-Oxley Act of 2002, 18 U.S.C. Section 1350, that to my knowledge:</w:t>
      </w:r>
    </w:p>
    <w:p>
      <w:pPr>
        <w:spacing w:after="0" w:line="130" w:lineRule="exact"/>
        <w:rPr>
          <w:sz w:val="20"/>
          <w:szCs w:val="20"/>
          <w:color w:val="auto"/>
        </w:rPr>
      </w:pPr>
    </w:p>
    <w:p>
      <w:pPr>
        <w:ind w:firstLine="233"/>
        <w:spacing w:after="0" w:line="277" w:lineRule="auto"/>
        <w:tabs>
          <w:tab w:leader="none" w:pos="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2004 (the “Report”)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20" w:firstLine="233"/>
        <w:spacing w:after="0" w:line="277" w:lineRule="auto"/>
        <w:tabs>
          <w:tab w:leader="none" w:pos="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September 3, 2004</w:t>
      </w: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74930</wp:posOffset>
            </wp:positionV>
            <wp:extent cx="1886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14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sectPr>
      <w:pgSz w:w="11900" w:h="16838" w:orient="portrait"/>
      <w:cols w:equalWidth="0" w:num="1">
        <w:col w:w="11360"/>
      </w:cols>
      <w:pgMar w:left="240" w:top="93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upperLetter"/>
      <w:start w:val="35"/>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32"/>
    </w:lvl>
  </w:abstractNum>
  <w:abstractNum w:abstractNumId="15">
    <w:nsid w:val="70A64E2A"/>
    <w:multiLevelType w:val="hybridMultilevel"/>
    <w:lvl w:ilvl="0">
      <w:lvlJc w:val="left"/>
      <w:lvlText w:val="%1."/>
      <w:numFmt w:val="decimal"/>
      <w:start w:val="1"/>
    </w:lvl>
    <w:lvl w:ilvl="1">
      <w:lvlJc w:val="left"/>
      <w:lvlText w:val="(%2)"/>
      <w:numFmt w:val="lowerLetter"/>
      <w:start w:val="1"/>
    </w:lvl>
  </w:abstractNum>
  <w:abstractNum w:abstractNumId="16">
    <w:nsid w:val="6A2342EC"/>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17">
    <w:nsid w:val="2A487CB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8">
    <w:nsid w:val="1D4ED43B"/>
    <w:multiLevelType w:val="hybridMultilevel"/>
    <w:lvl w:ilvl="0">
      <w:lvlJc w:val="left"/>
      <w:lvlText w:val="(%1)"/>
      <w:numFmt w:val="lowerRoman"/>
      <w:start w:val="3"/>
    </w:lvl>
  </w:abstractNum>
  <w:abstractNum w:abstractNumId="19">
    <w:nsid w:val="725A06FB"/>
    <w:multiLevelType w:val="hybridMultilevel"/>
    <w:lvl w:ilvl="0">
      <w:lvlJc w:val="left"/>
      <w:lvlText w:val="(%1)"/>
      <w:numFmt w:val="lowerLetter"/>
      <w:start w:val="6"/>
    </w:lvl>
  </w:abstractNum>
  <w:abstractNum w:abstractNumId="20">
    <w:nsid w:val="2CD89A32"/>
    <w:multiLevelType w:val="hybridMultilevel"/>
    <w:lvl w:ilvl="0">
      <w:lvlJc w:val="left"/>
      <w:lvlText w:val="(%1)"/>
      <w:numFmt w:val="lowerLetter"/>
      <w:start w:val="12"/>
    </w:lvl>
    <w:lvl w:ilvl="1">
      <w:lvlJc w:val="left"/>
      <w:lvlText w:val="(%2)"/>
      <w:numFmt w:val="lowerRoman"/>
      <w:start w:val="1"/>
    </w:lvl>
  </w:abstractNum>
  <w:abstractNum w:abstractNumId="21">
    <w:nsid w:val="57E4CCAF"/>
    <w:multiLevelType w:val="hybridMultilevel"/>
    <w:lvl w:ilvl="0">
      <w:lvlJc w:val="left"/>
      <w:lvlText w:val="(%1)"/>
      <w:numFmt w:val="lowerLetter"/>
      <w:start w:val="20"/>
    </w:lvl>
    <w:lvl w:ilvl="1">
      <w:lvlJc w:val="left"/>
      <w:lvlText w:val="(%2)"/>
      <w:numFmt w:val="lowerRoman"/>
      <w:start w:val="1"/>
    </w:lvl>
  </w:abstractNum>
  <w:abstractNum w:abstractNumId="22">
    <w:nsid w:val="7A6D8D3C"/>
    <w:multiLevelType w:val="hybridMultilevel"/>
    <w:lvl w:ilvl="0">
      <w:lvlJc w:val="left"/>
      <w:lvlText w:val="(%1)"/>
      <w:numFmt w:val="lowerLetter"/>
      <w:start w:val="27"/>
    </w:lvl>
  </w:abstractNum>
  <w:abstractNum w:abstractNumId="23">
    <w:nsid w:val="4B588F54"/>
    <w:multiLevelType w:val="hybridMultilevel"/>
    <w:lvl w:ilvl="0">
      <w:lvlJc w:val="left"/>
      <w:lvlText w:val="(%1)"/>
      <w:numFmt w:val="lowerLetter"/>
      <w:start w:val="28"/>
    </w:lvl>
  </w:abstractNum>
  <w:abstractNum w:abstractNumId="24">
    <w:nsid w:val="542289EC"/>
    <w:multiLevelType w:val="hybridMultilevel"/>
    <w:lvl w:ilvl="0">
      <w:lvlJc w:val="left"/>
      <w:lvlText w:val="%1"/>
      <w:numFmt w:val="decimal"/>
      <w:start w:val="1"/>
    </w:lvl>
    <w:lvl w:ilvl="1">
      <w:lvlJc w:val="left"/>
      <w:lvlText w:val="(%2)"/>
      <w:numFmt w:val="lowerLetter"/>
      <w:start w:val="39"/>
    </w:lvl>
    <w:lvl w:ilvl="2">
      <w:lvlJc w:val="left"/>
      <w:lvlText w:val="%3"/>
      <w:numFmt w:val="lowerLetter"/>
      <w:start w:val="1"/>
    </w:lvl>
  </w:abstractNum>
  <w:abstractNum w:abstractNumId="25">
    <w:nsid w:val="6DE91B1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6">
    <w:nsid w:val="38437FDB"/>
    <w:multiLevelType w:val="hybridMultilevel"/>
    <w:lvl w:ilvl="0">
      <w:lvlJc w:val="left"/>
      <w:lvlText w:val="%1"/>
      <w:numFmt w:val="lowerLetter"/>
      <w:start w:val="1"/>
    </w:lvl>
    <w:lvl w:ilvl="1">
      <w:lvlJc w:val="left"/>
      <w:lvlText w:val="(%2)"/>
      <w:numFmt w:val="lowerRoman"/>
      <w:start w:val="2"/>
    </w:lvl>
  </w:abstractNum>
  <w:abstractNum w:abstractNumId="27">
    <w:nsid w:val="7644A45C"/>
    <w:multiLevelType w:val="hybridMultilevel"/>
    <w:lvl w:ilvl="0">
      <w:lvlJc w:val="left"/>
      <w:lvlText w:val="(%1)"/>
      <w:numFmt w:val="lowerLetter"/>
      <w:start w:val="3"/>
    </w:lvl>
    <w:lvl w:ilvl="1">
      <w:lvlJc w:val="left"/>
      <w:lvlText w:val="(%2)"/>
      <w:numFmt w:val="lowerRoman"/>
      <w:start w:val="1"/>
    </w:lvl>
  </w:abstractNum>
  <w:abstractNum w:abstractNumId="28">
    <w:nsid w:val="32FFF902"/>
    <w:multiLevelType w:val="hybridMultilevel"/>
    <w:lvl w:ilvl="0">
      <w:lvlJc w:val="left"/>
      <w:lvlText w:val="%1"/>
      <w:numFmt w:val="decimal"/>
      <w:start w:val="1"/>
    </w:lvl>
    <w:lvl w:ilvl="1">
      <w:lvlJc w:val="left"/>
      <w:lvlText w:val="(%2)"/>
      <w:numFmt w:val="lowerLetter"/>
      <w:start w:val="4"/>
    </w:lvl>
  </w:abstractNum>
  <w:abstractNum w:abstractNumId="29">
    <w:nsid w:val="684A481A"/>
    <w:multiLevelType w:val="hybridMultilevel"/>
    <w:lvl w:ilvl="0">
      <w:lvlJc w:val="left"/>
      <w:lvlText w:val="%1."/>
      <w:numFmt w:val="decimal"/>
      <w:start w:val="4"/>
    </w:lvl>
    <w:lvl w:ilvl="1">
      <w:lvlJc w:val="left"/>
      <w:lvlText w:val="(%2)"/>
      <w:numFmt w:val="lowerLetter"/>
      <w:start w:val="1"/>
    </w:lvl>
  </w:abstractNum>
  <w:abstractNum w:abstractNumId="30">
    <w:nsid w:val="579478FE"/>
    <w:multiLevelType w:val="hybridMultilevel"/>
    <w:lvl w:ilvl="0">
      <w:lvlJc w:val="left"/>
      <w:lvlText w:val="%1."/>
      <w:numFmt w:val="decimal"/>
      <w:start w:val="5"/>
    </w:lvl>
    <w:lvl w:ilvl="1">
      <w:lvlJc w:val="left"/>
      <w:lvlText w:val="(%2)"/>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3"/>
    </w:lvl>
  </w:abstractNum>
  <w:abstractNum w:abstractNumId="33">
    <w:nsid w:val="1BA026FA"/>
    <w:multiLevelType w:val="hybridMultilevel"/>
    <w:lvl w:ilvl="0">
      <w:lvlJc w:val="left"/>
      <w:lvlText w:val="(%1)"/>
      <w:numFmt w:val="lowerLetter"/>
      <w:start w:val="5"/>
    </w:lvl>
  </w:abstractNum>
  <w:abstractNum w:abstractNumId="34">
    <w:nsid w:val="79A1DEAA"/>
    <w:multiLevelType w:val="hybridMultilevel"/>
    <w:lvl w:ilvl="0">
      <w:lvlJc w:val="left"/>
      <w:lvlText w:val="(%1)"/>
      <w:numFmt w:val="lowerLetter"/>
      <w:start w:val="6"/>
    </w:lvl>
  </w:abstractNum>
  <w:abstractNum w:abstractNumId="35">
    <w:nsid w:val="75C6C33A"/>
    <w:multiLevelType w:val="hybridMultilevel"/>
    <w:lvl w:ilvl="0">
      <w:lvlJc w:val="left"/>
      <w:lvlText w:val="%1"/>
      <w:numFmt w:val="decimal"/>
      <w:start w:val="1"/>
    </w:lvl>
    <w:lvl w:ilvl="1">
      <w:lvlJc w:val="left"/>
      <w:lvlText w:val="(%2)"/>
      <w:numFmt w:val="lowerLetter"/>
      <w:start w:val="11"/>
    </w:lvl>
  </w:abstractNum>
  <w:abstractNum w:abstractNumId="36">
    <w:nsid w:val="12E685FB"/>
    <w:multiLevelType w:val="hybridMultilevel"/>
    <w:lvl w:ilvl="0">
      <w:lvlJc w:val="left"/>
      <w:lvlText w:val="%1."/>
      <w:numFmt w:val="decimal"/>
      <w:start w:val="7"/>
    </w:lvl>
    <w:lvl w:ilvl="1">
      <w:lvlJc w:val="left"/>
      <w:lvlText w:val="(%2)"/>
      <w:numFmt w:val="lowerLetter"/>
      <w:start w:val="1"/>
    </w:lvl>
  </w:abstractNum>
  <w:abstractNum w:abstractNumId="37">
    <w:nsid w:val="70C6A5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
    <w:nsid w:val="520EEDD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5"/>
    </w:lvl>
  </w:abstractNum>
  <w:abstractNum w:abstractNumId="39">
    <w:nsid w:val="374A3FE6"/>
    <w:multiLevelType w:val="hybridMultilevel"/>
    <w:lvl w:ilvl="0">
      <w:lvlJc w:val="left"/>
      <w:lvlText w:val="%1"/>
      <w:numFmt w:val="lowerLetter"/>
      <w:start w:val="1"/>
    </w:lvl>
    <w:lvl w:ilvl="1">
      <w:lvlJc w:val="left"/>
      <w:lvlText w:val="(%2)"/>
      <w:numFmt w:val="lowerRoman"/>
      <w:start w:val="1"/>
    </w:lvl>
  </w:abstractNum>
  <w:abstractNum w:abstractNumId="40">
    <w:nsid w:val="4F4EF005"/>
    <w:multiLevelType w:val="hybridMultilevel"/>
    <w:lvl w:ilvl="0">
      <w:lvlJc w:val="left"/>
      <w:lvlText w:val="(%1)"/>
      <w:numFmt w:val="lowerLetter"/>
      <w:start w:val="3"/>
    </w:lvl>
    <w:lvl w:ilvl="1">
      <w:lvlJc w:val="left"/>
      <w:lvlText w:val="%2"/>
      <w:numFmt w:val="lowerRoman"/>
      <w:start w:val="1"/>
    </w:lvl>
  </w:abstractNum>
  <w:abstractNum w:abstractNumId="41">
    <w:nsid w:val="23F9C13C"/>
    <w:multiLevelType w:val="hybridMultilevel"/>
    <w:lvl w:ilvl="0">
      <w:lvlJc w:val="left"/>
      <w:lvlText w:val="%1"/>
      <w:numFmt w:val="lowerLetter"/>
      <w:start w:val="1"/>
    </w:lvl>
    <w:lvl w:ilvl="1">
      <w:lvlJc w:val="left"/>
      <w:lvlText w:val="(%2)"/>
      <w:numFmt w:val="lowerRoman"/>
      <w:start w:val="1"/>
    </w:lvl>
  </w:abstractNum>
  <w:abstractNum w:abstractNumId="42">
    <w:nsid w:val="649BB77C"/>
    <w:multiLevelType w:val="hybridMultilevel"/>
    <w:lvl w:ilvl="0">
      <w:lvlJc w:val="left"/>
      <w:lvlText w:val="(%1)"/>
      <w:numFmt w:val="lowerLetter"/>
      <w:start w:val="4"/>
    </w:lvl>
    <w:lvl w:ilvl="1">
      <w:lvlJc w:val="left"/>
      <w:lvlText w:val="%2"/>
      <w:numFmt w:val="lowerRoman"/>
      <w:start w:val="1"/>
    </w:lvl>
  </w:abstractNum>
  <w:abstractNum w:abstractNumId="43">
    <w:nsid w:val="275AC794"/>
    <w:multiLevelType w:val="hybridMultilevel"/>
    <w:lvl w:ilvl="0">
      <w:lvlJc w:val="left"/>
      <w:lvlText w:val="%1."/>
      <w:numFmt w:val="decimal"/>
      <w:start w:val="8"/>
    </w:lvl>
    <w:lvl w:ilvl="1">
      <w:lvlJc w:val="left"/>
      <w:lvlText w:val="(%2)"/>
      <w:numFmt w:val="lowerLetter"/>
      <w:start w:val="1"/>
    </w:lvl>
  </w:abstractNum>
  <w:abstractNum w:abstractNumId="44">
    <w:nsid w:val="39386575"/>
    <w:multiLevelType w:val="hybridMultilevel"/>
    <w:lvl w:ilvl="0">
      <w:lvlJc w:val="left"/>
      <w:lvlText w:val="%1."/>
      <w:numFmt w:val="decimal"/>
      <w:start w:val="10"/>
    </w:lvl>
    <w:lvl w:ilvl="1">
      <w:lvlJc w:val="left"/>
      <w:lvlText w:val="(%2)"/>
      <w:numFmt w:val="lowerLetter"/>
      <w:start w:val="1"/>
    </w:lvl>
  </w:abstractNum>
  <w:abstractNum w:abstractNumId="45">
    <w:nsid w:val="1CF10FD8"/>
    <w:multiLevelType w:val="hybridMultilevel"/>
    <w:lvl w:ilvl="0">
      <w:lvlJc w:val="left"/>
      <w:lvlText w:val="%1"/>
      <w:numFmt w:val="lowerLetter"/>
      <w:start w:val="1"/>
    </w:lvl>
    <w:lvl w:ilvl="1">
      <w:lvlJc w:val="left"/>
      <w:lvlText w:val="(%2)"/>
      <w:numFmt w:val="lowerLetter"/>
      <w:start w:val="5"/>
    </w:lvl>
  </w:abstractNum>
  <w:abstractNum w:abstractNumId="46">
    <w:nsid w:val="180115BE"/>
    <w:multiLevelType w:val="hybridMultilevel"/>
    <w:lvl w:ilvl="0">
      <w:lvlJc w:val="left"/>
      <w:lvlText w:val="(%1)"/>
      <w:numFmt w:val="lowerLetter"/>
      <w:start w:val="61"/>
    </w:lvl>
    <w:lvl w:ilvl="1">
      <w:lvlJc w:val="left"/>
      <w:lvlText w:val="%2"/>
      <w:numFmt w:val="lowerLetter"/>
      <w:start w:val="1"/>
    </w:lvl>
  </w:abstractNum>
  <w:abstractNum w:abstractNumId="47">
    <w:nsid w:val="235BA861"/>
    <w:multiLevelType w:val="hybridMultilevel"/>
    <w:lvl w:ilvl="0">
      <w:lvlJc w:val="left"/>
      <w:lvlText w:val="%1."/>
      <w:numFmt w:val="decimal"/>
      <w:start w:val="11"/>
    </w:lvl>
    <w:lvl w:ilvl="1">
      <w:lvlJc w:val="left"/>
      <w:lvlText w:val="(%2)"/>
      <w:numFmt w:val="lowerLetter"/>
      <w:start w:val="1"/>
    </w:lvl>
  </w:abstractNum>
  <w:abstractNum w:abstractNumId="48">
    <w:nsid w:val="47398C89"/>
    <w:multiLevelType w:val="hybridMultilevel"/>
    <w:lvl w:ilvl="0">
      <w:lvlJc w:val="left"/>
      <w:lvlText w:val="%1"/>
      <w:numFmt w:val="decimal"/>
      <w:start w:val="1"/>
    </w:lvl>
    <w:lvl w:ilvl="1">
      <w:lvlJc w:val="left"/>
      <w:lvlText w:val="(%2)"/>
      <w:numFmt w:val="lowerLetter"/>
      <w:start w:val="2"/>
    </w:lvl>
  </w:abstractNum>
  <w:abstractNum w:abstractNumId="49">
    <w:nsid w:val="354FE9F9"/>
    <w:multiLevelType w:val="hybridMultilevel"/>
    <w:lvl w:ilvl="0">
      <w:lvlJc w:val="left"/>
      <w:lvlText w:val="%1."/>
      <w:numFmt w:val="decimal"/>
      <w:start w:val="12"/>
    </w:lvl>
    <w:lvl w:ilvl="1">
      <w:lvlJc w:val="left"/>
      <w:lvlText w:val="(%2)"/>
      <w:numFmt w:val="lowerLetter"/>
      <w:start w:val="1"/>
    </w:lvl>
  </w:abstractNum>
  <w:abstractNum w:abstractNumId="50">
    <w:nsid w:val="15B5AF5C"/>
    <w:multiLevelType w:val="hybridMultilevel"/>
    <w:lvl w:ilvl="0">
      <w:lvlJc w:val="left"/>
      <w:lvlText w:val="%1"/>
      <w:numFmt w:val="lowerLetter"/>
      <w:start w:val="1"/>
    </w:lvl>
    <w:lvl w:ilvl="1">
      <w:lvlJc w:val="left"/>
      <w:lvlText w:val="(%2)"/>
      <w:numFmt w:val="lowerLetter"/>
      <w:start w:val="2"/>
    </w:lvl>
  </w:abstractNum>
  <w:abstractNum w:abstractNumId="51">
    <w:nsid w:val="741226BB"/>
    <w:multiLevelType w:val="hybridMultilevel"/>
    <w:lvl w:ilvl="0">
      <w:lvlJc w:val="left"/>
      <w:lvlText w:val="(%1)"/>
      <w:numFmt w:val="lowerLetter"/>
      <w:start w:val="9"/>
    </w:lvl>
    <w:lvl w:ilvl="1">
      <w:lvlJc w:val="left"/>
      <w:lvlText w:val="(%2)"/>
      <w:numFmt w:val="lowerLetter"/>
      <w:start w:val="5"/>
    </w:lvl>
  </w:abstractNum>
  <w:abstractNum w:abstractNumId="52">
    <w:nsid w:val="D34B6A8"/>
    <w:multiLevelType w:val="hybridMultilevel"/>
    <w:lvl w:ilvl="0">
      <w:lvlJc w:val="left"/>
      <w:lvlText w:val="(%1)"/>
      <w:numFmt w:val="lowerLetter"/>
      <w:start w:val="9"/>
    </w:lvl>
    <w:lvl w:ilvl="1">
      <w:lvlJc w:val="left"/>
      <w:lvlText w:val="%2"/>
      <w:numFmt w:val="lowerLetter"/>
      <w:start w:val="1"/>
    </w:lvl>
  </w:abstractNum>
  <w:abstractNum w:abstractNumId="53">
    <w:nsid w:val="10233C99"/>
    <w:multiLevelType w:val="hybridMultilevel"/>
    <w:lvl w:ilvl="0">
      <w:lvlJc w:val="left"/>
      <w:lvlText w:val="%1."/>
      <w:numFmt w:val="decimal"/>
      <w:start w:val="13"/>
    </w:lvl>
    <w:lvl w:ilvl="1">
      <w:lvlJc w:val="left"/>
      <w:lvlText w:val="(%2)"/>
      <w:numFmt w:val="lowerLetter"/>
      <w:start w:val="1"/>
    </w:lvl>
  </w:abstractNum>
  <w:abstractNum w:abstractNumId="54">
    <w:nsid w:val="3F6AB60F"/>
    <w:multiLevelType w:val="hybridMultilevel"/>
    <w:lvl w:ilvl="0">
      <w:lvlJc w:val="left"/>
      <w:lvlText w:val="%1."/>
      <w:numFmt w:val="decimal"/>
      <w:start w:val="15"/>
    </w:lvl>
  </w:abstractNum>
  <w:abstractNum w:abstractNumId="55">
    <w:nsid w:val="61574095"/>
    <w:multiLevelType w:val="hybridMultilevel"/>
    <w:lvl w:ilvl="0">
      <w:lvlJc w:val="left"/>
      <w:lvlText w:val="%1."/>
      <w:numFmt w:val="decimal"/>
      <w:start w:val="1"/>
    </w:lvl>
    <w:lvl w:ilvl="1">
      <w:lvlJc w:val="left"/>
      <w:lvlText w:val="%2."/>
      <w:numFmt w:val="lowerLetter"/>
      <w:start w:val="1"/>
    </w:lvl>
  </w:abstractNum>
  <w:abstractNum w:abstractNumId="56">
    <w:nsid w:val="7E0C57B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decimal"/>
      <w:start w:val="1"/>
    </w:lvl>
  </w:abstractNum>
  <w:abstractNum w:abstractNumId="57">
    <w:nsid w:val="77AE35E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3"/>
    </w:lvl>
  </w:abstractNum>
  <w:abstractNum w:abstractNumId="58">
    <w:nsid w:val="579BE4F1"/>
    <w:multiLevelType w:val="hybridMultilevel"/>
    <w:lvl w:ilvl="0">
      <w:lvlJc w:val="left"/>
      <w:lvlText w:val="%1."/>
      <w:numFmt w:val="decimal"/>
      <w:start w:val="5"/>
    </w:lvl>
    <w:lvl w:ilvl="1">
      <w:lvlJc w:val="left"/>
      <w:lvlText w:val="%2."/>
      <w:numFmt w:val="lowerLetter"/>
      <w:start w:val="1"/>
    </w:lvl>
  </w:abstractNum>
  <w:abstractNum w:abstractNumId="59">
    <w:nsid w:val="310C50B3"/>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60">
    <w:nsid w:val="5FF87E05"/>
    <w:multiLevelType w:val="hybridMultilevel"/>
    <w:lvl w:ilvl="0">
      <w:lvlJc w:val="left"/>
      <w:lvlText w:val="(%1)"/>
      <w:numFmt w:val="decimal"/>
      <w:start w:val="15"/>
    </w:lvl>
    <w:lvl w:ilvl="1">
      <w:lvlJc w:val="left"/>
      <w:lvlText w:val="%2."/>
      <w:numFmt w:val="decimal"/>
      <w:start w:val="9"/>
    </w:lvl>
    <w:lvl w:ilvl="2">
      <w:lvlJc w:val="left"/>
      <w:lvlText w:val="%3"/>
      <w:numFmt w:val="lowerLetter"/>
      <w:start w:val="1"/>
    </w:lvl>
  </w:abstractNum>
  <w:abstractNum w:abstractNumId="61">
    <w:nsid w:val="2F305DEF"/>
    <w:multiLevelType w:val="hybridMultilevel"/>
    <w:lvl w:ilvl="0">
      <w:lvlJc w:val="left"/>
      <w:lvlText w:val="%1."/>
      <w:numFmt w:val="decimal"/>
      <w:start w:val="11"/>
    </w:lvl>
    <w:lvl w:ilvl="1">
      <w:lvlJc w:val="left"/>
      <w:lvlText w:val="%2."/>
      <w:numFmt w:val="lowerLetter"/>
      <w:start w:val="1"/>
    </w:lvl>
  </w:abstractNum>
  <w:abstractNum w:abstractNumId="62">
    <w:nsid w:val="25A70BF7"/>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63">
    <w:nsid w:val="1DBABF00"/>
    <w:multiLevelType w:val="hybridMultilevel"/>
    <w:lvl w:ilvl="0">
      <w:lvlJc w:val="left"/>
      <w:lvlText w:val="(%1)"/>
      <w:numFmt w:val="decimal"/>
      <w:start w:val="13"/>
    </w:lvl>
    <w:lvl w:ilvl="1">
      <w:lvlJc w:val="left"/>
      <w:lvlText w:val="%2"/>
      <w:numFmt w:val="decimal"/>
      <w:start w:val="1"/>
    </w:lvl>
    <w:lvl w:ilvl="2">
      <w:lvlJc w:val="left"/>
      <w:lvlText w:val="%3."/>
      <w:numFmt w:val="lowerLetter"/>
      <w:start w:val="2"/>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2019-12-14T00:45:34Z</dcterms:created>
  <dcterms:modified xsi:type="dcterms:W3CDTF">2019-12-14T00:45:34Z</dcterms:modified>
</cp:coreProperties>
</file>