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mnkd-20240930.htm"/>
      <w:bookmarkStart w:id="1" w:name="ksmnkd20240930"/>
      <w:bookmarkEnd w:id="0"/>
      <w:bookmarkEnd w:id="1"/>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September 30, 2024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000-50865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8"/>
        </w:rPr>
        <w:t>MannKind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07" w:type="dxa"/>
        <w:jc w:val="left"/>
        <w:tblInd w:w="0" w:type="dxa"/>
        <w:tblLayout w:type="fixed"/>
        <w:tblCellMar>
          <w:top w:w="28" w:type="dxa"/>
          <w:left w:w="28" w:type="dxa"/>
          <w:bottom w:w="28" w:type="dxa"/>
          <w:right w:w="28" w:type="dxa"/>
        </w:tblCellMar>
      </w:tblPr>
      <w:tblGrid>
        <w:gridCol w:w="2926"/>
        <w:gridCol w:w="1681"/>
      </w:tblGrid>
      <w:tr>
        <w:trPr/>
        <w:tc>
          <w:tcPr>
            <w:tcW w:w="29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68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13-3607736</w:t>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incorporation or organization)</w:t>
            </w:r>
          </w:p>
        </w:tc>
        <w:tc>
          <w:tcPr>
            <w:tcW w:w="168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Identification No.)</w:t>
            </w:r>
          </w:p>
        </w:tc>
      </w:tr>
      <w:tr>
        <w:trPr/>
        <w:tc>
          <w:tcPr>
            <w:tcW w:w="292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jc w:val="center"/>
              <w:rPr>
                <w:rFonts w:ascii="Times New Roman" w:hAnsi="Times New Roman"/>
                <w:sz w:val="20"/>
              </w:rPr>
            </w:pPr>
            <w:r>
              <w:rPr>
                <w:rFonts w:ascii="Times New Roman" w:hAnsi="Times New Roman"/>
                <w:b/>
                <w:color w:val="000000"/>
                <w:sz w:val="20"/>
              </w:rPr>
              <w:t>1 Casper Street</w:t>
            </w:r>
            <w:r>
              <w:rPr>
                <w:rFonts w:ascii="Times New Roman" w:hAnsi="Times New Roman"/>
                <w:color w:val="000000"/>
                <w:sz w:val="20"/>
              </w:rPr>
              <w:t xml:space="preserve"> </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Danbury, Connecticut</w:t>
            </w:r>
          </w:p>
        </w:tc>
        <w:tc>
          <w:tcPr>
            <w:tcW w:w="168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06810</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68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(818) 661-5000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N/A</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MNKD</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39" w:type="dxa"/>
        <w:jc w:val="left"/>
        <w:tblInd w:w="0" w:type="dxa"/>
        <w:tblLayout w:type="fixed"/>
        <w:tblCellMar>
          <w:top w:w="28" w:type="dxa"/>
          <w:left w:w="28" w:type="dxa"/>
          <w:bottom w:w="28" w:type="dxa"/>
          <w:right w:w="28" w:type="dxa"/>
        </w:tblCellMar>
      </w:tblPr>
      <w:tblGrid>
        <w:gridCol w:w="1921"/>
        <w:gridCol w:w="386"/>
        <w:gridCol w:w="2311"/>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8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42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8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421" w:type="dxa"/>
            <w:tcBorders/>
            <w:vAlign w:val="center"/>
          </w:tcPr>
          <w:p>
            <w:pPr>
              <w:pStyle w:val="TableContents"/>
              <w:bidi w:val="0"/>
              <w:spacing w:before="0" w:after="283"/>
              <w:jc w:val="left"/>
              <w:rPr>
                <w:color w:val="000000"/>
              </w:rPr>
            </w:pPr>
            <w:r>
              <w:rPr>
                <w:color w:val="000000"/>
              </w:rPr>
              <w:t xml:space="preserve">☐ </w:t>
            </w:r>
          </w:p>
        </w:tc>
      </w:tr>
      <w:tr>
        <w:trPr/>
        <w:tc>
          <w:tcPr>
            <w:tcW w:w="192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1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Emerging growth company</w:t>
            </w:r>
          </w:p>
        </w:tc>
        <w:tc>
          <w:tcPr>
            <w:tcW w:w="421" w:type="dxa"/>
            <w:tcBorders/>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As of October 25, 2024, there were 275,777,693 shares of the registrant’s common stock, $0.01 par value per share, outstanding.</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w:t>
      </w:r>
    </w:p>
    <w:p>
      <w:pPr>
        <w:pStyle w:val="TextBody"/>
        <w:bidi w:val="0"/>
        <w:spacing w:before="120" w:after="283"/>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September 30, 2024</w:t>
      </w:r>
      <w:r>
        <w:rPr>
          <w:rFonts w:ascii="Times New Roman" w:hAnsi="Times New Roman"/>
          <w:color w:val="000000"/>
          <w:sz w:val="20"/>
        </w:rPr>
        <w:t xml:space="preserve"> </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694"/>
        <w:gridCol w:w="511"/>
      </w:tblGrid>
      <w:tr>
        <w:trPr/>
        <w:tc>
          <w:tcPr>
            <w:tcW w:w="9694"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4" w:type="dxa"/>
            <w:tcBorders/>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PART I: FINANCIAL INFORMATION</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4"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694"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4" w:type="dxa"/>
            <w:tcBorders/>
            <w:vAlign w:val="center"/>
          </w:tcPr>
          <w:p>
            <w:pPr>
              <w:pStyle w:val="TableContents"/>
              <w:bidi w:val="0"/>
              <w:spacing w:before="0" w:after="283"/>
              <w:jc w:val="left"/>
              <w:rPr/>
            </w:pPr>
            <w:hyperlink w:anchor="condensed_consol_stmt_of_operations">
              <w:r>
                <w:rPr>
                  <w:rStyle w:val="InternetLink"/>
                  <w:rFonts w:ascii="Times New Roman" w:hAnsi="Times New Roman"/>
                  <w:color w:val="0000FF"/>
                  <w:sz w:val="20"/>
                  <w:u w:val="single"/>
                </w:rPr>
                <w:t>Condensed Consolidated Statements of Operations: Three and nine months ended September 30, 2024 and 2023</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4" w:type="dxa"/>
            <w:tcBorders/>
            <w:vAlign w:val="center"/>
          </w:tcPr>
          <w:p>
            <w:pPr>
              <w:pStyle w:val="TableContents"/>
              <w:bidi w:val="0"/>
              <w:spacing w:before="0" w:after="283"/>
              <w:jc w:val="left"/>
              <w:rPr/>
            </w:pPr>
            <w:hyperlink w:anchor="cond_cons_statements_of_comp_inc_loss">
              <w:r>
                <w:rPr>
                  <w:rStyle w:val="InternetLink"/>
                  <w:rFonts w:ascii="Times New Roman" w:hAnsi="Times New Roman"/>
                  <w:color w:val="0000FF"/>
                  <w:sz w:val="20"/>
                  <w:u w:val="single"/>
                </w:rPr>
                <w:t>Condensed Consolidated Statements of Comprehensive Income (Loss): Three and nine months ended September 30, 2024 and 2023</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694" w:type="dxa"/>
            <w:tcBorders/>
            <w:vAlign w:val="center"/>
          </w:tcPr>
          <w:p>
            <w:pPr>
              <w:pStyle w:val="TableContents"/>
              <w:bidi w:val="0"/>
              <w:spacing w:before="0" w:after="283"/>
              <w:jc w:val="left"/>
              <w:rPr/>
            </w:pPr>
            <w:hyperlink w:anchor="condensed_consol_balance_sheets">
              <w:r>
                <w:rPr>
                  <w:rStyle w:val="InternetLink"/>
                  <w:rFonts w:ascii="Times New Roman" w:hAnsi="Times New Roman"/>
                  <w:color w:val="0000FF"/>
                  <w:sz w:val="20"/>
                  <w:u w:val="single"/>
                </w:rPr>
                <w:t>Condensed Consolidated Balance Sheets: September 30, 2024 and December 31, 2023</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694" w:type="dxa"/>
            <w:tcBorders/>
            <w:vAlign w:val="center"/>
          </w:tcPr>
          <w:p>
            <w:pPr>
              <w:pStyle w:val="TableContents"/>
              <w:bidi w:val="0"/>
              <w:spacing w:before="0" w:after="283"/>
              <w:jc w:val="left"/>
              <w:rPr/>
            </w:pPr>
            <w:hyperlink w:anchor="consolidated_statements_stockholders">
              <w:r>
                <w:rPr>
                  <w:rStyle w:val="InternetLink"/>
                  <w:rFonts w:ascii="Times New Roman" w:hAnsi="Times New Roman"/>
                  <w:color w:val="0000FF"/>
                  <w:sz w:val="20"/>
                  <w:u w:val="single"/>
                </w:rPr>
                <w:t>Condensed Consolidated Statements of Stockholders’ Deficit:</w:t>
              </w:r>
            </w:hyperlink>
            <w:hyperlink w:anchor="consolidated_statements_stockholders">
              <w:r>
                <w:rPr>
                  <w:rStyle w:val="InternetLink"/>
                  <w:rFonts w:ascii="Times New Roman" w:hAnsi="Times New Roman"/>
                  <w:color w:val="0000FF"/>
                  <w:sz w:val="20"/>
                </w:rPr>
                <w:t xml:space="preserve"> </w:t>
              </w:r>
            </w:hyperlink>
            <w:hyperlink w:anchor="consolidated_statements_stockholders">
              <w:r>
                <w:rPr>
                  <w:rStyle w:val="InternetLink"/>
                  <w:rFonts w:ascii="Times New Roman" w:hAnsi="Times New Roman"/>
                  <w:color w:val="0000FF"/>
                  <w:sz w:val="20"/>
                  <w:u w:val="single"/>
                </w:rPr>
                <w:t>Three and nine months ended September 30, 2024 and 2023</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694" w:type="dxa"/>
            <w:tcBorders/>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Nine months ended September 30, 2024 and 2023</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694" w:type="dxa"/>
            <w:tcBorders/>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694"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694"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694"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694"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694" w:type="dxa"/>
            <w:tcBorders/>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694"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694"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694"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694"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694"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694"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694"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694"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694"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694" w:type="dxa"/>
            <w:tcBorders/>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_financial_information"/>
      <w:bookmarkEnd w:id="2"/>
      <w:r>
        <w:rPr>
          <w:rFonts w:ascii="Times New Roman" w:hAnsi="Times New Roman"/>
          <w:b/>
          <w:color w:val="000000"/>
          <w:sz w:val="20"/>
        </w:rPr>
        <w:t>PART 1: FINANCIAL INFORMATION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MANNKIND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_stmt_of_operations"/>
      <w:bookmarkEnd w:id="4"/>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344"/>
        <w:gridCol w:w="346"/>
        <w:gridCol w:w="211"/>
        <w:gridCol w:w="781"/>
        <w:gridCol w:w="166"/>
        <w:gridCol w:w="146"/>
        <w:gridCol w:w="211"/>
        <w:gridCol w:w="781"/>
        <w:gridCol w:w="166"/>
        <w:gridCol w:w="146"/>
        <w:gridCol w:w="211"/>
        <w:gridCol w:w="781"/>
        <w:gridCol w:w="166"/>
        <w:gridCol w:w="146"/>
        <w:gridCol w:w="211"/>
        <w:gridCol w:w="781"/>
        <w:gridCol w:w="611"/>
      </w:tblGrid>
      <w:tr>
        <w:trPr/>
        <w:tc>
          <w:tcPr>
            <w:tcW w:w="4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4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490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611" w:type="dxa"/>
            <w:tcBorders/>
            <w:shd w:fill="FFFFFF" w:val="clear"/>
            <w:vAlign w:val="center"/>
          </w:tcPr>
          <w:p>
            <w:pPr>
              <w:pStyle w:val="TableContents"/>
              <w:bidi w:val="0"/>
              <w:spacing w:before="0" w:after="283"/>
              <w:jc w:val="center"/>
              <w:rPr/>
            </w:pPr>
            <w:r>
              <w:rPr/>
              <w:t> </w:t>
            </w:r>
          </w:p>
        </w:tc>
      </w:tr>
      <w:tr>
        <w:trPr/>
        <w:tc>
          <w:tcPr>
            <w:tcW w:w="4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 – commercial product sales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Revenue – collaborations and services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Royalties – collaboration</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4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4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foreign currency transaction</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3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on financing liability</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bargain purchase</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available-for-sale securities</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income (loss) </w:t>
              <w:br/>
              <w:t>   per share – basic</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income (loss) </w:t>
              <w:br/>
              <w:t>   per share – diluted</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_cons_statements_of_comp_inc_loss"/>
      <w:bookmarkEnd w:id="5"/>
      <w:r>
        <w:rPr>
          <w:rFonts w:ascii="Times New Roman" w:hAnsi="Times New Roman"/>
          <w:b/>
          <w:color w:val="000000"/>
          <w:sz w:val="20"/>
        </w:rPr>
        <w:t>MANNKIND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COMPREHENSIVE INCOME (LOSS)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9047" w:type="dxa"/>
        <w:jc w:val="left"/>
        <w:tblInd w:w="0" w:type="dxa"/>
        <w:tblLayout w:type="fixed"/>
        <w:tblCellMar>
          <w:top w:w="28" w:type="dxa"/>
          <w:left w:w="28" w:type="dxa"/>
          <w:bottom w:w="28" w:type="dxa"/>
          <w:right w:w="28" w:type="dxa"/>
        </w:tblCellMar>
      </w:tblPr>
      <w:tblGrid>
        <w:gridCol w:w="4131"/>
        <w:gridCol w:w="146"/>
        <w:gridCol w:w="211"/>
        <w:gridCol w:w="676"/>
        <w:gridCol w:w="146"/>
        <w:gridCol w:w="146"/>
        <w:gridCol w:w="211"/>
        <w:gridCol w:w="571"/>
        <w:gridCol w:w="146"/>
        <w:gridCol w:w="146"/>
        <w:gridCol w:w="211"/>
        <w:gridCol w:w="676"/>
        <w:gridCol w:w="146"/>
        <w:gridCol w:w="146"/>
        <w:gridCol w:w="211"/>
        <w:gridCol w:w="736"/>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7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1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available-for-sale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6" w:name="condensed_consol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162"/>
        <w:gridCol w:w="146"/>
        <w:gridCol w:w="264"/>
        <w:gridCol w:w="1242"/>
        <w:gridCol w:w="166"/>
        <w:gridCol w:w="146"/>
        <w:gridCol w:w="257"/>
        <w:gridCol w:w="1209"/>
        <w:gridCol w:w="613"/>
      </w:tblGrid>
      <w:tr>
        <w:trPr/>
        <w:tc>
          <w:tcPr>
            <w:tcW w:w="6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6" w:type="dxa"/>
            <w:gridSpan w:val="2"/>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r>
      <w:tr>
        <w:trPr/>
        <w:tc>
          <w:tcPr>
            <w:tcW w:w="6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8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 thousands except share </w:t>
              <w:br/>
              <w:t>and per share data)</w:t>
            </w:r>
          </w:p>
        </w:tc>
        <w:tc>
          <w:tcPr>
            <w:tcW w:w="613" w:type="dxa"/>
            <w:tcBorders/>
            <w:shd w:fill="FFFFFF" w:val="clear"/>
            <w:vAlign w:val="center"/>
          </w:tcPr>
          <w:p>
            <w:pPr>
              <w:pStyle w:val="TableContents"/>
              <w:bidi w:val="0"/>
              <w:spacing w:before="0" w:after="283"/>
              <w:jc w:val="center"/>
              <w:rPr/>
            </w:pPr>
            <w:r>
              <w:rPr/>
              <w:t> </w:t>
            </w:r>
          </w:p>
        </w:tc>
      </w:tr>
      <w:tr>
        <w:trPr/>
        <w:tc>
          <w:tcPr>
            <w:tcW w:w="6162"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6"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6"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238,480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1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14,901</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1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28,545</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373,393</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84,220</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475,198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6"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162"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6"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6"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1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Liability for sale of future royalties – current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1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liability – current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1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Recognized loss on purchase commitments – current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Midcap credit facility – current</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104,125</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226,851</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for sale of future royalties – long term</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136,054</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liability – long term</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94,319</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long term</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69,794</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loss on purchase commitments – long term</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60,942</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liabilities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credit facility – long term</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 Mann Group convertible note</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61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721,366</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15)</w:t>
            </w:r>
          </w:p>
        </w:tc>
        <w:tc>
          <w:tcPr>
            <w:tcW w:w="146"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6"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6"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Undesignated preferred stock, $0.01 par value – 10,000,000 shares authorized; </w:t>
              <w:br/>
              <w:t>   no shares issued or outstanding as of September 30, 2024 or December 31, 2023</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 – 800,000,000 shares authorized;</w:t>
              <w:br/>
              <w:t>   275,775,038 and 270,034,495 shares issued and outstanding as of</w:t>
              <w:br/>
              <w: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2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2,980,539</w:t>
            </w:r>
          </w:p>
        </w:tc>
        <w:tc>
          <w:tcPr>
            <w:tcW w:w="613" w:type="dxa"/>
            <w:tcBorders/>
            <w:shd w:fill="CFF0FC" w:val="clear"/>
            <w:vAlign w:val="center"/>
          </w:tcPr>
          <w:p>
            <w:pPr>
              <w:pStyle w:val="TableContents"/>
              <w:bidi w:val="0"/>
              <w:spacing w:before="0" w:after="283"/>
              <w:jc w:val="left"/>
              <w:rPr/>
            </w:pPr>
            <w:r>
              <w:rPr/>
              <w:t> </w:t>
            </w:r>
          </w:p>
        </w:tc>
      </w:tr>
      <w:tr>
        <w:trPr/>
        <w:tc>
          <w:tcPr>
            <w:tcW w:w="6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jc w:val="left"/>
              <w:rPr/>
            </w:pPr>
            <w:r>
              <w:rPr/>
              <w:t> </w:t>
            </w:r>
          </w:p>
        </w:tc>
      </w:tr>
      <w:tr>
        <w:trPr/>
        <w:tc>
          <w:tcPr>
            <w:tcW w:w="6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(3,229,407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(246,168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6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475,198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7" w:name="consolidated_statements_stockholders"/>
      <w:bookmarkEnd w:id="7"/>
      <w:r>
        <w:rPr>
          <w:rFonts w:ascii="Times New Roman" w:hAnsi="Times New Roman"/>
          <w:b/>
          <w:color w:val="000000"/>
          <w:sz w:val="20"/>
        </w:rPr>
        <w:t>CONDENSED CONSOLIDATED STATEMENTS OF STOCKHOLDERS’ DEFICIT</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142"/>
        <w:gridCol w:w="146"/>
        <w:gridCol w:w="146"/>
        <w:gridCol w:w="586"/>
        <w:gridCol w:w="146"/>
        <w:gridCol w:w="146"/>
        <w:gridCol w:w="181"/>
        <w:gridCol w:w="436"/>
        <w:gridCol w:w="146"/>
        <w:gridCol w:w="146"/>
        <w:gridCol w:w="196"/>
        <w:gridCol w:w="752"/>
        <w:gridCol w:w="151"/>
        <w:gridCol w:w="146"/>
        <w:gridCol w:w="640"/>
        <w:gridCol w:w="1228"/>
        <w:gridCol w:w="146"/>
        <w:gridCol w:w="146"/>
        <w:gridCol w:w="218"/>
        <w:gridCol w:w="891"/>
        <w:gridCol w:w="151"/>
        <w:gridCol w:w="146"/>
        <w:gridCol w:w="181"/>
        <w:gridCol w:w="631"/>
        <w:gridCol w:w="361"/>
      </w:tblGrid>
      <w:tr>
        <w:trPr/>
        <w:tc>
          <w:tcPr>
            <w:tcW w:w="2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8"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center"/>
              <w:rPr/>
            </w:pPr>
            <w:r>
              <w:rPr/>
              <w:t> </w:t>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56" w:type="dxa"/>
            <w:gridSpan w:val="2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61" w:type="dxa"/>
            <w:tcBorders/>
            <w:shd w:fill="FFFFFF" w:val="clear"/>
            <w:vAlign w:val="center"/>
          </w:tcPr>
          <w:p>
            <w:pPr>
              <w:pStyle w:val="TableContents"/>
              <w:bidi w:val="0"/>
              <w:spacing w:before="0" w:after="283"/>
              <w:jc w:val="center"/>
              <w:rPr/>
            </w:pPr>
            <w:r>
              <w:rPr/>
              <w:t> </w:t>
            </w:r>
          </w:p>
        </w:tc>
      </w:tr>
      <w:tr>
        <w:trPr/>
        <w:tc>
          <w:tcPr>
            <w:tcW w:w="21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2,964,293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(3,217,469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(250,538</w:t>
            </w:r>
          </w:p>
        </w:tc>
        <w:tc>
          <w:tcPr>
            <w:tcW w:w="361" w:type="dxa"/>
            <w:tcBorders/>
            <w:shd w:fill="CFF0FC"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associated</w:t>
              <w:br/>
              <w:t>   with at-the-market offering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costs associated with at-the-market</w:t>
              <w:br/>
              <w:t>   offering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361" w:type="dxa"/>
            <w:tcBorders/>
            <w:shd w:fill="CFF0FC"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 units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pursuant to </w:t>
              <w:br/>
              <w:t>   conversion of the Mann Group</w:t>
              <w:br/>
              <w:t>   convertible note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3,655</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(9,795</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2,969,225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(3,227,264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(255,396</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associated</w:t>
              <w:br/>
              <w:t>   with at-the-market offering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1,583</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costs associated with at-the-market</w:t>
              <w:br/>
              <w:t>   offering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361" w:type="dxa"/>
            <w:tcBorders/>
            <w:shd w:fill="FFFFFF"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pursuant to </w:t>
              <w:br/>
              <w:t>   conversion of the Mann Group</w:t>
              <w:br/>
              <w:t>   convertible note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w:t>
              <w:br/>
              <w:t>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(8,544</w:t>
            </w:r>
          </w:p>
        </w:tc>
        <w:tc>
          <w:tcPr>
            <w:tcW w:w="361" w:type="dxa"/>
            <w:tcBorders/>
            <w:shd w:fill="FFFFFF"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under </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5,580</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from market</w:t>
              <w:br/>
              <w:t>   price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Cumulative gain on available-for-sale</w:t>
              <w:br/>
              <w: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(5,265</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2,968,917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(3,232,529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(260,487</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associated</w:t>
              <w:br/>
              <w:t>   with at-the-market offering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4,105</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costs associated with at-the-market</w:t>
              <w:br/>
              <w:t>   offering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361" w:type="dxa"/>
            <w:tcBorders/>
            <w:shd w:fill="FFFFFF"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pursuant to </w:t>
              <w:br/>
              <w:t>   conversion of the Mann Group</w:t>
              <w:br/>
              <w:t>   convertible note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w:t>
              <w:br/>
              <w:t>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(1,708</w:t>
            </w:r>
          </w:p>
        </w:tc>
        <w:tc>
          <w:tcPr>
            <w:tcW w:w="361" w:type="dxa"/>
            <w:tcBorders/>
            <w:shd w:fill="FFFFFF"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4,601</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2,975,891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(3,230,808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(251,779</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12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42"/>
        <w:gridCol w:w="146"/>
        <w:gridCol w:w="146"/>
        <w:gridCol w:w="586"/>
        <w:gridCol w:w="146"/>
        <w:gridCol w:w="146"/>
        <w:gridCol w:w="181"/>
        <w:gridCol w:w="436"/>
        <w:gridCol w:w="146"/>
        <w:gridCol w:w="146"/>
        <w:gridCol w:w="196"/>
        <w:gridCol w:w="752"/>
        <w:gridCol w:w="151"/>
        <w:gridCol w:w="146"/>
        <w:gridCol w:w="640"/>
        <w:gridCol w:w="1228"/>
        <w:gridCol w:w="146"/>
        <w:gridCol w:w="146"/>
        <w:gridCol w:w="218"/>
        <w:gridCol w:w="891"/>
        <w:gridCol w:w="151"/>
        <w:gridCol w:w="146"/>
        <w:gridCol w:w="181"/>
        <w:gridCol w:w="631"/>
        <w:gridCol w:w="361"/>
      </w:tblGrid>
      <w:tr>
        <w:trPr/>
        <w:tc>
          <w:tcPr>
            <w:tcW w:w="2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8"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center"/>
              <w:rPr/>
            </w:pPr>
            <w:r>
              <w:rPr/>
              <w:t> </w:t>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56" w:type="dxa"/>
            <w:gridSpan w:val="2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61" w:type="dxa"/>
            <w:tcBorders/>
            <w:shd w:fill="FFFFFF" w:val="clear"/>
            <w:vAlign w:val="center"/>
          </w:tcPr>
          <w:p>
            <w:pPr>
              <w:pStyle w:val="TableContents"/>
              <w:bidi w:val="0"/>
              <w:spacing w:before="0" w:after="283"/>
              <w:jc w:val="center"/>
              <w:rPr/>
            </w:pPr>
            <w:r>
              <w:rPr/>
              <w:t> </w:t>
            </w:r>
          </w:p>
        </w:tc>
      </w:tr>
      <w:tr>
        <w:trPr/>
        <w:tc>
          <w:tcPr>
            <w:tcW w:w="21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2,980,539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(3,229,407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(246,168</w:t>
            </w:r>
          </w:p>
        </w:tc>
        <w:tc>
          <w:tcPr>
            <w:tcW w:w="361" w:type="dxa"/>
            <w:tcBorders/>
            <w:shd w:fill="CFF0FC"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Issuance of common stock from market</w:t>
              <w:br/>
              <w:t>     price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 units</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pursuant to </w:t>
              <w:br/>
              <w:t>   conversion of the Mann Group</w:t>
              <w:br/>
              <w:t>   convertible note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3,885</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2,986,104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(3,218,777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(229,970</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(4,933</w:t>
            </w:r>
          </w:p>
        </w:tc>
        <w:tc>
          <w:tcPr>
            <w:tcW w:w="361" w:type="dxa"/>
            <w:tcBorders/>
            <w:shd w:fill="FFFFFF"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pursuant to </w:t>
              <w:br/>
              <w:t>   conversion of the Mann Group</w:t>
              <w:br/>
              <w:t>   convertible note principal and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3,750</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 xml:space="preserve">Issuance of common stock under </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6,428</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2,992,271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(3,220,791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(225,780</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w:t>
              <w:br/>
              <w:t>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(1,511</w:t>
            </w:r>
          </w:p>
        </w:tc>
        <w:tc>
          <w:tcPr>
            <w:tcW w:w="361" w:type="dxa"/>
            <w:tcBorders/>
            <w:shd w:fill="FFFFFF" w:val="cle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12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5,227</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1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Cumulative gain on available-for-sale</w:t>
              <w:br/>
              <w: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1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11,550</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2,995,974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(3,209,241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(209,926</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MANNKIND CORPORATION AND SUBSIDIARIES</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18"/>
        </w:rPr>
        <w:t>CONDENSED CONSOLIDATED STATEMENTS OF CASH FLOWS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172" w:type="dxa"/>
        <w:jc w:val="left"/>
        <w:tblInd w:w="0" w:type="dxa"/>
        <w:tblLayout w:type="fixed"/>
        <w:tblCellMar>
          <w:top w:w="28" w:type="dxa"/>
          <w:left w:w="28" w:type="dxa"/>
          <w:bottom w:w="28" w:type="dxa"/>
          <w:right w:w="28" w:type="dxa"/>
        </w:tblCellMar>
      </w:tblPr>
      <w:tblGrid>
        <w:gridCol w:w="6916"/>
        <w:gridCol w:w="146"/>
        <w:gridCol w:w="207"/>
        <w:gridCol w:w="723"/>
        <w:gridCol w:w="173"/>
        <w:gridCol w:w="167"/>
        <w:gridCol w:w="207"/>
        <w:gridCol w:w="637"/>
        <w:gridCol w:w="996"/>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14"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996" w:type="dxa"/>
            <w:tcBorders/>
            <w:shd w:fill="FFFFFF" w:val="clear"/>
            <w:vAlign w:val="center"/>
          </w:tcPr>
          <w:p>
            <w:pPr>
              <w:pStyle w:val="TableContents"/>
              <w:bidi w:val="0"/>
              <w:spacing w:before="0" w:after="283"/>
              <w:jc w:val="center"/>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44"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200"/>
              <w:jc w:val="righ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20,166</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(13,339</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Adjustments to reconcile net income (loss) to net cash provided by</w:t>
              <w:br/>
              <w:t>   operating activities:</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44"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400"/>
              <w:jc w:val="right"/>
              <w:rPr/>
            </w:pPr>
            <w:r>
              <w:rPr/>
              <w:t> </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15,540</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13,836</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on liability for sale of future royalties</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w:t>
            </w:r>
          </w:p>
        </w:tc>
        <w:tc>
          <w:tcPr>
            <w:tcW w:w="173"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7,050</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5,211</w:t>
            </w:r>
          </w:p>
        </w:tc>
        <w:tc>
          <w:tcPr>
            <w:tcW w:w="173"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3,310</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Write-off of inventory</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1,909</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3,659</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(gain) on available-for-sale securities</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1,550</w:t>
            </w:r>
          </w:p>
        </w:tc>
        <w:tc>
          <w:tcPr>
            <w:tcW w:w="173"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(932</w:t>
            </w:r>
          </w:p>
        </w:tc>
        <w:tc>
          <w:tcPr>
            <w:tcW w:w="996" w:type="dxa"/>
            <w:tcBorders/>
            <w:shd w:fill="CFF0FC" w:val="cle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on estimated returns of acquired product</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1,444</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debt discount and issuance costs</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w:t>
            </w:r>
          </w:p>
        </w:tc>
        <w:tc>
          <w:tcPr>
            <w:tcW w:w="173"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1,570</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right-of-use assets</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1,140</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(gain) on foreign currency transaction</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w:t>
            </w:r>
          </w:p>
        </w:tc>
        <w:tc>
          <w:tcPr>
            <w:tcW w:w="173"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w:t>
            </w:r>
          </w:p>
        </w:tc>
        <w:tc>
          <w:tcPr>
            <w:tcW w:w="996" w:type="dxa"/>
            <w:tcBorders/>
            <w:shd w:fill="CFF0FC" w:val="cle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on Mann Group convertible note</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173"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Sold portion of royalty revenue</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(7,533</w:t>
            </w:r>
          </w:p>
        </w:tc>
        <w:tc>
          <w:tcPr>
            <w:tcW w:w="17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Gain on bargain purchase</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(5,259</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9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accretion of investments</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(3,765</w:t>
            </w:r>
          </w:p>
        </w:tc>
        <w:tc>
          <w:tcPr>
            <w:tcW w:w="17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w:t>
            </w:r>
          </w:p>
        </w:tc>
        <w:tc>
          <w:tcPr>
            <w:tcW w:w="996" w:type="dxa"/>
            <w:tcBorders/>
            <w:shd w:fill="FFFFFF" w:val="cle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righ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844"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600"/>
              <w:jc w:val="right"/>
              <w:rPr/>
            </w:pPr>
            <w:r>
              <w:rPr/>
              <w:t> </w:t>
            </w:r>
          </w:p>
        </w:tc>
      </w:tr>
      <w:tr>
        <w:trPr/>
        <w:tc>
          <w:tcPr>
            <w:tcW w:w="691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(3,728</w:t>
            </w:r>
          </w:p>
        </w:tc>
        <w:tc>
          <w:tcPr>
            <w:tcW w:w="17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(5,021</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(9,004</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(6,442</w:t>
            </w:r>
          </w:p>
        </w:tc>
        <w:tc>
          <w:tcPr>
            <w:tcW w:w="17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(8,516</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(2,821</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(3,136</w:t>
            </w:r>
          </w:p>
        </w:tc>
        <w:tc>
          <w:tcPr>
            <w:tcW w:w="17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5,702</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691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(4,809</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(3,824</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(7,211</w:t>
            </w:r>
          </w:p>
        </w:tc>
        <w:tc>
          <w:tcPr>
            <w:tcW w:w="17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33,722</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691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Recognized loss on purchase commitments</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(2,689</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(6,810</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w:t>
            </w:r>
          </w:p>
        </w:tc>
        <w:tc>
          <w:tcPr>
            <w:tcW w:w="17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(1,778</w:t>
            </w:r>
          </w:p>
        </w:tc>
        <w:tc>
          <w:tcPr>
            <w:tcW w:w="996" w:type="dxa"/>
            <w:tcBorders/>
            <w:shd w:fill="FFFFFF" w:val="cle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2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19,867</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12,416</w:t>
            </w:r>
          </w:p>
        </w:tc>
        <w:tc>
          <w:tcPr>
            <w:tcW w:w="9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INVESTING ACTIVITIES:</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844"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held-to-maturity debt securities</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(273,789</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(50,516</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held-to-maturity debt securities</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135,317</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92,608</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(6,797</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(36,567</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insurance claim</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w:t>
            </w:r>
          </w:p>
        </w:tc>
        <w:tc>
          <w:tcPr>
            <w:tcW w:w="996" w:type="dxa"/>
            <w:tcBorders/>
            <w:shd w:fill="FFFFFF" w:val="clear"/>
            <w:vAlign w:val="center"/>
          </w:tcPr>
          <w:p>
            <w:pPr>
              <w:pStyle w:val="TableContents"/>
              <w:bidi w:val="0"/>
              <w:spacing w:before="0" w:after="283"/>
              <w:ind w:left="0" w:right="0" w:firstLine="800"/>
              <w:jc w:val="left"/>
              <w:rPr/>
            </w:pPr>
            <w:r>
              <w:rPr/>
              <w:t> </w:t>
            </w:r>
          </w:p>
        </w:tc>
      </w:tr>
      <w:tr>
        <w:trPr/>
        <w:tc>
          <w:tcPr>
            <w:tcW w:w="691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CFF0FC" w:val="clear"/>
            <w:vAlign w:val="center"/>
          </w:tcPr>
          <w:p>
            <w:pPr>
              <w:pStyle w:val="TableContents"/>
              <w:bidi w:val="0"/>
              <w:spacing w:before="0" w:after="283"/>
              <w:jc w:val="right"/>
              <w:rPr/>
            </w:pPr>
            <w:r>
              <w:rPr/>
              <w:t> </w:t>
            </w:r>
          </w:p>
        </w:tc>
        <w:tc>
          <w:tcPr>
            <w:tcW w:w="2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(144,873</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5,907</w:t>
            </w:r>
          </w:p>
        </w:tc>
        <w:tc>
          <w:tcPr>
            <w:tcW w:w="9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844"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and early extinguishment payments on MidCap credit facility</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(36,617</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(1,667</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and early extinguishment payments on Mann Group convertible note</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(8,854</w:t>
            </w:r>
          </w:p>
        </w:tc>
        <w:tc>
          <w:tcPr>
            <w:tcW w:w="17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Payments for taxes related to net issuance of common stock associated with</w:t>
              <w:br/>
              <w:t>   restricted stock units and stock options</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(6,178</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(10,200</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market price stock purchase plan and employee stock purchase plan</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2,320</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1,075</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Milestone payment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(924</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financing liability</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17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financing lease liability</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7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at-the-market offering</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6,887</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6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costs associated with at-the-market offering</w:t>
            </w:r>
          </w:p>
        </w:tc>
        <w:tc>
          <w:tcPr>
            <w:tcW w:w="146" w:type="dxa"/>
            <w:tcBorders/>
            <w:shd w:fill="CFF0FC" w:val="cle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FFFFFF" w:val="cle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(50,366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FFFFFF" w:val="cle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(5,074</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(DECREASE) INCREASE IN CASH, CASH EQUIVALENTS AND RESTRICTED CASH</w:t>
            </w:r>
          </w:p>
        </w:tc>
        <w:tc>
          <w:tcPr>
            <w:tcW w:w="146" w:type="dxa"/>
            <w:tcBorders/>
            <w:shd w:fill="CFF0FC" w:val="cle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(175,372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7" w:type="dxa"/>
            <w:tcBorders/>
            <w:shd w:fill="CFF0FC" w:val="cle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13,249</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BEGINNING OF PERIOD</w:t>
            </w:r>
          </w:p>
        </w:tc>
        <w:tc>
          <w:tcPr>
            <w:tcW w:w="146" w:type="dxa"/>
            <w:tcBorders/>
            <w:shd w:fill="FFFFFF" w:val="cle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238,480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69,767</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CFF0FC" w:val="cle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63,108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83,016</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11" w:type="dxa"/>
        <w:jc w:val="left"/>
        <w:tblInd w:w="0" w:type="dxa"/>
        <w:tblLayout w:type="fixed"/>
        <w:tblCellMar>
          <w:top w:w="28" w:type="dxa"/>
          <w:left w:w="28" w:type="dxa"/>
          <w:bottom w:w="28" w:type="dxa"/>
          <w:right w:w="28" w:type="dxa"/>
        </w:tblCellMar>
      </w:tblPr>
      <w:tblGrid>
        <w:gridCol w:w="5861"/>
        <w:gridCol w:w="146"/>
        <w:gridCol w:w="239"/>
        <w:gridCol w:w="675"/>
        <w:gridCol w:w="192"/>
        <w:gridCol w:w="192"/>
        <w:gridCol w:w="239"/>
        <w:gridCol w:w="576"/>
        <w:gridCol w:w="291"/>
      </w:tblGrid>
      <w:tr>
        <w:trPr/>
        <w:tc>
          <w:tcPr>
            <w:tcW w:w="5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3"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58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DISCLOSURES:</w:t>
            </w:r>
          </w:p>
        </w:tc>
        <w:tc>
          <w:tcPr>
            <w:tcW w:w="146" w:type="dxa"/>
            <w:tcBorders/>
            <w:shd w:fill="CFF0FC" w:val="clear"/>
            <w:vAlign w:val="center"/>
          </w:tcPr>
          <w:p>
            <w:pPr>
              <w:pStyle w:val="TableContents"/>
              <w:bidi w:val="0"/>
              <w:spacing w:before="0" w:after="283"/>
              <w:jc w:val="right"/>
              <w:rPr/>
            </w:pPr>
            <w:r>
              <w:rPr/>
              <w:t> </w:t>
            </w:r>
          </w:p>
        </w:tc>
        <w:tc>
          <w:tcPr>
            <w:tcW w:w="914"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left"/>
              <w:rPr/>
            </w:pPr>
            <w:r>
              <w:rPr/>
              <w:t> </w:t>
            </w:r>
          </w:p>
        </w:tc>
        <w:tc>
          <w:tcPr>
            <w:tcW w:w="81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586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paid in cash</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13,616</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7,978</w:t>
            </w:r>
          </w:p>
        </w:tc>
        <w:tc>
          <w:tcPr>
            <w:tcW w:w="291" w:type="dxa"/>
            <w:tcBorders/>
            <w:shd w:fill="FFFFFF" w:val="clear"/>
            <w:vAlign w:val="center"/>
          </w:tcPr>
          <w:p>
            <w:pPr>
              <w:pStyle w:val="TableContents"/>
              <w:bidi w:val="0"/>
              <w:spacing w:before="0" w:after="283"/>
              <w:jc w:val="left"/>
              <w:rPr/>
            </w:pPr>
            <w:r>
              <w:rPr/>
              <w:t> </w:t>
            </w:r>
          </w:p>
        </w:tc>
      </w:tr>
      <w:tr>
        <w:trPr/>
        <w:tc>
          <w:tcPr>
            <w:tcW w:w="586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taxes paid in cash</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1,961</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8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FFFFFF" w:val="clear"/>
            <w:vAlign w:val="center"/>
          </w:tcPr>
          <w:p>
            <w:pPr>
              <w:pStyle w:val="TableContents"/>
              <w:bidi w:val="0"/>
              <w:spacing w:before="0" w:after="283"/>
              <w:jc w:val="right"/>
              <w:rPr/>
            </w:pPr>
            <w:r>
              <w:rPr/>
              <w:t> </w:t>
            </w:r>
          </w:p>
        </w:tc>
        <w:tc>
          <w:tcPr>
            <w:tcW w:w="914"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c>
          <w:tcPr>
            <w:tcW w:w="81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58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Assumption of right-of-use-asset and operating lease liability</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10,057</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8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Non-cash acquisition of intangible asset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4,300</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8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Payments of Mann Group principal and interest through common stock issuances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3,806</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8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Amortization of liability for sale of future royalties</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2,912</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8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Non-cash construction-in-progress, property and equipment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1,486</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8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Non-cash acquisition of property and equipment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8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Addition of right-of-use-asset and financing lease liability</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8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Right-of-use asset modification</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8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Goodwill adjustment for a net reduction in liabilities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18"/>
        </w:rPr>
      </w:pPr>
      <w:r>
        <w:rPr>
          <w:rFonts w:ascii="Times New Roman" w:hAnsi="Times New Roman"/>
          <w:color w:val="000000"/>
          <w:sz w:val="18"/>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sz w:val="20"/>
        </w:rPr>
      </w:pPr>
      <w:bookmarkStart w:id="9" w:name="notes_to_condensed_consolidated_financia"/>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Description of Business and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2023, filed with the SEC on February 27, 2024 (the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management, all adjustments, consisting only of normal, recurring adjustments, considered necessary for a fair presentation of the results of these interim periods have been included. The results of operations for the three and nine months ended September 30, 2024 may not be indicative of the results that may be expected for the full year. </w:t>
      </w:r>
    </w:p>
    <w:p>
      <w:pPr>
        <w:pStyle w:val="TextBody"/>
        <w:bidi w:val="0"/>
        <w:spacing w:before="240" w:after="283"/>
        <w:jc w:val="left"/>
        <w:rPr>
          <w:rFonts w:ascii="Times New Roman" w:hAnsi="Times New Roman"/>
          <w:sz w:val="20"/>
        </w:rPr>
      </w:pPr>
      <w:r>
        <w:rPr>
          <w:rFonts w:ascii="Times New Roman" w:hAnsi="Times New Roman"/>
          <w:i/>
          <w:color w:val="000000"/>
          <w:sz w:val="20"/>
        </w:rPr>
        <w:t>Financial Statement Estimates</w:t>
      </w:r>
      <w:r>
        <w:rPr>
          <w:rFonts w:ascii="Times New Roman" w:hAnsi="Times New Roman"/>
          <w:color w:val="000000"/>
          <w:sz w:val="20"/>
        </w:rPr>
        <w:t xml:space="preserve"> — The preparation of financial statements in conformity with GAAP requires management to make estimates and 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stock-based compensation, the determination of the provision for income taxes and corresponding deferred tax assets and liabilities, the valuation allowance recorded against net deferred tax assets, and expected cash flows from royalties received in connection with United Therapeutics' ("UT's") net revenue for the sale of Tyvaso DPI.</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Business </w:t>
      </w:r>
      <w:r>
        <w:rPr>
          <w:rFonts w:ascii="Times New Roman" w:hAnsi="Times New Roman"/>
          <w:color w:val="000000"/>
          <w:sz w:val="20"/>
        </w:rPr>
        <w:t xml:space="preserve">— MannKind is a biopharmaceutical company focused on the development and commercialization of innovative therapeutic products and devices to address serious unmet medical needs for those living with endocrine and orphan lung diseases. The Company’s signature technologies—Technosphere dry-powder formulations and Dreamboat inhalation devices—offer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UT, began commercializing Tyvaso DPI in June 2022 and is obligated to pay a 10% royalty on net sales of the product, of which 9% is allocated to the Company and 1% to another party as detailed in Note 15 – </w:t>
      </w:r>
      <w:r>
        <w:rPr>
          <w:rFonts w:ascii="Times New Roman" w:hAnsi="Times New Roman"/>
          <w:i/>
          <w:color w:val="000000"/>
          <w:sz w:val="20"/>
        </w:rPr>
        <w:t>Commitments and Contingencies</w:t>
      </w:r>
      <w:r>
        <w:rPr>
          <w:rFonts w:ascii="Times New Roman" w:hAnsi="Times New Roman"/>
          <w:color w:val="000000"/>
          <w:sz w:val="20"/>
        </w:rPr>
        <w:t>. The Company also receives a margin on supplies of Tyvaso DPI that it manufactures for UT.</w:t>
      </w:r>
    </w:p>
    <w:p>
      <w:pPr>
        <w:pStyle w:val="TextBody"/>
        <w:bidi w:val="0"/>
        <w:spacing w:before="24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 The condensed consolidated financial statements have been prepared in accordance with GAAP. </w:t>
      </w:r>
    </w:p>
    <w:p>
      <w:pPr>
        <w:pStyle w:val="TextBody"/>
        <w:bidi w:val="0"/>
        <w:spacing w:before="240" w:after="283"/>
        <w:jc w:val="left"/>
        <w:rPr>
          <w:rFonts w:ascii="Times New Roman" w:hAnsi="Times New Roman"/>
          <w:sz w:val="20"/>
        </w:rPr>
      </w:pPr>
      <w:r>
        <w:rPr>
          <w:rFonts w:ascii="Times New Roman" w:hAnsi="Times New Roman"/>
          <w:i/>
          <w:color w:val="000000"/>
          <w:sz w:val="20"/>
        </w:rPr>
        <w:t>Principles of Consolidation</w:t>
      </w:r>
      <w:r>
        <w:rPr>
          <w:rFonts w:ascii="Times New Roman" w:hAnsi="Times New Roman"/>
          <w:color w:val="000000"/>
          <w:sz w:val="20"/>
        </w:rPr>
        <w:t xml:space="preserve"> — The condensed consolidated financial statements include the accounts of the Company and its wholly-owned subsidiaries. Intercompany balances and transactions have been eliminated.</w:t>
      </w:r>
    </w:p>
    <w:p>
      <w:pPr>
        <w:pStyle w:val="TextBody"/>
        <w:bidi w:val="0"/>
        <w:spacing w:before="240" w:after="283"/>
        <w:jc w:val="left"/>
        <w:rPr>
          <w:rFonts w:ascii="Times New Roman" w:hAnsi="Times New Roman"/>
          <w:sz w:val="20"/>
        </w:rPr>
      </w:pPr>
      <w:r>
        <w:rPr>
          <w:rFonts w:ascii="Times New Roman" w:hAnsi="Times New Roman"/>
          <w:i/>
          <w:color w:val="000000"/>
          <w:sz w:val="20"/>
        </w:rPr>
        <w:t>Reclassifications</w:t>
      </w:r>
      <w:r>
        <w:rPr>
          <w:rFonts w:ascii="Times New Roman" w:hAnsi="Times New Roman"/>
          <w:color w:val="000000"/>
          <w:sz w:val="20"/>
        </w:rPr>
        <w:t xml:space="preserve"> — Certain amounts reported in the prior period have been reclassified to conform with current period presentation. The Company has separated non-cash accretion income on investments from other, net, and presented it as net accretion of investments in the condensed consolidated statements of cash flows. The Company has also presented non-cash interest accretion on financing liability in other, net. Additionally, the Company has combined accruals for the Danbury facility buildout with other in Note 8 – </w:t>
      </w:r>
      <w:r>
        <w:rPr>
          <w:rFonts w:ascii="Times New Roman" w:hAnsi="Times New Roman"/>
          <w:i/>
          <w:color w:val="000000"/>
          <w:sz w:val="20"/>
        </w:rPr>
        <w:t>Accrued Expenses and Other Current Liabilities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Segment Information</w:t>
      </w:r>
      <w:r>
        <w:rPr>
          <w:rFonts w:ascii="Times New Roman" w:hAnsi="Times New Roman"/>
          <w:color w:val="000000"/>
          <w:sz w:val="20"/>
        </w:rPr>
        <w:t xml:space="preserve"> — 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in the United States of America ("U.S.").</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 The Company recognizes revenue when its customers obtain control of promised goods or services, in an amount that reflects the consideration which the Company expects to be entitled in exchange for those goods or services.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determine revenue recognition for arrangements that are within the scope of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 — Net Revenue — Commercial Product Sales —</w:t>
      </w:r>
      <w:r>
        <w:rPr>
          <w:rFonts w:ascii="Times New Roman" w:hAnsi="Times New Roman"/>
          <w:color w:val="000000"/>
          <w:sz w:val="20"/>
        </w:rPr>
        <w:t xml:space="preserve"> The Company sells its products to a limited number of wholesale distributors, specialty and retail pharmacies, and DMEs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transfers control and recognizes revenue upon delivery of product to wholesale distributors and specialty pharmacies. The Company transfers control and recognizes revenue on product sales to a retail pharmacy as the product is dispensed to patients. Product revenues are recorded net of applicable reserves, including discounts, allowances, rebates, returns and other incentives. See </w:t>
      </w:r>
      <w:r>
        <w:rPr>
          <w:rFonts w:ascii="Times New Roman" w:hAnsi="Times New Roman"/>
          <w:i/>
          <w:color w:val="000000"/>
          <w:sz w:val="20"/>
        </w:rPr>
        <w:t xml:space="preserve">Reserves for Variable Consideration </w:t>
      </w:r>
      <w:r>
        <w:rPr>
          <w:rFonts w:ascii="Times New Roman" w:hAnsi="Times New Roman"/>
          <w:color w:val="000000"/>
          <w:sz w:val="20"/>
        </w:rPr>
        <w:t>below.</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Reserves for Variable Consideration </w:t>
      </w:r>
      <w:r>
        <w:rPr>
          <w:rFonts w:ascii="Times New Roman" w:hAnsi="Times New Roman"/>
          <w:color w:val="000000"/>
          <w:sz w:val="20"/>
        </w:rPr>
        <w:t>— Revenues from product sales are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Trade Discounts and Allowances </w:t>
      </w:r>
      <w:r>
        <w:rPr>
          <w:rFonts w:ascii="Times New Roman" w:hAnsi="Times New Roman"/>
          <w:color w:val="000000"/>
          <w:sz w:val="20"/>
        </w:rPr>
        <w:t xml:space="preserve">— The Company generally provides Customers with discounts which include incentives, such as prompt pay discounts, that are explicitly stated in the Company’s contracts and are recorded as a reduction of revenue in the period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Product Returns </w:t>
      </w:r>
      <w:r>
        <w:rPr>
          <w:rFonts w:ascii="Times New Roman" w:hAnsi="Times New Roman"/>
          <w:color w:val="000000"/>
          <w:sz w:val="20"/>
        </w:rPr>
        <w:t>— Consistent with industry practice, the Company generally offers Customers a right of return for unopened product that has been 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are made when changes in the Company's assumptions result in revised estimates.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Provider Chargebacks and Discounts </w:t>
      </w:r>
      <w:r>
        <w:rPr>
          <w:rFonts w:ascii="Times New Roman" w:hAnsi="Times New Roman"/>
          <w:color w:val="000000"/>
          <w:sz w:val="20"/>
        </w:rPr>
        <w:t>— Chargebacks for fees and discounts to providers represent the estimated obligations resulting from contractual 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Government Rebates </w:t>
      </w:r>
      <w:r>
        <w:rPr>
          <w:rFonts w:ascii="Times New Roman" w:hAnsi="Times New Roman"/>
          <w:color w:val="000000"/>
          <w:sz w:val="20"/>
        </w:rPr>
        <w:t>— The Company is subject to discount obligations under Medicare and state Medicaid programs. These reserves are recorded in the 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Payer Rebates </w:t>
      </w:r>
      <w:r>
        <w:rPr>
          <w:rFonts w:ascii="Times New Roman" w:hAnsi="Times New Roman"/>
          <w:color w:val="000000"/>
          <w:sz w:val="20"/>
        </w:rPr>
        <w:t>— The Company contracts with certain private payer organizations, primarily insurance companies and pharmacy benefit managers, 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Incentives </w:t>
      </w:r>
      <w:r>
        <w:rPr>
          <w:rFonts w:ascii="Times New Roman" w:hAnsi="Times New Roman"/>
          <w:color w:val="000000"/>
          <w:sz w:val="20"/>
        </w:rPr>
        <w:t>— Other incentives which the Company offers include voluntary patient support programs, such as the Company's co-pay assistance 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Revenue Recognition — Revenue — Collaborations and Services </w:t>
      </w:r>
      <w:r>
        <w:rPr>
          <w:rFonts w:ascii="Times New Roman" w:hAnsi="Times New Roman"/>
          <w:color w:val="000000"/>
          <w:sz w:val="20"/>
        </w:rPr>
        <w:t xml:space="preserve">— The Company enters into licensing, research or other agreements under which the 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has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and Product Sales”). Pre-production activities under the CSA, such as facility expansion services and other administrative services, were considered bundled services under the Manufacturing Services and Product Sales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10 – </w:t>
      </w:r>
      <w:r>
        <w:rPr>
          <w:rFonts w:ascii="Times New Roman" w:hAnsi="Times New Roman"/>
          <w:i/>
          <w:color w:val="000000"/>
          <w:sz w:val="20"/>
        </w:rPr>
        <w:t>Collaboration, Licensing and Other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10 – </w:t>
      </w:r>
      <w:r>
        <w:rPr>
          <w:rFonts w:ascii="Times New Roman" w:hAnsi="Times New Roman"/>
          <w:i/>
          <w:color w:val="000000"/>
          <w:sz w:val="20"/>
        </w:rPr>
        <w:t>Collaboration, Licensing and Other Arrangements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collaboration agreements that allow collaboration partners to select additional optioned products or services, the Company evaluates whether such options contain material rights (i.e., have exercise prices that are discounted compared to what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long-term commercial supply agreement with UT (as amended, the "CSA")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pStyle w:val="TextBody"/>
        <w:bidi w:val="0"/>
        <w:spacing w:before="240" w:after="240"/>
        <w:jc w:val="left"/>
        <w:rPr>
          <w:rFonts w:ascii="Times New Roman" w:hAnsi="Times New Roman"/>
          <w:sz w:val="20"/>
        </w:rPr>
      </w:pPr>
      <w:r>
        <w:rPr>
          <w:rFonts w:ascii="Times New Roman" w:hAnsi="Times New Roman"/>
          <w:i/>
          <w:color w:val="000000"/>
          <w:sz w:val="20"/>
        </w:rPr>
        <w:t>Revenue Recognition — Royalties —</w:t>
      </w:r>
      <w:r>
        <w:rPr>
          <w:rFonts w:ascii="Times New Roman" w:hAnsi="Times New Roman"/>
          <w:color w:val="000000"/>
          <w:sz w:val="20"/>
        </w:rPr>
        <w:t xml:space="preserve"> The Company recognizes royalty revenue for a sales-based or usage-based royalty if it is promised in exchange for an intellectual property license. The royalty revenue is recognized as the latter of the subsequent sale of the product occurs or if the performance obligation to which the royalty has been allocated has been satisfied or partially satisfied. The Company’s UT License Agreement (as defined in Note 10 – </w:t>
      </w:r>
      <w:r>
        <w:rPr>
          <w:rFonts w:ascii="Times New Roman" w:hAnsi="Times New Roman"/>
          <w:i/>
          <w:color w:val="000000"/>
          <w:sz w:val="20"/>
        </w:rPr>
        <w:t>Collaboration, Licensing and Other Arrangements</w:t>
      </w:r>
      <w:r>
        <w:rPr>
          <w:rFonts w:ascii="Times New Roman" w:hAnsi="Times New Roman"/>
          <w:color w:val="000000"/>
          <w:sz w:val="20"/>
        </w:rPr>
        <w:t xml:space="preserve">) entitles it to receive a 10% royalty on net sales of Tyvaso DPI for the license of the Company’s IP that was considered to be interdependent with the development activities that supported the approval of Tyvaso DPI. Although the Company recognizes a 10% royalty on net revenue from the sale of Tyvaso DPI as revenue, it only collects 9% due to its sale in December 2023 of 1% of future royalties as detailed in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net revenue and cost of revenue and goods sold as shown on the condensed consolidated statement of operations is comprised of revenue generated from product sales, services and royalties as shown below (in thousands):</w:t>
      </w:r>
    </w:p>
    <w:tbl>
      <w:tblPr>
        <w:tblW w:w="7317" w:type="dxa"/>
        <w:jc w:val="left"/>
        <w:tblInd w:w="0" w:type="dxa"/>
        <w:tblLayout w:type="fixed"/>
        <w:tblCellMar>
          <w:top w:w="28" w:type="dxa"/>
          <w:left w:w="28" w:type="dxa"/>
          <w:bottom w:w="28" w:type="dxa"/>
          <w:right w:w="28" w:type="dxa"/>
        </w:tblCellMar>
      </w:tblPr>
      <w:tblGrid>
        <w:gridCol w:w="1946"/>
        <w:gridCol w:w="146"/>
        <w:gridCol w:w="211"/>
        <w:gridCol w:w="676"/>
        <w:gridCol w:w="146"/>
        <w:gridCol w:w="146"/>
        <w:gridCol w:w="211"/>
        <w:gridCol w:w="676"/>
        <w:gridCol w:w="146"/>
        <w:gridCol w:w="146"/>
        <w:gridCol w:w="211"/>
        <w:gridCol w:w="781"/>
        <w:gridCol w:w="146"/>
        <w:gridCol w:w="146"/>
        <w:gridCol w:w="211"/>
        <w:gridCol w:w="781"/>
        <w:gridCol w:w="59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Product revenue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Services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Royalties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the revenue from Afrezza and V-Go sales to wholesalers and specialty pharmacies and Tyvaso DPI to UT.</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 xml:space="preserve">Amounts represent revenue generated from the Company's collaboration arrangements, including Next-Gen R&amp;D Services (as defined in Note 10) for UT as well as arrangements with other collaboration partners. See Note 10 – </w:t>
      </w:r>
      <w:r>
        <w:rPr>
          <w:rFonts w:ascii="Times New Roman" w:hAnsi="Times New Roman"/>
          <w:i/>
          <w:color w:val="000000"/>
          <w:sz w:val="18"/>
        </w:rPr>
        <w:t>Collaboration, Licensing and Other Arrangements</w:t>
      </w:r>
      <w:r>
        <w:rPr>
          <w:rFonts w:ascii="Times New Roman" w:hAnsi="Times New Roman"/>
          <w:color w:val="000000"/>
          <w:sz w:val="18"/>
        </w:rPr>
        <w:t xml:space="preserve">. </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Amounts represent royalties on UT’s net revenue from Tyvaso DPI sales.</w:t>
      </w:r>
    </w:p>
    <w:tbl>
      <w:tblPr>
        <w:tblW w:w="9252" w:type="dxa"/>
        <w:jc w:val="left"/>
        <w:tblInd w:w="0" w:type="dxa"/>
        <w:tblLayout w:type="fixed"/>
        <w:tblCellMar>
          <w:top w:w="28" w:type="dxa"/>
          <w:left w:w="28" w:type="dxa"/>
          <w:bottom w:w="28" w:type="dxa"/>
          <w:right w:w="28" w:type="dxa"/>
        </w:tblCellMar>
      </w:tblPr>
      <w:tblGrid>
        <w:gridCol w:w="4091"/>
        <w:gridCol w:w="146"/>
        <w:gridCol w:w="211"/>
        <w:gridCol w:w="676"/>
        <w:gridCol w:w="146"/>
        <w:gridCol w:w="146"/>
        <w:gridCol w:w="211"/>
        <w:gridCol w:w="676"/>
        <w:gridCol w:w="146"/>
        <w:gridCol w:w="146"/>
        <w:gridCol w:w="211"/>
        <w:gridCol w:w="676"/>
        <w:gridCol w:w="146"/>
        <w:gridCol w:w="146"/>
        <w:gridCol w:w="211"/>
        <w:gridCol w:w="676"/>
        <w:gridCol w:w="591"/>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 and cost of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goods sold and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follows accounting guidance in measuring revenue and certain judgments affect the application of its revenue policy. For example, in connection with its existing collaboration agreements, the Company has recorded short-term and long-term deferred revenue on its condensed consolidated balance sheets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Milestone Payments </w:t>
      </w:r>
      <w:r>
        <w:rPr>
          <w:rFonts w:ascii="Times New Roman" w:hAnsi="Times New Roman"/>
          <w:color w:val="000000"/>
          <w:sz w:val="20"/>
        </w:rPr>
        <w:t xml:space="preserve">—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 of the overall transaction price. Any such adjustments are recorded on a cumulative catch-up basis, which would affect license, collaboration, other revenue, and earnings in the period of adjustment.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Goods Sold </w:t>
      </w:r>
      <w:r>
        <w:rPr>
          <w:rFonts w:ascii="Times New Roman" w:hAnsi="Times New Roman"/>
          <w:color w:val="000000"/>
          <w:sz w:val="20"/>
        </w:rPr>
        <w:t>— Cost of goods sold includes material, labor costs and manufacturing overhead. Cost of goods sold also includes a component of 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2016.</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Revenues </w:t>
      </w:r>
      <w:r>
        <w:rPr>
          <w:rFonts w:ascii="Times New Roman" w:hAnsi="Times New Roman"/>
          <w:color w:val="000000"/>
          <w:sz w:val="20"/>
        </w:rPr>
        <w:t xml:space="preserve">— </w:t>
      </w:r>
      <w:r>
        <w:rPr>
          <w:rFonts w:ascii="Times New Roman" w:hAnsi="Times New Roman"/>
          <w:i/>
          <w:color w:val="000000"/>
          <w:sz w:val="20"/>
        </w:rPr>
        <w:t>Collaborations and Services</w:t>
      </w:r>
      <w:r>
        <w:rPr>
          <w:rFonts w:ascii="Times New Roman" w:hAnsi="Times New Roman"/>
          <w:color w:val="000000"/>
          <w:sz w:val="20"/>
        </w:rPr>
        <w:t xml:space="preserve"> — Cost of revenues for collaborations and services includes material, labor costs, manufacturing overhead, and excess capacity costs. These costs, in addition to the write-offs of inventory are recorded as expenses in the period in which they are incurred, rather than as a portion of inventory costs. Cost of revenues for collaborations and services also includes the cost of product development.</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("R&amp;D") —</w:t>
      </w:r>
      <w:r>
        <w:rPr>
          <w:rFonts w:ascii="Times New Roman" w:hAnsi="Times New Roman"/>
          <w:color w:val="000000"/>
          <w:sz w:val="20"/>
        </w:rPr>
        <w:t xml:space="preserve"> Clinical trial expenses result from obligations under contracts with vendors, consultants and clinical site 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 </w:t>
      </w:r>
    </w:p>
    <w:p>
      <w:pPr>
        <w:pStyle w:val="TextBody"/>
        <w:bidi w:val="0"/>
        <w:spacing w:before="240" w:after="283"/>
        <w:jc w:val="left"/>
        <w:rPr>
          <w:rFonts w:ascii="Times New Roman" w:hAnsi="Times New Roman"/>
          <w:sz w:val="20"/>
        </w:rPr>
      </w:pPr>
      <w:r>
        <w:rPr>
          <w:rFonts w:ascii="Times New Roman" w:hAnsi="Times New Roman"/>
          <w:i/>
          <w:color w:val="000000"/>
          <w:sz w:val="20"/>
        </w:rPr>
        <w:t>Cash, Cash Equivalents and Restricted Cash</w:t>
      </w:r>
      <w:r>
        <w:rPr>
          <w:rFonts w:ascii="Times New Roman" w:hAnsi="Times New Roman"/>
          <w:color w:val="000000"/>
          <w:sz w:val="20"/>
        </w:rPr>
        <w:t xml:space="preserve"> — The Company considers all highly liquid investments with original or remaining maturities of 90 days or less at the time of purchase that are readily convertible into cash to be cash equivalents. As of September 30, 2024 and December 31, 2023, cash equivalents were comprised of money market funds, U.S. Treasury securities, corporate bonds and commercial paper with original maturities less than 90 days from the date of purchase.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records restricted cash when cash and cash equivalents are restricted as to withdrawal or usage. Restricted cash under a letter of credit issued in connection with a facility lease assumed by the Company that will not be available for use in the Company’s operations within 12 months of the reporting date is presented in non-current assets. See Note 2 – </w:t>
      </w:r>
      <w:r>
        <w:rPr>
          <w:rFonts w:ascii="Times New Roman" w:hAnsi="Times New Roman"/>
          <w:i/>
          <w:color w:val="000000"/>
          <w:sz w:val="20"/>
        </w:rPr>
        <w:t>Pulmatrix Transaction.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Held-to-Maturity Investments</w:t>
      </w:r>
      <w:r>
        <w:rPr>
          <w:rFonts w:ascii="Times New Roman" w:hAnsi="Times New Roman"/>
          <w:color w:val="000000"/>
          <w:sz w:val="20"/>
        </w:rPr>
        <w:t xml:space="preserve"> — The Company’s investments generally consist of commercial paper, corporate notes or bonds and U.S. Treasury securities. As of September 30, 2024 and December 31, 2023, the Company held short-term and long-term investments of debt securities, including commercial paper and bonds.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condensed consolidated balance sheets. The amortization or accretion of the Company’s investments is recognized as interest income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Available-for-Sale Investment</w:t>
      </w:r>
      <w:r>
        <w:rPr>
          <w:rFonts w:ascii="Times New Roman" w:hAnsi="Times New Roman"/>
          <w:color w:val="000000"/>
          <w:sz w:val="20"/>
        </w:rPr>
        <w:t xml:space="preserve"> — In June 2021, the Company purchased a $3.0 million convertible promissory note issued by Thirona Bio, Inc. (“Thirona”). In January 2022, the Company purchased an additional $5.0 million convertible promissory note issued by Thirona (the “Thirona convertible notes”). The Thirona convertible notes are general unsecured obligations of Thirona and initially accrued interest at a rate of 6% per annum. Unless earlier converted into conversion shares pursuant to the note purchase agreement, the aggregate principal of $8.0 million and accrued interest shall be due and payable by Thirona on demand by the Company at any time after the maturity date. The Thirona convertible notes were amended in February 2023 to extend the maturity date from December 31, 2022 to June 30, 2024, and again on June 27, 2024 to extend the maturity date to June 30, 2026 and increase the interest rate to 10% per annum.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Thirona convertible notes are classified as available-for-sale securities and included in other assets as of September 30, 2024 and prepaid expense and other current assets as of December 31, 2023 in the condensed consolidated balance sheets. The Company periodically assesses whether it has any intention to sell the investment, determines the fair value of its available-for-sale investment using level 3 inputs and assesses whether there were other-than-temporary impairments associated with the investment. Unrealized holding gains and losses are excluded from earnings and reported in other comprehensive income until realized, while unrealized losses related to credit risk are reported through earnings in the period incurred.</w:t>
      </w:r>
    </w:p>
    <w:p>
      <w:pPr>
        <w:pStyle w:val="TextBody"/>
        <w:bidi w:val="0"/>
        <w:spacing w:before="240" w:after="283"/>
        <w:jc w:val="left"/>
        <w:rPr>
          <w:rFonts w:ascii="Times New Roman" w:hAnsi="Times New Roman"/>
          <w:sz w:val="20"/>
        </w:rPr>
      </w:pPr>
      <w:r>
        <w:rPr>
          <w:rFonts w:ascii="Times New Roman" w:hAnsi="Times New Roman"/>
          <w:i/>
          <w:color w:val="000000"/>
          <w:sz w:val="20"/>
        </w:rPr>
        <w:t>Concentration of Credit Risk</w:t>
      </w:r>
      <w:r>
        <w:rPr>
          <w:rFonts w:ascii="Times New Roman" w:hAnsi="Times New Roman"/>
          <w:color w:val="000000"/>
          <w:sz w:val="20"/>
        </w:rPr>
        <w:t xml:space="preserve"> — Financial instruments that potentially subject the Company to concentration of credit risk consisted of cash and cash equivalents and investments. Cash and cash equivalents are held in high credit quality institutions. Cash equivalents consisted of interest-bearing money market funds and U.S. Treasury securities with original or remaining maturities of 90 days or 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of purchase. Investments generally consisted of commercial paper, corporate notes or bonds and U.S. Treasury securities. The cash equivalents and investments are regularly monitored by management.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Accounts Receivable and Allowance for Credit Losses </w:t>
      </w:r>
      <w:r>
        <w:rPr>
          <w:rFonts w:ascii="Times New Roman" w:hAnsi="Times New Roman"/>
          <w:color w:val="000000"/>
          <w:sz w:val="20"/>
        </w:rPr>
        <w:t>— Accounts receivable are recorded at the invoiced amount and are not interest bearing. Accounts 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Pre-Launch Inventory </w:t>
      </w:r>
      <w:r>
        <w:rPr>
          <w:rFonts w:ascii="Times New Roman" w:hAnsi="Times New Roman"/>
          <w:color w:val="000000"/>
          <w:sz w:val="20"/>
        </w:rPr>
        <w:t xml:space="preserve">— An improvement to the manufacturing process for the Company’s primary excipient, fumaryl diketopiperazine (“FDKP”) was demonstrated to be viable and management expects to realize an economic benefit in the future as a result of such process improvement. Accordingly, the Company is required to assess whether to capitalize inventory costs related to such excipient prior to validation of the improved manufacturing process and adoption of the new supplier. In doing so, management must consider a number of factors in order to determine the amount of inventory to be capitalized, including the historical experience of modifying the Company’s manufacturing processes, feedback from technical experts and regulatory agencies on the changes being effected and the amount of inventory that is likely to be used in commercial production. The shelf life of the excipient will be determined as part of the validation process; in the interim, the Company must assess the available stability data to determine whether there is likely to be adequate shelf life to support anticipated future sales occurring beyond the expected adoption date of the new raw material.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choosing instead to recognize such costs as R&amp;D expense in the period incurred. See Note 5 – </w:t>
      </w:r>
      <w:r>
        <w:rPr>
          <w:rFonts w:ascii="Times New Roman" w:hAnsi="Times New Roman"/>
          <w:i/>
          <w:color w:val="000000"/>
          <w:sz w:val="20"/>
        </w:rPr>
        <w:t>Inventories.</w:t>
      </w:r>
    </w:p>
    <w:p>
      <w:pPr>
        <w:pStyle w:val="TextBody"/>
        <w:bidi w:val="0"/>
        <w:spacing w:before="240" w:after="283"/>
        <w:jc w:val="left"/>
        <w:rPr>
          <w:rFonts w:ascii="Times New Roman" w:hAnsi="Times New Roman"/>
          <w:sz w:val="20"/>
        </w:rPr>
      </w:pPr>
      <w:r>
        <w:rPr>
          <w:rFonts w:ascii="Times New Roman" w:hAnsi="Times New Roman"/>
          <w:i/>
          <w:color w:val="000000"/>
          <w:sz w:val="20"/>
        </w:rPr>
        <w:t>Inventories</w:t>
      </w:r>
      <w:r>
        <w:rPr>
          <w:rFonts w:ascii="Times New Roman" w:hAnsi="Times New Roman"/>
          <w:color w:val="000000"/>
          <w:sz w:val="20"/>
        </w:rPr>
        <w:t xml:space="preserve"> — Inventories are stated at the lower of cost or net realizable value. The Company determines the cost of inventory using the first-in, first-out, 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pStyle w:val="TextBody"/>
        <w:bidi w:val="0"/>
        <w:spacing w:before="240" w:after="283"/>
        <w:jc w:val="left"/>
        <w:rPr>
          <w:rFonts w:ascii="Times New Roman" w:hAnsi="Times New Roman"/>
          <w:sz w:val="20"/>
        </w:rPr>
      </w:pPr>
      <w:r>
        <w:rPr>
          <w:rFonts w:ascii="Times New Roman" w:hAnsi="Times New Roman"/>
          <w:i/>
          <w:color w:val="000000"/>
          <w:sz w:val="20"/>
        </w:rPr>
        <w:t>Property and Equipment</w:t>
      </w:r>
      <w:r>
        <w:rPr>
          <w:rFonts w:ascii="Times New Roman" w:hAnsi="Times New Roman"/>
          <w:color w:val="000000"/>
          <w:sz w:val="20"/>
        </w:rPr>
        <w:t xml:space="preserve"> — Property and equipment is recorded at historical cost, net of accumulated depreciation. Depreciation expense is recorded over the assets’ useful lives on a straight-line basis and included in cost of goods sold, research and development, and general and administrative expense in the condensed consolidated statements of operations. See Note 6 – </w:t>
      </w:r>
      <w:r>
        <w:rPr>
          <w:rFonts w:ascii="Times New Roman" w:hAnsi="Times New Roman"/>
          <w:i/>
          <w:color w:val="000000"/>
          <w:sz w:val="20"/>
        </w:rPr>
        <w:t>Property and Equipment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Impairment of Long-Lived Assets</w:t>
      </w:r>
      <w:r>
        <w:rPr>
          <w:rFonts w:ascii="Times New Roman" w:hAnsi="Times New Roman"/>
          <w:color w:val="000000"/>
          <w:sz w:val="20"/>
        </w:rPr>
        <w:t xml:space="preserve"> — Long-lived assets include property and equipment, operating lease right-of-use assets and other intangible assets. The Company evaluates long-lived assets for impairment whenever events or changes in circumstances indicate that the carrying value of an asset may not be recoverable. Assets are considered to be impaired if the carrying value is considered to be unrecoverable.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Acquisitions — </w:t>
      </w:r>
      <w:r>
        <w:rPr>
          <w:rFonts w:ascii="Times New Roman" w:hAnsi="Times New Roman"/>
          <w:color w:val="000000"/>
          <w:sz w:val="20"/>
        </w:rPr>
        <w:t xml:space="preserve">The Company first determines whether a set of assets acquired constitute a business and should be accounted for as a business combination. 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and liabilities assumed are recorded at their respective fair values as of the acquisition date in the Company’s condensed consolidated financial statements. Leases are recorded at the net present value of the remaining lease payments. The excess of the fair value of consideration transferred over the fair value of the net assets acquired is recorded as goodwill. A gain on bargain purchase is recorded if the fair value of the net assets acquired exceeds the fair value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consideration transferred.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Goodwill and Other Intangible Assets — </w:t>
      </w:r>
      <w:r>
        <w:rPr>
          <w:rFonts w:ascii="Times New Roman" w:hAnsi="Times New Roman"/>
          <w:color w:val="000000"/>
          <w:sz w:val="20"/>
        </w:rPr>
        <w:t xml:space="preserve">The fair value of acquired intangible assets is determined using either a cost approach or an income approach. The cost approach establishes fair value based on the cost of reproducing or replacing the asset, less depreciation for functional or economic obsolescence. The income approach, referred to as the excess earnings method, utilizes Level 3 fair value inputs to determine the present value of future economic benefits to be derived from ownership of the intangible asset. Market participant valuations assume a global view considering all potential jurisdictions and indications based on discounted after-tax cash flow projections, risk adjusted for estimated probability of technical and regulatory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IPR&amp;D acquired in a business combination is considered an indefinite-lived intangible asset until the completion or abandonment of the associated R&amp;D efforts. During the R&amp;D period, the asset is not amortized but rather is tested for impairment when facts or circumstances suggest that the carrying value of the asset may not be recoverable. Once the R&amp;D efforts are completed, the Company accounts for the resulting asset as a finite-lived intangible asset. If the R&amp;D efforts are abandoned, the asset balance is written off to R&amp;D expense.</w:t>
      </w:r>
    </w:p>
    <w:p>
      <w:pPr>
        <w:pStyle w:val="TextBody"/>
        <w:bidi w:val="0"/>
        <w:spacing w:before="240" w:after="283"/>
        <w:jc w:val="left"/>
        <w:rPr>
          <w:rFonts w:ascii="Times New Roman" w:hAnsi="Times New Roman"/>
          <w:sz w:val="20"/>
        </w:rPr>
      </w:pPr>
      <w:r>
        <w:rPr>
          <w:rFonts w:ascii="Times New Roman" w:hAnsi="Times New Roman"/>
          <w:i/>
          <w:color w:val="000000"/>
          <w:sz w:val="20"/>
        </w:rPr>
        <w:t>Recognized Loss on Purchase Commitments</w:t>
      </w:r>
      <w:r>
        <w:rPr>
          <w:rFonts w:ascii="Times New Roman" w:hAnsi="Times New Roman"/>
          <w:color w:val="000000"/>
          <w:sz w:val="20"/>
        </w:rPr>
        <w:t xml:space="preserve"> — The Company reviews the terms of the long-term supply agreements and assesses the need for any accrual for estimated losses, such as lower of cost or net realizable value, that will not be recovered by future product sales. The recognized loss on purchase commitments is reduced as inventory items are received or as the liability is extinguished. See Note 15 – </w:t>
      </w:r>
      <w:r>
        <w:rPr>
          <w:rFonts w:ascii="Times New Roman" w:hAnsi="Times New Roman"/>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Rights Liability</w:t>
      </w:r>
      <w:r>
        <w:rPr>
          <w:rFonts w:ascii="Times New Roman" w:hAnsi="Times New Roman"/>
          <w:color w:val="000000"/>
          <w:sz w:val="20"/>
        </w:rPr>
        <w:t xml:space="preserve"> — In July 2013, in conjunction with the execution of a (now repaid) loan agreement with Deerfield Private Design Fund II, L.P. 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$50.0 million of which remains payable as of September 30, 2024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are now entitled to all rights under the Milestone Rights Agreement. The Milestone Rights liability is reported at fair value at the date of the agreement which is periodically offset against payments. See Note 11 – </w:t>
      </w:r>
      <w:r>
        <w:rPr>
          <w:rFonts w:ascii="Times New Roman" w:hAnsi="Times New Roman"/>
          <w:i/>
          <w:color w:val="000000"/>
          <w:sz w:val="20"/>
        </w:rPr>
        <w:t>Fair Value of Financial Instruments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is remeasured as the specified milestone events are achieved. Specifically, as each milestone event is achieved, the portion of the initially recorded Milestone Rights liability that pertains to the milestone event being achieved, is remeasured to the amount of the specified related milestone payment. The resulting change in the balance of the Milestone Rights liability due to remeasurement is recorded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Company’s condensed consolidated statements of operations as interest expense. Furthermore, the Milestone Rights liability is reduced upon the settlement of each milestone payment. As a result, each milestone payment is effectively allocated between a reduction of the recorded Milestone Rights liability and an expense representing a return on a portion of the Milestone Rights liability paid to the investor for the achievement of the related milestone event. See Note 8 – </w:t>
      </w:r>
      <w:r>
        <w:rPr>
          <w:rFonts w:ascii="Times New Roman" w:hAnsi="Times New Roman"/>
          <w:i/>
          <w:color w:val="000000"/>
          <w:sz w:val="20"/>
        </w:rPr>
        <w:t>Accrued Expenses and Other Current Liabilities</w:t>
      </w:r>
      <w:r>
        <w:rPr>
          <w:rFonts w:ascii="Times New Roman" w:hAnsi="Times New Roman"/>
          <w:color w:val="000000"/>
          <w:sz w:val="20"/>
        </w:rPr>
        <w:t xml:space="preserve"> and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Fair Value of Financial Instruments </w:t>
      </w:r>
      <w:r>
        <w:rPr>
          <w:rFonts w:ascii="Times New Roman" w:hAnsi="Times New Roman"/>
          <w:color w:val="000000"/>
          <w:sz w:val="20"/>
        </w:rPr>
        <w:t xml:space="preserve">— 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for identical instruments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Significant inputs to the valuation model are unobservable.</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 The provisions for federal, foreign, state and local income taxes are calculated on pre-tax income based on current tax law and 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 </w:t>
      </w:r>
    </w:p>
    <w:p>
      <w:pPr>
        <w:pStyle w:val="TextBody"/>
        <w:bidi w:val="0"/>
        <w:spacing w:before="240" w:after="283"/>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 The Company records a loss contingency for a liability 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Stock-Based Compensation </w:t>
      </w:r>
      <w:r>
        <w:rPr>
          <w:rFonts w:ascii="Times New Roman" w:hAnsi="Times New Roman"/>
          <w:color w:val="000000"/>
          <w:sz w:val="20"/>
        </w:rPr>
        <w:t xml:space="preserve">— Share-based payments to employees, including grants of restricted stock units (“RSUs”), performance-based non-qualified stock options awards (“PNQs”),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 </w:t>
      </w:r>
    </w:p>
    <w:p>
      <w:pPr>
        <w:pStyle w:val="TextBody"/>
        <w:bidi w:val="0"/>
        <w:spacing w:before="240" w:after="283"/>
        <w:jc w:val="left"/>
        <w:rPr>
          <w:rFonts w:ascii="Times New Roman" w:hAnsi="Times New Roman"/>
          <w:sz w:val="20"/>
        </w:rPr>
      </w:pPr>
      <w:r>
        <w:rPr>
          <w:rFonts w:ascii="Times New Roman" w:hAnsi="Times New Roman"/>
          <w:i/>
          <w:color w:val="000000"/>
          <w:sz w:val="20"/>
        </w:rPr>
        <w:t>Net Income (Loss) Per Share of Common Stock</w:t>
      </w:r>
      <w:r>
        <w:rPr>
          <w:rFonts w:ascii="Times New Roman" w:hAnsi="Times New Roman"/>
          <w:color w:val="000000"/>
          <w:sz w:val="20"/>
        </w:rPr>
        <w:t xml:space="preserve"> — Basic net income or loss per share ("EPS") is calculated by dividing net income by the weighted average number of common shares outstanding for the period. Diluted EPS reflects the effect of potential common stock issuances resulting from assumed stock option exercises and vesting of restricted stock units,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Recently Issued Accounting Standards</w:t>
      </w:r>
      <w:r>
        <w:rPr>
          <w:rFonts w:ascii="Times New Roman" w:hAnsi="Times New Roman"/>
          <w:color w:val="000000"/>
          <w:sz w:val="20"/>
        </w:rPr>
        <w:t xml:space="preserve"> — In December 2023, the FASB issued ASU No. 2023-09, </w:t>
      </w:r>
      <w:r>
        <w:rPr>
          <w:rFonts w:ascii="Times New Roman" w:hAnsi="Times New Roman"/>
          <w:i/>
          <w:color w:val="000000"/>
          <w:sz w:val="20"/>
        </w:rPr>
        <w:t>Improvements to Income Tax Disclosures (Topic 740)</w:t>
      </w:r>
      <w:r>
        <w:rPr>
          <w:rFonts w:ascii="Times New Roman" w:hAnsi="Times New Roman"/>
          <w:color w:val="000000"/>
          <w:sz w:val="20"/>
        </w:rPr>
        <w:t>. This ASU requires disaggregated information about a public entity’s effective tax rate reconciliation as well as additional information on income taxes paid. This ASU is effective on a prospective basis for annual periods beginning after December 15, 2024. Early adoption is permitted for annual financial statements that have not yet been issued or made available for issuance. The Company is currently evaluating the impact of the guidance on its condensed consolidated financial statement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pStyle w:val="TextBody"/>
        <w:bidi w:val="0"/>
        <w:spacing w:before="240" w:after="283"/>
        <w:jc w:val="left"/>
        <w:rPr>
          <w:rFonts w:ascii="Times New Roman" w:hAnsi="Times New Roman"/>
          <w:sz w:val="20"/>
        </w:rPr>
      </w:pPr>
      <w:r>
        <w:rPr>
          <w:rFonts w:ascii="Times New Roman" w:hAnsi="Times New Roman"/>
          <w:b/>
          <w:color w:val="000000"/>
          <w:sz w:val="20"/>
        </w:rPr>
        <w:t>2. Pulmatrix Transaction</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color w:val="000000"/>
          <w:sz w:val="20"/>
        </w:rPr>
        <w:t>On May 28, 2024, the Company executed a bill of sale and assignment agreement with Pulmatrix, Inc. ("Pulmatrix") whereby the Company acquired from Pulmatrix certain lab assets and assumed certain liabilities, including the lease for an R&amp;D facility in Bedford, Massachusetts. Concurrently, the Company and Pulmatrix entered into an intellectual property cross-license agreement (the "Cross License Agreement") for the Company's out-licensing of its Cricket</w:t>
      </w:r>
      <w:r>
        <w:rPr>
          <w:rFonts w:ascii="Times New Roman" w:hAnsi="Times New Roman"/>
          <w:color w:val="000000"/>
          <w:sz w:val="13"/>
        </w:rPr>
        <w:t>®</w:t>
      </w:r>
      <w:r>
        <w:rPr>
          <w:rFonts w:ascii="Times New Roman" w:hAnsi="Times New Roman"/>
          <w:color w:val="000000"/>
          <w:sz w:val="20"/>
        </w:rPr>
        <w:t xml:space="preserve"> Device to Pulmatrix and in-licensing of Pulmatrix's iSPERSE technology, and a master service agreement. The parties and landlord also entered into an amendment to lease and consent to assignment of the lease. Each of these agreements became effective upon the closing of the collective transaction (the "Pulmatrix Transaction") on July 8, 2024 (the "Effective Date"). The Company also entered into employment agreements with 13 Pulmatrix R&amp;D employees who began employment with the Company on the Effective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Cross License Agreement, the Company granted to Pulmatrix certain exclusive and non-exclusive rights to develop, use, manufacture, market, offer and sell its single-use disposable dry powder inhaler (the "Cricket Device") for the inhaled delivery of dihydroergotamine in any formulation whatsoever (including Pulmatrix's’s PUR3100 treatment of acute migraine), and the inhaled delivery of one or more active pharmaceutical ingredients formulated with iSPERSE for the treatment of neurological disease in humans (collectively, the “Cricket License”).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return, Pulmatrix granted to the Company certain exclusive and non-exclusive rights to develop, use, manufacture, market, offer and sell iSPERSE formulations of clofazimine and insulin, and formulations of iSPERSE with one or more active pharmaceutical ingredients for the treatment of nontuberculous mycobacteria lung disease in humans, endocrine disease in humans, and interstitial lung diseases in humans (collectively, the “iSPERSE License”).</w:t>
      </w:r>
    </w:p>
    <w:p>
      <w:pPr>
        <w:pStyle w:val="TextBody"/>
        <w:bidi w:val="0"/>
        <w:jc w:val="left"/>
        <w:rPr>
          <w:rFonts w:ascii="Times New Roman" w:hAnsi="Times New Roman"/>
          <w:color w:val="000000"/>
          <w:sz w:val="20"/>
        </w:rPr>
      </w:pPr>
      <w:r>
        <w:rPr>
          <w:rFonts w:ascii="Times New Roman" w:hAnsi="Times New Roman"/>
          <w:color w:val="000000"/>
          <w:sz w:val="20"/>
        </w:rPr>
        <w:t>The Company may also provide certain development services to Pulmatrix under the Master Services Agreement, including but not limited to, activities to develop a dry powder formulation of the active pharmaceutical ingredient that Pulmatrix provides to the Company for oral inhalation using iSPERSE.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Accounting Treatment</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Pulmatrix Transaction was accounted for as a business combination using the acquisition method of accounting, which requires, among other things, the assets acquired and liabilities assumed to be recognized at their respective fair values as of the Effective Date. The excess of the fair value of the net assets acquired over the purchase price in this non-cash transaction was recorded as a gain on bargain purchase.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fair values of identifiable assets acquired and liabilities assumed by the Company from Pulmatrix as of the Effective Date are reflected below (in thousands):</w:t>
      </w:r>
    </w:p>
    <w:tbl>
      <w:tblPr>
        <w:tblW w:w="5860" w:type="dxa"/>
        <w:jc w:val="left"/>
        <w:tblInd w:w="0" w:type="dxa"/>
        <w:tblLayout w:type="fixed"/>
        <w:tblCellMar>
          <w:top w:w="28" w:type="dxa"/>
          <w:left w:w="28" w:type="dxa"/>
          <w:bottom w:w="28" w:type="dxa"/>
          <w:right w:w="28" w:type="dxa"/>
        </w:tblCellMar>
      </w:tblPr>
      <w:tblGrid>
        <w:gridCol w:w="4236"/>
        <w:gridCol w:w="146"/>
        <w:gridCol w:w="211"/>
        <w:gridCol w:w="676"/>
        <w:gridCol w:w="591"/>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200"/>
              <w:jc w:val="center"/>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iSPERSE License – IPR&amp;D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 – Bedford R&amp;D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 Bedford R&amp;D facility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acquired – Gain on bargain purchase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20"/>
        </w:rPr>
        <w:t xml:space="preserve">The fair value of the Cricket License transferred to Pulmatrix was determined to be immaterial based on the current market availability of numerous third party single-dose dry powder inhalers and the significant time, cost, and risk required to potentially commercialize the Cricket Device. </w:t>
      </w:r>
      <w:r>
        <w:rPr>
          <w:rFonts w:ascii="Times New Roman" w:hAnsi="Times New Roman"/>
          <w:color w:val="212529"/>
          <w:sz w:val="20"/>
        </w:rPr>
        <w:t>The transfer of the Cricket License was within the scope of ASC 606 as a sale of functional intellectual property, however, since no value was attributed to the Cricket License, no revenue was recognized by the Company.</w:t>
      </w:r>
    </w:p>
    <w:p>
      <w:pPr>
        <w:pStyle w:val="TextBody"/>
        <w:bidi w:val="0"/>
        <w:spacing w:before="240" w:after="240"/>
        <w:jc w:val="left"/>
        <w:rPr>
          <w:rFonts w:ascii="Times New Roman" w:hAnsi="Times New Roman"/>
          <w:color w:val="212529"/>
          <w:sz w:val="20"/>
        </w:rPr>
      </w:pPr>
      <w:r>
        <w:rPr>
          <w:rFonts w:ascii="Times New Roman" w:hAnsi="Times New Roman"/>
          <w:color w:val="212529"/>
          <w:sz w:val="20"/>
        </w:rPr>
        <w:t>The fair value of the iSPERSE License was determined by applying a cost approach, which assesses current replacement cost to acquire or construct a substitute asset of comparable utility as of the Effective Date. The iSPERSE License was deemed to have a fair value of $4.3 million based on the estimate of internal and external costs to recreate the underlying technology, which are inputs not observable in the market and therefore considered Level 3 measurements. The iSPERSE technology will be utilized in the Company's continuing R&amp;D efforts and accounted for as IPR&amp;D.</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The fair values of the right-of-use asset and lease liability for the assumed R&amp;D facility operating lease were assessed in accordance with ASC 842, </w:t>
      </w:r>
      <w:r>
        <w:rPr>
          <w:rFonts w:ascii="Times New Roman" w:hAnsi="Times New Roman"/>
          <w:i/>
          <w:color w:val="000000"/>
          <w:sz w:val="20"/>
        </w:rPr>
        <w:t>Leases</w:t>
      </w:r>
      <w:r>
        <w:rPr>
          <w:rFonts w:ascii="Times New Roman" w:hAnsi="Times New Roman"/>
          <w:color w:val="000000"/>
          <w:sz w:val="20"/>
        </w:rPr>
        <w:t xml:space="preserve">, based on discounted cash flows from future lease payments, utilizing the Company’s incremental borrowing rate of 7.25%. In June 2024, in anticipation of the facility lease assumption on the Effective Date, the Company transferred $0.7 million to a depository account at a financial institution to collateralize a conditional stand-by letter of credit as required under the lease. This amount is reflected as long-term restricted cash as of September 30, 2024. The lease term extends from the Effective Date through November 30, 2033 with monthly payments of $0.1 million increasing 3% annually starting on December 1, 2024. See Note 15 – </w:t>
      </w:r>
      <w:r>
        <w:rPr>
          <w:rFonts w:ascii="Times New Roman" w:hAnsi="Times New Roman"/>
          <w:i/>
          <w:color w:val="000000"/>
          <w:sz w:val="20"/>
        </w:rPr>
        <w:t>Commitments and Contingencies.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Property and equipment were assessed for monetary benefit, remaining economic life, and relative risk based on the Company's industry knowledge and analysis of sales of comparable equipment to arrive at fair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Transaction costs totaling $0.1 million were expensed as incurred and reflected in the condensed consolidated statements of operations for the three and nine months ended September 30, 2024.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 forma results of operation for the Transaction have not been presented, as the effects of the Transaction were not material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Cash Equivalents </w:t>
      </w:r>
      <w:r>
        <w:rPr>
          <w:rFonts w:ascii="Times New Roman" w:hAnsi="Times New Roman"/>
          <w:color w:val="000000"/>
          <w:sz w:val="20"/>
        </w:rPr>
        <w:t xml:space="preserve">— Cash equivalents consist of highly liquid investments with original or remaining maturities of 90 days or less at the time of purchase that are readily convertible into cash. </w:t>
      </w:r>
    </w:p>
    <w:p>
      <w:pPr>
        <w:pStyle w:val="TextBody"/>
        <w:bidi w:val="0"/>
        <w:spacing w:before="240" w:after="283"/>
        <w:jc w:val="left"/>
        <w:rPr>
          <w:rFonts w:ascii="Times New Roman" w:hAnsi="Times New Roman"/>
          <w:sz w:val="20"/>
        </w:rPr>
      </w:pPr>
      <w:r>
        <w:rPr>
          <w:rFonts w:ascii="Times New Roman" w:hAnsi="Times New Roman"/>
          <w:i/>
          <w:color w:val="000000"/>
          <w:sz w:val="20"/>
        </w:rPr>
        <w:t>Available-for-Sale Investment</w:t>
      </w:r>
      <w:r>
        <w:rPr>
          <w:rFonts w:ascii="Times New Roman" w:hAnsi="Times New Roman"/>
          <w:color w:val="000000"/>
          <w:sz w:val="20"/>
        </w:rPr>
        <w:t xml:space="preserve"> — The Company's investment in Thirona is comprised of two notes with aggregate face value of $8.0 million and stated interest rate of 10%. The Thirona convertible notes are classified as available-for-sale securities and are included in other assets as of September 30, 2024 and prepaid expenses and other current assets as of December 31, 2023 in the condensed consolidated balance sheets. Available-for-sale investments are measured at fair value with realized gains and losses reported in other income (expense) in the condensed consolidated statements of operations. Unrealized holding gains and losses are excluded from earnings and reported in other comprehensive income (loss) until realized. The Company determines the fair value of its available-for-sale investments using level 3 inputs and evaluates the fair value of its investment in Thirona by applying a scenario based method with a hypothetical yield of 28.0% and 35.0%, and volatility of 70.0% and 90.0% at September 30, 2024 and December 31, 2023, respectively. As of September 30, 2024 and December 31, 2023, the fair value of the Company's investment in Thirona was $5.9 million and $6.9 million, respectively. For the three and nine months ended September 30, 2024, the Company recorded an unrealized holding gain of $0.6 million. Additionally, for the nine months ended September 30, 2024, the Company recognized a loss of $1.6 million on its investment in Thirona as a result of modification of the Thirona convertible notes. For the three and nine months ended September 30, 2023, the Company recognized a gain of $0.9 million on its investment in Thirona as a result of the recovery of a temporary impairment and an unrealized holding gain of $0.4 million. For the three and nine months ended September 30, 2024, the Company recognized no interest income on investment and $0.1 million and $0.4 million for the three and nine months ended September 30, 2023, respectively.</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Held-to-Maturity Investments </w:t>
      </w:r>
      <w:r>
        <w:rPr>
          <w:rFonts w:ascii="Times New Roman" w:hAnsi="Times New Roman"/>
          <w:color w:val="000000"/>
          <w:sz w:val="20"/>
        </w:rPr>
        <w:t>— Investments consist of highly liquid investments that are intended to facilitate liquidity and capital preservation. The amortization or accretion of the Company’s investments is recognized in the condensed consolidated statements of operations as interest income. For the three and nine months ended September 30, 2024, the Company recognized $3.2 million and $9.8 million, respectively, of interest income on investments, of which $2.1 million and $6.0 million, respectively, was net accretion on certain investments. For the three and nine months ended September 30, 2023, the Company recognized $1.5 million and $4.0 million, respectively, of interest income on investments, of which $0.5 million and $0.9 million, respectively, was net accretion on certain investments. No allowance for credit losses on held-to-maturity securities was required as of September 30, 2024 or December 31, 2023.</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contractual maturities of the Company’s held-to-maturity investments are summarized below (in thousands): </w:t>
      </w:r>
    </w:p>
    <w:tbl>
      <w:tblPr>
        <w:tblW w:w="8687"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11"/>
        <w:gridCol w:w="781"/>
        <w:gridCol w:w="146"/>
        <w:gridCol w:w="146"/>
        <w:gridCol w:w="211"/>
        <w:gridCol w:w="781"/>
        <w:gridCol w:w="146"/>
        <w:gridCol w:w="146"/>
        <w:gridCol w:w="211"/>
        <w:gridCol w:w="781"/>
        <w:gridCol w:w="5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Due in one year or less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115,374</w:t>
            </w:r>
          </w:p>
        </w:tc>
        <w:tc>
          <w:tcPr>
            <w:tcW w:w="5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122,571</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sz w:val="20"/>
        </w:rPr>
      </w:pPr>
      <w:r>
        <w:rPr>
          <w:rFonts w:ascii="Times New Roman" w:hAnsi="Times New Roman"/>
          <w:color w:val="000000"/>
          <w:sz w:val="18"/>
        </w:rPr>
        <w:t>The investments due in one year or less include cash equivalents of $41.6</w:t>
      </w:r>
      <w:r>
        <w:rPr>
          <w:rFonts w:ascii="Times New Roman" w:hAnsi="Times New Roman"/>
          <w:color w:val="000000"/>
          <w:sz w:val="20"/>
        </w:rPr>
        <w:t xml:space="preserve"> </w:t>
      </w:r>
      <w:r>
        <w:rPr>
          <w:rFonts w:ascii="Times New Roman" w:hAnsi="Times New Roman"/>
          <w:color w:val="000000"/>
          <w:sz w:val="18"/>
        </w:rPr>
        <w:t>million as of September 30, 2024</w:t>
      </w:r>
      <w:r>
        <w:rPr>
          <w:rFonts w:ascii="Times New Roman" w:hAnsi="Times New Roman"/>
          <w:color w:val="000000"/>
          <w:sz w:val="20"/>
        </w:rPr>
        <w:t xml:space="preserve"> and </w:t>
      </w:r>
      <w:r>
        <w:rPr>
          <w:rFonts w:ascii="Times New Roman" w:hAnsi="Times New Roman"/>
          <w:color w:val="000000"/>
          <w:sz w:val="18"/>
        </w:rPr>
        <w:t>$58.6</w:t>
      </w:r>
      <w:r>
        <w:rPr>
          <w:rFonts w:ascii="Times New Roman" w:hAnsi="Times New Roman"/>
          <w:color w:val="000000"/>
          <w:sz w:val="20"/>
        </w:rPr>
        <w:t xml:space="preserve"> </w:t>
      </w:r>
      <w:r>
        <w:rPr>
          <w:rFonts w:ascii="Times New Roman" w:hAnsi="Times New Roman"/>
          <w:color w:val="000000"/>
          <w:sz w:val="18"/>
        </w:rPr>
        <w:t>million as of December 31, 2023.</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fair value of the cash equivalents, long-term and short-term investments are disclosed below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6"/>
        <w:gridCol w:w="146"/>
        <w:gridCol w:w="1112"/>
        <w:gridCol w:w="146"/>
        <w:gridCol w:w="249"/>
        <w:gridCol w:w="924"/>
        <w:gridCol w:w="166"/>
        <w:gridCol w:w="146"/>
        <w:gridCol w:w="472"/>
        <w:gridCol w:w="946"/>
        <w:gridCol w:w="146"/>
        <w:gridCol w:w="146"/>
        <w:gridCol w:w="398"/>
        <w:gridCol w:w="713"/>
        <w:gridCol w:w="166"/>
        <w:gridCol w:w="146"/>
        <w:gridCol w:w="211"/>
        <w:gridCol w:w="781"/>
        <w:gridCol w:w="615"/>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8"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and other</w:t>
            </w:r>
          </w:p>
        </w:tc>
        <w:tc>
          <w:tcPr>
            <w:tcW w:w="146"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31,298</w:t>
            </w:r>
          </w:p>
        </w:tc>
        <w:tc>
          <w:tcPr>
            <w:tcW w:w="615" w:type="dxa"/>
            <w:tcBorders/>
            <w:shd w:fill="CFF0FC" w:val="clear"/>
            <w:vAlign w:val="center"/>
          </w:tcPr>
          <w:p>
            <w:pPr>
              <w:pStyle w:val="TableContents"/>
              <w:bidi w:val="0"/>
              <w:spacing w:before="0" w:after="283"/>
              <w:jc w:val="left"/>
              <w:rPr/>
            </w:pPr>
            <w:r>
              <w:rPr/>
              <w:t> </w:t>
            </w:r>
          </w:p>
        </w:tc>
      </w:tr>
      <w:tr>
        <w:trPr/>
        <w:tc>
          <w:tcPr>
            <w:tcW w:w="2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57,733</w:t>
            </w:r>
          </w:p>
        </w:tc>
        <w:tc>
          <w:tcPr>
            <w:tcW w:w="615" w:type="dxa"/>
            <w:tcBorders/>
            <w:shd w:fill="FFFFFF" w:val="clear"/>
            <w:vAlign w:val="center"/>
          </w:tcPr>
          <w:p>
            <w:pPr>
              <w:pStyle w:val="TableContents"/>
              <w:bidi w:val="0"/>
              <w:spacing w:before="0" w:after="283"/>
              <w:jc w:val="left"/>
              <w:rPr/>
            </w:pPr>
            <w:r>
              <w:rPr/>
              <w:t> </w:t>
            </w:r>
          </w:p>
        </w:tc>
      </w:tr>
      <w:tr>
        <w:trPr/>
        <w:tc>
          <w:tcPr>
            <w:tcW w:w="2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159,516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248,547</w:t>
            </w:r>
          </w:p>
        </w:tc>
        <w:tc>
          <w:tcPr>
            <w:tcW w:w="615" w:type="dxa"/>
            <w:tcBorders/>
            <w:shd w:fill="FFFFFF" w:val="clear"/>
            <w:vAlign w:val="center"/>
          </w:tcPr>
          <w:p>
            <w:pPr>
              <w:pStyle w:val="TableContents"/>
              <w:bidi w:val="0"/>
              <w:spacing w:before="0" w:after="283"/>
              <w:jc w:val="left"/>
              <w:rPr/>
            </w:pPr>
            <w:r>
              <w:rPr/>
              <w:t> </w:t>
            </w:r>
          </w:p>
        </w:tc>
      </w:tr>
      <w:tr>
        <w:trPr/>
        <w:tc>
          <w:tcPr>
            <w:tcW w:w="2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206,965</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6"/>
        <w:gridCol w:w="146"/>
        <w:gridCol w:w="1112"/>
        <w:gridCol w:w="146"/>
        <w:gridCol w:w="249"/>
        <w:gridCol w:w="924"/>
        <w:gridCol w:w="166"/>
        <w:gridCol w:w="146"/>
        <w:gridCol w:w="472"/>
        <w:gridCol w:w="946"/>
        <w:gridCol w:w="146"/>
        <w:gridCol w:w="146"/>
        <w:gridCol w:w="398"/>
        <w:gridCol w:w="713"/>
        <w:gridCol w:w="166"/>
        <w:gridCol w:w="146"/>
        <w:gridCol w:w="211"/>
        <w:gridCol w:w="781"/>
        <w:gridCol w:w="615"/>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8"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69,611</w:t>
            </w:r>
          </w:p>
        </w:tc>
        <w:tc>
          <w:tcPr>
            <w:tcW w:w="615" w:type="dxa"/>
            <w:tcBorders/>
            <w:shd w:fill="CFF0FC" w:val="clear"/>
            <w:vAlign w:val="center"/>
          </w:tcPr>
          <w:p>
            <w:pPr>
              <w:pStyle w:val="TableContents"/>
              <w:bidi w:val="0"/>
              <w:spacing w:before="0" w:after="283"/>
              <w:jc w:val="left"/>
              <w:rPr/>
            </w:pPr>
            <w:r>
              <w:rPr/>
              <w:t> </w:t>
            </w:r>
          </w:p>
        </w:tc>
      </w:tr>
      <w:tr>
        <w:trPr/>
        <w:tc>
          <w:tcPr>
            <w:tcW w:w="2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43,348</w:t>
            </w:r>
          </w:p>
        </w:tc>
        <w:tc>
          <w:tcPr>
            <w:tcW w:w="615" w:type="dxa"/>
            <w:tcBorders/>
            <w:shd w:fill="FFFFFF" w:val="clear"/>
            <w:vAlign w:val="center"/>
          </w:tcPr>
          <w:p>
            <w:pPr>
              <w:pStyle w:val="TableContents"/>
              <w:bidi w:val="0"/>
              <w:spacing w:before="0" w:after="283"/>
              <w:jc w:val="left"/>
              <w:rPr/>
            </w:pPr>
            <w:r>
              <w:rPr/>
              <w:t> </w:t>
            </w:r>
          </w:p>
        </w:tc>
      </w:tr>
      <w:tr>
        <w:trPr/>
        <w:tc>
          <w:tcPr>
            <w:tcW w:w="2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122,571</w:t>
            </w:r>
          </w:p>
        </w:tc>
        <w:tc>
          <w:tcPr>
            <w:tcW w:w="615" w:type="dxa"/>
            <w:tcBorders/>
            <w:shd w:fill="FFFFFF" w:val="clear"/>
            <w:vAlign w:val="center"/>
          </w:tcPr>
          <w:p>
            <w:pPr>
              <w:pStyle w:val="TableContents"/>
              <w:bidi w:val="0"/>
              <w:spacing w:before="0" w:after="283"/>
              <w:jc w:val="left"/>
              <w:rPr/>
            </w:pPr>
            <w:r>
              <w:rPr/>
              <w:t> </w:t>
            </w:r>
          </w:p>
        </w:tc>
      </w:tr>
      <w:tr>
        <w:trPr/>
        <w:tc>
          <w:tcPr>
            <w:tcW w:w="2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63,927</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and December 31, 2023, there was $1.1 million and $0.5 million, respectively, of accrued interest receivable on investments which is included in prepaid expense and other current assets in our condensed consolidated balance sheets.</w:t>
      </w:r>
    </w:p>
    <w:p>
      <w:pPr>
        <w:pStyle w:val="TextBody"/>
        <w:bidi w:val="0"/>
        <w:spacing w:before="240" w:after="283"/>
        <w:jc w:val="left"/>
        <w:rPr>
          <w:rFonts w:ascii="Times New Roman" w:hAnsi="Times New Roman"/>
          <w:sz w:val="20"/>
        </w:rPr>
      </w:pPr>
      <w:r>
        <w:rPr>
          <w:rFonts w:ascii="Times New Roman" w:hAnsi="Times New Roman"/>
          <w:b/>
          <w:color w:val="000000"/>
          <w:sz w:val="20"/>
        </w:rPr>
        <w:t>4. Accounts Receivable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Accounts receivable, net consists of the following (in thousands): </w:t>
      </w:r>
    </w:p>
    <w:tbl>
      <w:tblPr>
        <w:tblW w:w="9040" w:type="dxa"/>
        <w:jc w:val="left"/>
        <w:tblInd w:w="0" w:type="dxa"/>
        <w:tblLayout w:type="fixed"/>
        <w:tblCellMar>
          <w:top w:w="28" w:type="dxa"/>
          <w:left w:w="28" w:type="dxa"/>
          <w:bottom w:w="28" w:type="dxa"/>
          <w:right w:w="28" w:type="dxa"/>
        </w:tblCellMar>
      </w:tblPr>
      <w:tblGrid>
        <w:gridCol w:w="4746"/>
        <w:gridCol w:w="146"/>
        <w:gridCol w:w="367"/>
        <w:gridCol w:w="1178"/>
        <w:gridCol w:w="166"/>
        <w:gridCol w:w="146"/>
        <w:gridCol w:w="357"/>
        <w:gridCol w:w="1143"/>
        <w:gridCol w:w="7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commercial</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200"/>
              <w:jc w:val="center"/>
              <w:rPr/>
            </w:pPr>
            <w:r>
              <w:rPr/>
              <w:t> </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Wholesaler distribution fees and prompt pay discounts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Reserve for returns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7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accounts receivable – commercial, net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11,358</w:t>
            </w:r>
          </w:p>
        </w:tc>
        <w:tc>
          <w:tcPr>
            <w:tcW w:w="791" w:type="dxa"/>
            <w:tcBorders/>
            <w:shd w:fill="FFFFFF" w:val="clear"/>
            <w:vAlign w:val="center"/>
          </w:tcPr>
          <w:p>
            <w:pPr>
              <w:pStyle w:val="TableContents"/>
              <w:bidi w:val="0"/>
              <w:spacing w:before="0" w:after="283"/>
              <w:jc w:val="left"/>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collaborations and services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791" w:type="dxa"/>
            <w:tcBorders/>
            <w:shd w:fill="CFF0FC" w:val="clear"/>
            <w:vAlign w:val="center"/>
          </w:tcPr>
          <w:p>
            <w:pPr>
              <w:pStyle w:val="TableContents"/>
              <w:bidi w:val="0"/>
              <w:spacing w:before="0" w:after="283"/>
              <w:ind w:left="0" w:right="0" w:firstLine="600"/>
              <w:jc w:val="left"/>
              <w:rPr/>
            </w:pPr>
            <w:r>
              <w:rPr/>
              <w:t> </w:t>
            </w:r>
          </w:p>
        </w:tc>
      </w:tr>
      <w:tr>
        <w:trPr/>
        <w:tc>
          <w:tcPr>
            <w:tcW w:w="474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FFFFFF" w:val="cle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14,901</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allowance for credit losses and doubtful accounts for commercial accounts receivable of $0.2 million was related to accounts receivable for Zealand Pharma US, Inc. As of September 30, 2024, the Company had three wholesale distributors representing approximately 87% of commercial accounts receivable and 77% and 73% of gross sales during the three and nine months ended September 30,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and December 31, 2023, there was no allowance for credit losses for accounts receivable for collaborations and services. The Company had one collaboration partner, UT, that comprised 100% of the collaboration and services net accounts receivable as of September 30, 2024 and December 31, 2023 and approximately 100% of gross revenue from collaborations and services for the three and nine months ended September 30,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Inventories consist of the following (in thousands): </w:t>
      </w:r>
    </w:p>
    <w:tbl>
      <w:tblPr>
        <w:tblW w:w="5470" w:type="dxa"/>
        <w:jc w:val="left"/>
        <w:tblInd w:w="0" w:type="dxa"/>
        <w:tblLayout w:type="fixed"/>
        <w:tblCellMar>
          <w:top w:w="28" w:type="dxa"/>
          <w:left w:w="28" w:type="dxa"/>
          <w:bottom w:w="28" w:type="dxa"/>
          <w:right w:w="28" w:type="dxa"/>
        </w:tblCellMar>
      </w:tblPr>
      <w:tblGrid>
        <w:gridCol w:w="1596"/>
        <w:gridCol w:w="146"/>
        <w:gridCol w:w="367"/>
        <w:gridCol w:w="1178"/>
        <w:gridCol w:w="146"/>
        <w:gridCol w:w="146"/>
        <w:gridCol w:w="357"/>
        <w:gridCol w:w="1143"/>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w:t>
            </w:r>
          </w:p>
        </w:tc>
        <w:tc>
          <w:tcPr>
            <w:tcW w:w="391" w:type="dxa"/>
            <w:tcBorders/>
            <w:shd w:fill="CFF0FC" w:val="clear"/>
            <w:vAlign w:val="center"/>
          </w:tcPr>
          <w:p>
            <w:pPr>
              <w:pStyle w:val="TableContents"/>
              <w:bidi w:val="0"/>
              <w:spacing w:before="0" w:after="283"/>
              <w:jc w:val="left"/>
              <w:rPr/>
            </w:pPr>
            <w:r>
              <w:rPr/>
              <w:t> </w:t>
            </w:r>
          </w:p>
        </w:tc>
      </w:tr>
      <w:tr>
        <w:trPr/>
        <w:tc>
          <w:tcPr>
            <w:tcW w:w="1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13,646</w:t>
            </w:r>
          </w:p>
        </w:tc>
        <w:tc>
          <w:tcPr>
            <w:tcW w:w="391" w:type="dxa"/>
            <w:tcBorders/>
            <w:shd w:fill="FFFFFF" w:val="clear"/>
            <w:vAlign w:val="center"/>
          </w:tcPr>
          <w:p>
            <w:pPr>
              <w:pStyle w:val="TableContents"/>
              <w:bidi w:val="0"/>
              <w:spacing w:before="0" w:after="283"/>
              <w:jc w:val="left"/>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Work-in-process and finished goods as of September 30, 2024 and December 31, 2023 include conversion costs and exclude the cost of insulin. All insulin inventory on hand was written off and the projected loss on the purchase commitment contract to purchase future insulin was accrued as of the end of 2016. Raw materials inventory included $0.8 million of pre-launch inventory as of September 30, 2024 and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September 30, 2024 and December 31, 2023. Inventory that did not meet acceptable standards or was forecasted to become obsolete due to expiration is reserved for inventory obsolescence in the condensed consolidated balance sheets and recorded in costs of goods sold in the condensed consolidated statements of operations. As a result of these assessments there were inventory write-offs of $0.3 million and $1.9 million for the three and nine months ended September 30, 2024, respectively, and $0.3 million and $3.7 million for the three and nine months ended September 30, 2023, respectively. </w:t>
      </w:r>
    </w:p>
    <w:p>
      <w:pPr>
        <w:pStyle w:val="TextBody"/>
        <w:bidi w:val="0"/>
        <w:spacing w:before="240" w:after="283"/>
        <w:jc w:val="left"/>
        <w:rPr>
          <w:rFonts w:ascii="Times New Roman" w:hAnsi="Times New Roman"/>
          <w:sz w:val="20"/>
        </w:rPr>
      </w:pPr>
      <w:r>
        <w:rPr>
          <w:rFonts w:ascii="Times New Roman" w:hAnsi="Times New Roman"/>
          <w:b/>
          <w:color w:val="000000"/>
          <w:sz w:val="20"/>
        </w:rPr>
        <w:t>6. Property and Equipment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Property and equipment consisted of the following (dollars in thousands): </w:t>
      </w:r>
    </w:p>
    <w:tbl>
      <w:tblPr>
        <w:tblW w:w="8872" w:type="dxa"/>
        <w:jc w:val="left"/>
        <w:tblInd w:w="0" w:type="dxa"/>
        <w:tblLayout w:type="fixed"/>
        <w:tblCellMar>
          <w:top w:w="28" w:type="dxa"/>
          <w:left w:w="28" w:type="dxa"/>
          <w:bottom w:w="28" w:type="dxa"/>
          <w:right w:w="28" w:type="dxa"/>
        </w:tblCellMar>
      </w:tblPr>
      <w:tblGrid>
        <w:gridCol w:w="3346"/>
        <w:gridCol w:w="146"/>
        <w:gridCol w:w="391"/>
        <w:gridCol w:w="929"/>
        <w:gridCol w:w="146"/>
        <w:gridCol w:w="146"/>
        <w:gridCol w:w="310"/>
        <w:gridCol w:w="1235"/>
        <w:gridCol w:w="166"/>
        <w:gridCol w:w="146"/>
        <w:gridCol w:w="301"/>
        <w:gridCol w:w="1199"/>
        <w:gridCol w:w="4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57"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Building improvements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46,357</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60,410</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Construction in progress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185,756</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sz w:val="20"/>
        </w:rPr>
      </w:pPr>
      <w:r>
        <w:rPr>
          <w:rFonts w:ascii="Times New Roman" w:hAnsi="Times New Roman"/>
          <w:color w:val="000000"/>
          <w:sz w:val="18"/>
        </w:rPr>
        <w:t>During the nine months ended September 30, 2024, the Company transferred $43.5</w:t>
      </w:r>
      <w:r>
        <w:rPr>
          <w:rFonts w:ascii="Times New Roman" w:hAnsi="Times New Roman"/>
          <w:color w:val="000000"/>
          <w:sz w:val="20"/>
        </w:rPr>
        <w:t xml:space="preserve"> </w:t>
      </w:r>
      <w:r>
        <w:rPr>
          <w:rFonts w:ascii="Times New Roman" w:hAnsi="Times New Roman"/>
          <w:color w:val="000000"/>
          <w:sz w:val="18"/>
        </w:rPr>
        <w:t>million from construction in progress to building improvements for assets placed in service related to the expansion of the Company's manufacturing facility.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Depreciation expense related to property and equipment was as follows (in thousands): </w:t>
      </w:r>
    </w:p>
    <w:tbl>
      <w:tblPr>
        <w:tblW w:w="6247" w:type="dxa"/>
        <w:jc w:val="left"/>
        <w:tblInd w:w="0" w:type="dxa"/>
        <w:tblLayout w:type="fixed"/>
        <w:tblCellMar>
          <w:top w:w="28" w:type="dxa"/>
          <w:left w:w="28" w:type="dxa"/>
          <w:bottom w:w="28" w:type="dxa"/>
          <w:right w:w="28" w:type="dxa"/>
        </w:tblCellMar>
      </w:tblPr>
      <w:tblGrid>
        <w:gridCol w:w="1906"/>
        <w:gridCol w:w="146"/>
        <w:gridCol w:w="211"/>
        <w:gridCol w:w="571"/>
        <w:gridCol w:w="146"/>
        <w:gridCol w:w="146"/>
        <w:gridCol w:w="211"/>
        <w:gridCol w:w="571"/>
        <w:gridCol w:w="146"/>
        <w:gridCol w:w="146"/>
        <w:gridCol w:w="211"/>
        <w:gridCol w:w="571"/>
        <w:gridCol w:w="146"/>
        <w:gridCol w:w="146"/>
        <w:gridCol w:w="211"/>
        <w:gridCol w:w="57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each of the three and nine months ended September 30, 2024, the Company retired $0.1 million of manufacturing equipment as it was no longer in service. The net book value for the disposed assets was </w:t>
      </w:r>
      <w:r>
        <w:rPr>
          <w:rFonts w:ascii="Times New Roman" w:hAnsi="Times New Roman"/>
          <w:i/>
          <w:color w:val="000000"/>
          <w:sz w:val="20"/>
        </w:rPr>
        <w:t>de minimis</w:t>
      </w:r>
      <w:r>
        <w:rPr>
          <w:rFonts w:ascii="Times New Roman" w:hAnsi="Times New Roman"/>
          <w:color w:val="000000"/>
          <w:sz w:val="20"/>
        </w:rPr>
        <w:t>. There were no asset retirements during the three and nine months ended September 30,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Goodwill and Other Intangible Assets</w:t>
      </w:r>
    </w:p>
    <w:p>
      <w:pPr>
        <w:pStyle w:val="TextBody"/>
        <w:bidi w:val="0"/>
        <w:spacing w:before="12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 Goodwill represents the excess of the purchase price over the identifiable tangible and intangible assets acquired plus liabilities assumed arising from business combinations. The balance of goodwill was $1.9 million as of September 30, 2024 and December 31, 2023 as a result of the Company's acquisition of V-Go in May 2022. Goodwill is tested at least annually for impairment by assessing qualitative factors in determining whether it is more likely than not that the fair value of net assets is below their carrying amounts. See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240" w:after="240"/>
        <w:jc w:val="left"/>
        <w:rPr>
          <w:rFonts w:ascii="Times New Roman" w:hAnsi="Times New Roman"/>
          <w:sz w:val="20"/>
        </w:rPr>
      </w:pPr>
      <w:r>
        <w:rPr>
          <w:rFonts w:ascii="Times New Roman" w:hAnsi="Times New Roman"/>
          <w:i/>
          <w:color w:val="000000"/>
          <w:sz w:val="20"/>
        </w:rPr>
        <w:t xml:space="preserve">Other Intangible Assets </w:t>
      </w:r>
      <w:r>
        <w:rPr>
          <w:rFonts w:ascii="Times New Roman" w:hAnsi="Times New Roman"/>
          <w:color w:val="000000"/>
          <w:sz w:val="20"/>
        </w:rPr>
        <w:t>— Other intangible assets consisted of the following (dollars in thousands):</w:t>
      </w:r>
    </w:p>
    <w:tbl>
      <w:tblPr>
        <w:tblW w:w="10496" w:type="dxa"/>
        <w:jc w:val="left"/>
        <w:tblInd w:w="0" w:type="dxa"/>
        <w:tblLayout w:type="fixed"/>
        <w:tblCellMar>
          <w:top w:w="28" w:type="dxa"/>
          <w:left w:w="28" w:type="dxa"/>
          <w:bottom w:w="28" w:type="dxa"/>
          <w:right w:w="28" w:type="dxa"/>
        </w:tblCellMar>
      </w:tblPr>
      <w:tblGrid>
        <w:gridCol w:w="1051"/>
        <w:gridCol w:w="146"/>
        <w:gridCol w:w="245"/>
        <w:gridCol w:w="581"/>
        <w:gridCol w:w="146"/>
        <w:gridCol w:w="146"/>
        <w:gridCol w:w="211"/>
        <w:gridCol w:w="571"/>
        <w:gridCol w:w="146"/>
        <w:gridCol w:w="146"/>
        <w:gridCol w:w="329"/>
        <w:gridCol w:w="752"/>
        <w:gridCol w:w="166"/>
        <w:gridCol w:w="146"/>
        <w:gridCol w:w="211"/>
        <w:gridCol w:w="571"/>
        <w:gridCol w:w="546"/>
        <w:gridCol w:w="546"/>
        <w:gridCol w:w="211"/>
        <w:gridCol w:w="571"/>
        <w:gridCol w:w="146"/>
        <w:gridCol w:w="146"/>
        <w:gridCol w:w="329"/>
        <w:gridCol w:w="752"/>
        <w:gridCol w:w="166"/>
        <w:gridCol w:w="146"/>
        <w:gridCol w:w="211"/>
        <w:gridCol w:w="571"/>
        <w:gridCol w:w="5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32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5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iSPERSE License – IPR&amp;D</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0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Amortization expense related to the developed technology was </w:t>
      </w:r>
      <w:r>
        <w:rPr>
          <w:rFonts w:ascii="Times New Roman" w:hAnsi="Times New Roman"/>
          <w:i/>
          <w:color w:val="000000"/>
          <w:sz w:val="20"/>
        </w:rPr>
        <w:t>de minimis</w:t>
      </w:r>
      <w:r>
        <w:rPr>
          <w:rFonts w:ascii="Times New Roman" w:hAnsi="Times New Roman"/>
          <w:color w:val="000000"/>
          <w:sz w:val="20"/>
        </w:rPr>
        <w:t xml:space="preserve"> for the three and nine months ended September 30, 2024 and 2023. The estimated annual amortization expense for the developed technology for the years ended December 31, 2024 through 2028 is approximately $0.1 million per year and $0.6 million, thereafter.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iSPERSE License — IPR&amp;D is an indefinite-lived intangible asset, and as such is not amortized but rather is tested for impairment when facts or circumstances indicate the carrying value of the asset may not be recoverable. Upon completion of the underlying R&amp;D efforts, the intangible asset will be accounted for as a finite-lived intangible asset. If the R&amp;D efforts are abandoned, the IPR&amp;D asset balance will be written off to R&amp;D expense.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evaluates its other intangible assets for potential impairment annually and when events or changes in circumstances indicate that the carrying amount of an asset or asset group may not be recoverable. See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8. Accrued Expenses and Other Current Liabilities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were comprised of the following (in thousands): </w:t>
      </w:r>
    </w:p>
    <w:tbl>
      <w:tblPr>
        <w:tblW w:w="8465" w:type="dxa"/>
        <w:jc w:val="left"/>
        <w:tblInd w:w="0" w:type="dxa"/>
        <w:tblLayout w:type="fixed"/>
        <w:tblCellMar>
          <w:top w:w="28" w:type="dxa"/>
          <w:left w:w="28" w:type="dxa"/>
          <w:bottom w:w="28" w:type="dxa"/>
          <w:right w:w="28" w:type="dxa"/>
        </w:tblCellMar>
      </w:tblPr>
      <w:tblGrid>
        <w:gridCol w:w="4591"/>
        <w:gridCol w:w="146"/>
        <w:gridCol w:w="367"/>
        <w:gridCol w:w="1178"/>
        <w:gridCol w:w="146"/>
        <w:gridCol w:w="146"/>
        <w:gridCol w:w="357"/>
        <w:gridCol w:w="1143"/>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related expenses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Discounts and allowances for commercial product sales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9,541</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lease liability</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Current portion of milestone rights liability</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Returns reserve for acquired product</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liability</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 xml:space="preserve">See Note 15 </w:t>
      </w:r>
      <w:r>
        <w:rPr>
          <w:rFonts w:ascii="Times New Roman" w:hAnsi="Times New Roman"/>
          <w:color w:val="000000"/>
          <w:sz w:val="20"/>
        </w:rPr>
        <w:t xml:space="preserve">– </w:t>
      </w:r>
      <w:r>
        <w:rPr>
          <w:rFonts w:ascii="Times New Roman" w:hAnsi="Times New Roman"/>
          <w:i/>
          <w:color w:val="000000"/>
          <w:sz w:val="18"/>
        </w:rPr>
        <w:t>Commitments and Contingencies</w:t>
      </w:r>
      <w:r>
        <w:rPr>
          <w:rFonts w:ascii="Times New Roman" w:hAnsi="Times New Roman"/>
          <w:color w:val="000000"/>
          <w:sz w:val="20"/>
        </w:rPr>
        <w:t xml:space="preserve"> </w:t>
      </w:r>
      <w:r>
        <w:rPr>
          <w:rFonts w:ascii="Times New Roman" w:hAnsi="Times New Roman"/>
          <w:color w:val="000000"/>
          <w:sz w:val="18"/>
        </w:rPr>
        <w:t>under</w:t>
      </w:r>
      <w:r>
        <w:rPr>
          <w:rFonts w:ascii="Times New Roman" w:hAnsi="Times New Roman"/>
          <w:color w:val="000000"/>
          <w:sz w:val="20"/>
        </w:rPr>
        <w:t xml:space="preserve"> </w:t>
      </w:r>
      <w:r>
        <w:rPr>
          <w:rFonts w:ascii="Times New Roman" w:hAnsi="Times New Roman"/>
          <w:i/>
          <w:color w:val="000000"/>
          <w:sz w:val="18"/>
        </w:rPr>
        <w:t>Contingencies — Milestone Rights.</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sz w:val="20"/>
        </w:rPr>
      </w:pPr>
      <w:r>
        <w:rPr>
          <w:rFonts w:ascii="Times New Roman" w:hAnsi="Times New Roman"/>
          <w:color w:val="000000"/>
          <w:sz w:val="18"/>
        </w:rPr>
        <w:t xml:space="preserve">See Note 15 </w:t>
      </w:r>
      <w:r>
        <w:rPr>
          <w:rFonts w:ascii="Times New Roman" w:hAnsi="Times New Roman"/>
          <w:color w:val="000000"/>
          <w:sz w:val="20"/>
        </w:rPr>
        <w:t xml:space="preserve">– </w:t>
      </w:r>
      <w:r>
        <w:rPr>
          <w:rFonts w:ascii="Times New Roman" w:hAnsi="Times New Roman"/>
          <w:i/>
          <w:color w:val="000000"/>
          <w:sz w:val="18"/>
        </w:rPr>
        <w:t>Commitments and Contingencies</w:t>
      </w:r>
      <w:r>
        <w:rPr>
          <w:rFonts w:ascii="Times New Roman" w:hAnsi="Times New Roman"/>
          <w:color w:val="000000"/>
          <w:sz w:val="20"/>
        </w:rPr>
        <w:t xml:space="preserve"> </w:t>
      </w:r>
      <w:r>
        <w:rPr>
          <w:rFonts w:ascii="Times New Roman" w:hAnsi="Times New Roman"/>
          <w:color w:val="000000"/>
          <w:sz w:val="18"/>
        </w:rPr>
        <w:t>under</w:t>
      </w:r>
      <w:r>
        <w:rPr>
          <w:rFonts w:ascii="Times New Roman" w:hAnsi="Times New Roman"/>
          <w:color w:val="000000"/>
          <w:sz w:val="20"/>
        </w:rPr>
        <w:t xml:space="preserve"> </w:t>
      </w:r>
      <w:r>
        <w:rPr>
          <w:rFonts w:ascii="Times New Roman" w:hAnsi="Times New Roman"/>
          <w:i/>
          <w:color w:val="000000"/>
          <w:sz w:val="18"/>
        </w:rPr>
        <w:t>Loss Contingencies — Returns Reserve for Acquired Product.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9. </w:t>
      </w:r>
      <w:r>
        <w:rPr>
          <w:rFonts w:ascii="Times New Roman" w:hAnsi="Times New Roman"/>
          <w:b/>
          <w:color w:val="000000"/>
          <w:sz w:val="20"/>
        </w:rPr>
        <w:t>Borrowings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Carrying amount of the Company's borrowings consisted of the following (in thousands): </w:t>
      </w:r>
    </w:p>
    <w:tbl>
      <w:tblPr>
        <w:tblW w:w="6865" w:type="dxa"/>
        <w:jc w:val="left"/>
        <w:tblInd w:w="0" w:type="dxa"/>
        <w:tblLayout w:type="fixed"/>
        <w:tblCellMar>
          <w:top w:w="28" w:type="dxa"/>
          <w:left w:w="28" w:type="dxa"/>
          <w:bottom w:w="28" w:type="dxa"/>
          <w:right w:w="28" w:type="dxa"/>
        </w:tblCellMar>
      </w:tblPr>
      <w:tblGrid>
        <w:gridCol w:w="2991"/>
        <w:gridCol w:w="146"/>
        <w:gridCol w:w="328"/>
        <w:gridCol w:w="1217"/>
        <w:gridCol w:w="146"/>
        <w:gridCol w:w="146"/>
        <w:gridCol w:w="319"/>
        <w:gridCol w:w="1181"/>
        <w:gridCol w:w="391"/>
      </w:tblGrid>
      <w:tr>
        <w:trPr/>
        <w:tc>
          <w:tcPr>
            <w:tcW w:w="2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226,851</w:t>
            </w:r>
          </w:p>
        </w:tc>
        <w:tc>
          <w:tcPr>
            <w:tcW w:w="391" w:type="dxa"/>
            <w:tcBorders/>
            <w:shd w:fill="CFF0FC" w:val="clear"/>
            <w:vAlign w:val="center"/>
          </w:tcPr>
          <w:p>
            <w:pPr>
              <w:pStyle w:val="TableContents"/>
              <w:bidi w:val="0"/>
              <w:spacing w:before="0" w:after="283"/>
              <w:jc w:val="left"/>
              <w:rPr/>
            </w:pPr>
            <w:r>
              <w:rPr/>
              <w:t> </w:t>
            </w:r>
          </w:p>
        </w:tc>
      </w:tr>
      <w:tr>
        <w:trPr/>
        <w:tc>
          <w:tcPr>
            <w:tcW w:w="2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credit facility</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33,019</w:t>
            </w:r>
          </w:p>
        </w:tc>
        <w:tc>
          <w:tcPr>
            <w:tcW w:w="391" w:type="dxa"/>
            <w:tcBorders/>
            <w:shd w:fill="FFFFFF" w:val="clear"/>
            <w:vAlign w:val="center"/>
          </w:tcPr>
          <w:p>
            <w:pPr>
              <w:pStyle w:val="TableContents"/>
              <w:bidi w:val="0"/>
              <w:spacing w:before="0" w:after="283"/>
              <w:jc w:val="left"/>
              <w:rPr/>
            </w:pPr>
            <w:r>
              <w:rPr/>
              <w:t> </w:t>
            </w:r>
          </w:p>
        </w:tc>
      </w:tr>
      <w:tr>
        <w:trPr/>
        <w:tc>
          <w:tcPr>
            <w:tcW w:w="2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debt – net carrying amount</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provides a summary of the Company’s principal balance of debt and key terms: </w:t>
      </w:r>
    </w:p>
    <w:tbl>
      <w:tblPr>
        <w:tblW w:w="10205" w:type="dxa"/>
        <w:jc w:val="left"/>
        <w:tblInd w:w="0" w:type="dxa"/>
        <w:tblLayout w:type="fixed"/>
        <w:tblCellMar>
          <w:top w:w="28" w:type="dxa"/>
          <w:left w:w="28" w:type="dxa"/>
          <w:bottom w:w="28" w:type="dxa"/>
          <w:right w:w="28" w:type="dxa"/>
        </w:tblCellMar>
      </w:tblPr>
      <w:tblGrid>
        <w:gridCol w:w="2479"/>
        <w:gridCol w:w="146"/>
        <w:gridCol w:w="583"/>
        <w:gridCol w:w="931"/>
        <w:gridCol w:w="146"/>
        <w:gridCol w:w="146"/>
        <w:gridCol w:w="1476"/>
        <w:gridCol w:w="146"/>
        <w:gridCol w:w="1198"/>
        <w:gridCol w:w="146"/>
        <w:gridCol w:w="1318"/>
        <w:gridCol w:w="146"/>
        <w:gridCol w:w="1344"/>
      </w:tblGrid>
      <w:tr>
        <w:trPr/>
        <w:tc>
          <w:tcPr>
            <w:tcW w:w="2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24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Terms</w:t>
            </w:r>
          </w:p>
        </w:tc>
      </w:tr>
      <w:tr>
        <w:trPr/>
        <w:tc>
          <w:tcPr>
            <w:tcW w:w="24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Interest</w:t>
              <w:br/>
              <w: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Conversion Price</w:t>
            </w:r>
          </w:p>
        </w:tc>
      </w:tr>
      <w:tr>
        <w:trPr/>
        <w:tc>
          <w:tcPr>
            <w:tcW w:w="24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1514"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$230.0 million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$230.0 million</w:t>
            </w:r>
          </w:p>
        </w:tc>
        <w:tc>
          <w:tcPr>
            <w:tcW w:w="146"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146" w:type="dxa"/>
            <w:tcBorders/>
            <w:shd w:fill="CFF0FC" w:val="clear"/>
            <w:vAlign w:val="center"/>
          </w:tcPr>
          <w:p>
            <w:pPr>
              <w:pStyle w:val="TableContents"/>
              <w:bidi w:val="0"/>
              <w:spacing w:before="0" w:after="283"/>
              <w:jc w:val="center"/>
              <w:rPr/>
            </w:pPr>
            <w:r>
              <w:rPr/>
              <w:t> </w:t>
            </w:r>
          </w:p>
        </w:tc>
        <w:tc>
          <w:tcPr>
            <w:tcW w:w="131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2026</w:t>
            </w:r>
          </w:p>
        </w:tc>
        <w:tc>
          <w:tcPr>
            <w:tcW w:w="146" w:type="dxa"/>
            <w:tcBorders/>
            <w:shd w:fill="CFF0FC" w:val="clear"/>
            <w:vAlign w:val="center"/>
          </w:tcPr>
          <w:p>
            <w:pPr>
              <w:pStyle w:val="TableContents"/>
              <w:bidi w:val="0"/>
              <w:spacing w:before="0" w:after="283"/>
              <w:jc w:val="center"/>
              <w:rPr/>
            </w:pPr>
            <w:r>
              <w:rPr/>
              <w:t> </w:t>
            </w:r>
          </w:p>
        </w:tc>
        <w:tc>
          <w:tcPr>
            <w:tcW w:w="134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$5.21 </w:t>
              <w:br/>
              <w:t>per share</w:t>
            </w:r>
          </w:p>
        </w:tc>
      </w:tr>
      <w:tr>
        <w:trPr/>
        <w:tc>
          <w:tcPr>
            <w:tcW w:w="24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MidCap credit facility</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 million</w:t>
            </w:r>
          </w:p>
        </w:tc>
        <w:tc>
          <w:tcPr>
            <w:tcW w:w="146"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one-month</w:t>
              <w:br/>
              <w:t>SOFR</w:t>
              <w:br/>
              <w:t>(1% floor)</w:t>
              <w:br/>
              <w:t>plus 6.25%;</w:t>
              <w:br/>
              <w:t>cap of 8.25%</w:t>
            </w:r>
          </w:p>
        </w:tc>
        <w:tc>
          <w:tcPr>
            <w:tcW w:w="146" w:type="dxa"/>
            <w:tcBorders/>
            <w:shd w:fill="FFFFFF" w:val="clear"/>
            <w:vAlign w:val="center"/>
          </w:tcPr>
          <w:p>
            <w:pPr>
              <w:pStyle w:val="TableContents"/>
              <w:bidi w:val="0"/>
              <w:spacing w:before="0" w:after="283"/>
              <w:jc w:val="center"/>
              <w:rPr/>
            </w:pPr>
            <w:r>
              <w:rPr/>
              <w:t> </w:t>
            </w:r>
          </w:p>
        </w:tc>
        <w:tc>
          <w:tcPr>
            <w:tcW w:w="131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2025</w:t>
            </w:r>
          </w:p>
        </w:tc>
        <w:tc>
          <w:tcPr>
            <w:tcW w:w="146" w:type="dxa"/>
            <w:tcBorders/>
            <w:shd w:fill="FFFFFF" w:val="clear"/>
            <w:vAlign w:val="center"/>
          </w:tcPr>
          <w:p>
            <w:pPr>
              <w:pStyle w:val="TableContents"/>
              <w:bidi w:val="0"/>
              <w:spacing w:before="0" w:after="283"/>
              <w:jc w:val="center"/>
              <w:rPr/>
            </w:pPr>
            <w:r>
              <w:rPr/>
              <w:t> </w:t>
            </w:r>
          </w:p>
        </w:tc>
        <w:tc>
          <w:tcPr>
            <w:tcW w:w="134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247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Mann Group convertible note</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 million</w:t>
            </w:r>
          </w:p>
        </w:tc>
        <w:tc>
          <w:tcPr>
            <w:tcW w:w="146" w:type="dxa"/>
            <w:tcBorders/>
            <w:shd w:fill="CFF0FC" w:val="clear"/>
            <w:vAlign w:val="center"/>
          </w:tcPr>
          <w:p>
            <w:pPr>
              <w:pStyle w:val="TableContents"/>
              <w:bidi w:val="0"/>
              <w:spacing w:before="0" w:after="283"/>
              <w:jc w:val="left"/>
              <w:rPr/>
            </w:pPr>
            <w:r>
              <w:rPr/>
              <w:t> </w:t>
            </w:r>
          </w:p>
        </w:tc>
        <w:tc>
          <w:tcPr>
            <w:tcW w:w="119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146" w:type="dxa"/>
            <w:tcBorders/>
            <w:shd w:fill="CFF0FC" w:val="clear"/>
            <w:vAlign w:val="center"/>
          </w:tcPr>
          <w:p>
            <w:pPr>
              <w:pStyle w:val="TableContents"/>
              <w:bidi w:val="0"/>
              <w:spacing w:before="0" w:after="283"/>
              <w:jc w:val="center"/>
              <w:rPr/>
            </w:pPr>
            <w:r>
              <w:rPr/>
              <w:t> </w:t>
            </w:r>
          </w:p>
        </w:tc>
        <w:tc>
          <w:tcPr>
            <w:tcW w:w="131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2025</w:t>
            </w:r>
          </w:p>
        </w:tc>
        <w:tc>
          <w:tcPr>
            <w:tcW w:w="146" w:type="dxa"/>
            <w:tcBorders/>
            <w:shd w:fill="CFF0FC" w:val="clear"/>
            <w:vAlign w:val="center"/>
          </w:tcPr>
          <w:p>
            <w:pPr>
              <w:pStyle w:val="TableContents"/>
              <w:bidi w:val="0"/>
              <w:spacing w:before="0" w:after="283"/>
              <w:jc w:val="center"/>
              <w:rPr/>
            </w:pPr>
            <w:r>
              <w:rPr/>
              <w:t> </w:t>
            </w:r>
          </w:p>
        </w:tc>
        <w:tc>
          <w:tcPr>
            <w:tcW w:w="134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br/>
              <w:t>per share</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Repaid on April 1, 2024.</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color w:val="000000"/>
          <w:sz w:val="18"/>
        </w:rPr>
      </w:pPr>
      <w:r>
        <w:rPr>
          <w:rFonts w:ascii="Times New Roman" w:hAnsi="Times New Roman"/>
          <w:color w:val="000000"/>
          <w:sz w:val="18"/>
        </w:rPr>
        <w:t>Repaid on April 2,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maturities of the Company’s borrowings as of September 30, 2024 are as follows (in thousands):</w:t>
      </w:r>
    </w:p>
    <w:tbl>
      <w:tblPr>
        <w:tblW w:w="4110" w:type="dxa"/>
        <w:jc w:val="left"/>
        <w:tblInd w:w="0" w:type="dxa"/>
        <w:tblLayout w:type="fixed"/>
        <w:tblCellMar>
          <w:top w:w="28" w:type="dxa"/>
          <w:left w:w="28" w:type="dxa"/>
          <w:bottom w:w="28" w:type="dxa"/>
          <w:right w:w="28" w:type="dxa"/>
        </w:tblCellMar>
      </w:tblPr>
      <w:tblGrid>
        <w:gridCol w:w="2361"/>
        <w:gridCol w:w="346"/>
        <w:gridCol w:w="211"/>
        <w:gridCol w:w="781"/>
        <w:gridCol w:w="411"/>
      </w:tblGrid>
      <w:tr>
        <w:trPr/>
        <w:tc>
          <w:tcPr>
            <w:tcW w:w="2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36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principal payments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Senior convertible notes </w:t>
      </w:r>
      <w:r>
        <w:rPr>
          <w:rFonts w:ascii="Times New Roman" w:hAnsi="Times New Roman"/>
          <w:color w:val="000000"/>
          <w:sz w:val="20"/>
        </w:rPr>
        <w:t>– In March 2021, the Company issued $230.0 million aggregate principal amount of Senior convertible notes in a private offering. The Senior convertible notes were issued pursuant to an indenture, dated March 4, 2021 (the “Indenture”), between the Company and U.S. Bank National Association, as trustee.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Senior convertible notes are general unsecured obligations of the Company and will mature on March 1, 2026, unless earlier converted, redeemed or repurchased by the Company.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Indenture includes customary covenants and sets forth certain events of default after which the Senior convertible notes may be declared immediately due and payable.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net proceeds from the March 2021 offering were approximately $222.7 million, after deducting the initial purchasers’ discounts and commissions and the estimated offering expenses payable by the Company. As of September 30, 2024 and December 31, 2023, the unamortized debt issuance cost was $2.1 million and $3.1 million, respectively.</w:t>
      </w:r>
    </w:p>
    <w:p>
      <w:pPr>
        <w:pStyle w:val="TextBody"/>
        <w:bidi w:val="0"/>
        <w:spacing w:before="240" w:after="283"/>
        <w:jc w:val="left"/>
        <w:rPr>
          <w:rFonts w:ascii="Times New Roman" w:hAnsi="Times New Roman"/>
          <w:sz w:val="20"/>
        </w:rPr>
      </w:pPr>
      <w:r>
        <w:rPr>
          <w:rFonts w:ascii="Times New Roman" w:hAnsi="Times New Roman"/>
          <w:i/>
          <w:color w:val="000000"/>
          <w:sz w:val="20"/>
        </w:rPr>
        <w:t>MidCap credit facility</w:t>
      </w:r>
      <w:r>
        <w:rPr>
          <w:rFonts w:ascii="Times New Roman" w:hAnsi="Times New Roman"/>
          <w:color w:val="000000"/>
          <w:sz w:val="20"/>
        </w:rPr>
        <w:t xml:space="preserve"> — In August 2019, the Company entered into the MidCap credit facility and borrowed the first advance of $40.0 million (“Tranche 1”) in August 2019 and the second advance of $10.0 million (“Tranche 2”) in December 2020. In April 2021, $10.0 million was prepaid.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Tranche 1 and Tranche 2 accrued interest at an annual rate equal to the lesser of (i) 8.25% and (ii) the one-month Secured Overnight Financing Rate ("SOFR") (subject to a one-month SOFR floor of 1.00%) plus 6.25%. Interest on each term loan advance was due and payable monthly in arrears. Principal on each term loan advance under Tranche 1 and Tranche 2 was payable in 24 equal monthly installments that began September 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2024, the Company made $5.0 million in principal payments on the MidCap credit facility. On April 1, 2024, the Company exercised its option to prepay in full all outstanding indebtedness, consisting of $28.3 million in principal and $0.2 million in accrued interest, and terminated all commitments and obligations under the MidCap credit facility that would have matured on August 1, 2025 in exchange for a payment of $31.6 million, including an exit fee of $2.8 million which is 7.00% of the initial Tranche 1 balance of $40.0 million, and a prepayment fee of $0.3 million which is 1.00% of principal prepaid. Additionally, unamortized debt discount and capitalized prepayment fees totaling $0.2 million were written off, resulting in a loss on extinguishment of debt of $3.3 million recognized in the condensed consolidated statements of operations. In connection with the repayment of outstanding indebtedness by the Company, all liens, mortgages and security interests in any assets or property securing the obligations under the MidCap credit facility were automatically terminated and released and the Company was automatically released from all guarantees. </w:t>
      </w:r>
    </w:p>
    <w:p>
      <w:pPr>
        <w:pStyle w:val="TextBody"/>
        <w:bidi w:val="0"/>
        <w:spacing w:before="240" w:after="283"/>
        <w:jc w:val="left"/>
        <w:rPr>
          <w:rFonts w:ascii="Times New Roman" w:hAnsi="Times New Roman"/>
          <w:sz w:val="20"/>
        </w:rPr>
      </w:pPr>
      <w:r>
        <w:rPr>
          <w:rFonts w:ascii="Times New Roman" w:hAnsi="Times New Roman"/>
          <w:i/>
          <w:color w:val="000000"/>
          <w:sz w:val="20"/>
        </w:rPr>
        <w:t>Mann Group convertible note</w:t>
      </w:r>
      <w:r>
        <w:rPr>
          <w:rFonts w:ascii="Times New Roman" w:hAnsi="Times New Roman"/>
          <w:color w:val="000000"/>
          <w:sz w:val="20"/>
        </w:rPr>
        <w:t xml:space="preserve"> — In August 2019, the Company issued a $35.0 million note that was convertible into shares of the Company’s common stock at $2.50 per share (the “Mann Group convertible note”) as part of a restructuring of its then existing indebtedness to Mann Group.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Mann Group convertible note accrued interest at the rate of 2.5% per year on the principal amount, payable quarterly in arrears on the first day of each calendar quarter, with a maturity date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and any accrued and unpaid interest under the Mann Group convertible note was convertible,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Interest on the convertible note was payable in kind by adding the amount thereof to the principal amount; provided that with respect to interest accruing from and after January 1, 2021, the Company had the option to pay any such interest on any interest payment date, if certain conditions were met, in shares of the Company’s common stock at a price per share equal to the last reported sale price on the trading day immediately prior to the payment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During the nine months ended September 30, 2024, Mann Group converted $0.1 million of interest into 15,285 shares of common stock. During the nine months ended September 30, 2023, Mann Group converted $0.2 million of interest into 37,122 shares of common stock.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On April 2, 2024, the Company and Mann Group agreed to discharge and terminate the Mann Group convertible note. As of April 2, 2024, the outstanding principal balance of the Mann Group convertible note plus accrued interest was $8.9 million and was convertible at Mann Group’s option into 3,554,198 shares of common stock of the Company. The Company and Mann Group agreed to terminate all outstanding indebtedness, rights and obligations under the Mann Group convertible note in exchange for (i) the Company’s issuance to Mann Group of 1,500,000 shares of the Company’s common stock converted at the contractual rate of $2.50 per share and (ii) the Company’s payment to Mann Group of $8.9 million, which represented the market value of 2,054,198 shares of common stock of the Company on April 2, 2024 to settle the remaining principal and interest of $5.1 million, after the conversion noted in (i) above. Termination of the Mann Group convertible note resulted in a loss on extinguishment of debt of $3.7 million recognized in the condensed consolidated statements of operations.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Amortization of the premium and accretion of debt issuance costs related to all borrowings were as follows (in thousands):</w:t>
      </w:r>
    </w:p>
    <w:tbl>
      <w:tblPr>
        <w:tblW w:w="8318" w:type="dxa"/>
        <w:jc w:val="left"/>
        <w:tblInd w:w="0" w:type="dxa"/>
        <w:tblLayout w:type="fixed"/>
        <w:tblCellMar>
          <w:top w:w="28" w:type="dxa"/>
          <w:left w:w="28" w:type="dxa"/>
          <w:bottom w:w="28" w:type="dxa"/>
          <w:right w:w="28" w:type="dxa"/>
        </w:tblCellMar>
      </w:tblPr>
      <w:tblGrid>
        <w:gridCol w:w="4201"/>
        <w:gridCol w:w="146"/>
        <w:gridCol w:w="221"/>
        <w:gridCol w:w="442"/>
        <w:gridCol w:w="153"/>
        <w:gridCol w:w="153"/>
        <w:gridCol w:w="221"/>
        <w:gridCol w:w="442"/>
        <w:gridCol w:w="146"/>
        <w:gridCol w:w="146"/>
        <w:gridCol w:w="211"/>
        <w:gridCol w:w="571"/>
        <w:gridCol w:w="146"/>
        <w:gridCol w:w="146"/>
        <w:gridCol w:w="211"/>
        <w:gridCol w:w="571"/>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 and prepayment fee</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Collaboration, Licensing and Other Arrangements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Revenue from collaborations and services were as follows (in thousands):</w:t>
      </w:r>
    </w:p>
    <w:tbl>
      <w:tblPr>
        <w:tblW w:w="9077" w:type="dxa"/>
        <w:jc w:val="left"/>
        <w:tblInd w:w="0" w:type="dxa"/>
        <w:tblLayout w:type="fixed"/>
        <w:tblCellMar>
          <w:top w:w="28" w:type="dxa"/>
          <w:left w:w="28" w:type="dxa"/>
          <w:bottom w:w="28" w:type="dxa"/>
          <w:right w:w="28" w:type="dxa"/>
        </w:tblCellMar>
      </w:tblPr>
      <w:tblGrid>
        <w:gridCol w:w="4116"/>
        <w:gridCol w:w="146"/>
        <w:gridCol w:w="211"/>
        <w:gridCol w:w="676"/>
        <w:gridCol w:w="146"/>
        <w:gridCol w:w="146"/>
        <w:gridCol w:w="211"/>
        <w:gridCol w:w="676"/>
        <w:gridCol w:w="146"/>
        <w:gridCol w:w="146"/>
        <w:gridCol w:w="211"/>
        <w:gridCol w:w="676"/>
        <w:gridCol w:w="146"/>
        <w:gridCol w:w="146"/>
        <w:gridCol w:w="211"/>
        <w:gridCol w:w="676"/>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CSA</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34,897</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License Agreement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Cipla License and Distribution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 from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consist of revenue recognized for Manufacturing Services and Product Sales to UT for the periods presented.</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color w:val="000000"/>
          <w:sz w:val="18"/>
        </w:rPr>
      </w:pPr>
      <w:r>
        <w:rPr>
          <w:rFonts w:ascii="Times New Roman" w:hAnsi="Times New Roman"/>
          <w:color w:val="000000"/>
          <w:sz w:val="18"/>
        </w:rPr>
        <w:t>Amounts consist of revenue recognized for Next-Gen R&amp;D Services and R&amp;D Services and License for the periods presented.</w:t>
      </w:r>
    </w:p>
    <w:p>
      <w:pPr>
        <w:pStyle w:val="TextBody"/>
        <w:bidi w:val="0"/>
        <w:spacing w:before="240" w:after="283"/>
        <w:jc w:val="left"/>
        <w:rPr>
          <w:rFonts w:ascii="Times New Roman" w:hAnsi="Times New Roman"/>
          <w:sz w:val="20"/>
        </w:rPr>
      </w:pPr>
      <w:r>
        <w:rPr>
          <w:rFonts w:ascii="Times New Roman" w:hAnsi="Times New Roman"/>
          <w:i/>
          <w:color w:val="000000"/>
          <w:sz w:val="20"/>
        </w:rPr>
        <w:t>United Therapeutics License Agreement</w:t>
      </w:r>
      <w:r>
        <w:rPr>
          <w:rFonts w:ascii="Times New Roman" w:hAnsi="Times New Roman"/>
          <w:color w:val="000000"/>
          <w:sz w:val="20"/>
        </w:rPr>
        <w:t xml:space="preserve"> — In September 2018, the Company and UT entered into an exclusive global license and collaboration agreement (the “UT License Agreement”), pursuant to which UT is responsible for global development, regulatory and commercial activities with respect to Tyvaso DPI. Pursuant to the UT License Agreement, the Company receives a 10% royalty on net sales of Tyvaso DPI. In December 2023, the Company sold a 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on a cost-plus basis. In addition, UT is responsible for supplying treprostinil at its expense in quantities necessary to enable the Company to manufacture Tyvaso DPI as required by the CSA.</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Total revenue from UT was as follows (in thousands):</w:t>
      </w:r>
    </w:p>
    <w:tbl>
      <w:tblPr>
        <w:tblW w:w="7512" w:type="dxa"/>
        <w:jc w:val="left"/>
        <w:tblInd w:w="0" w:type="dxa"/>
        <w:tblLayout w:type="fixed"/>
        <w:tblCellMar>
          <w:top w:w="28" w:type="dxa"/>
          <w:left w:w="28" w:type="dxa"/>
          <w:bottom w:w="28" w:type="dxa"/>
          <w:right w:w="28" w:type="dxa"/>
        </w:tblCellMar>
      </w:tblPr>
      <w:tblGrid>
        <w:gridCol w:w="2446"/>
        <w:gridCol w:w="146"/>
        <w:gridCol w:w="211"/>
        <w:gridCol w:w="676"/>
        <w:gridCol w:w="146"/>
        <w:gridCol w:w="146"/>
        <w:gridCol w:w="211"/>
        <w:gridCol w:w="676"/>
        <w:gridCol w:w="146"/>
        <w:gridCol w:w="146"/>
        <w:gridCol w:w="211"/>
        <w:gridCol w:w="781"/>
        <w:gridCol w:w="146"/>
        <w:gridCol w:w="146"/>
        <w:gridCol w:w="211"/>
        <w:gridCol w:w="676"/>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UT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CSA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34,897</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License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 Collaboration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 from UT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8"/>
        </w:rPr>
      </w:pPr>
      <w:r>
        <w:rPr>
          <w:rFonts w:ascii="Times New Roman" w:hAnsi="Times New Roman"/>
          <w:color w:val="000000"/>
          <w:sz w:val="18"/>
        </w:rPr>
        <w:t>Amounts consist of royalties associated with the UT License Agreement. The contract assets related to the royalties is included in prepaid expense and other current assets in the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activities and deliverables under the CSA and UT License Agreement resulted in distinct performance obligations which include the: (1) R&amp;D Services and License, (2) Next-Gen R&amp;D Services, and (3) Manufacturing Services and Product Sales.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There have been various amendments to the UT License Agreement and the CSA since inception. As amended,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 The Company accounted for the contract modification as if it were part of the existing contract since the amendment modified the scope and price of the CSA by extending the term and increasing the occupancy rate. The effect of the modification on the transaction price and on the measure of progress is recognized as an adjustment to revenue as of the date of modification. The modification did not result in a change in the activities and deliverables under the CSA.</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December 2022, the Company and UT agreed to fund an additional $39.5 million to support capital and continuous improvement activities and $2.3 million in the development of alternative manufacturing processes. The Company determined that the capital and continuous improvements should be combined with the manufacturing services performance obligation and the alternative manufacturing processes should be combined with the Next-Gen R&amp;D Services. The total revised anticipated cash flows of $722.3 million from the transaction was allocated to the three distinct performance obligations as follows (dollars in millions):</w:t>
      </w:r>
    </w:p>
    <w:tbl>
      <w:tblPr>
        <w:tblW w:w="10205" w:type="dxa"/>
        <w:jc w:val="left"/>
        <w:tblInd w:w="0" w:type="dxa"/>
        <w:tblLayout w:type="fixed"/>
        <w:tblCellMar>
          <w:top w:w="28" w:type="dxa"/>
          <w:left w:w="28" w:type="dxa"/>
          <w:bottom w:w="28" w:type="dxa"/>
          <w:right w:w="28" w:type="dxa"/>
        </w:tblCellMar>
      </w:tblPr>
      <w:tblGrid>
        <w:gridCol w:w="2425"/>
        <w:gridCol w:w="146"/>
        <w:gridCol w:w="227"/>
        <w:gridCol w:w="616"/>
        <w:gridCol w:w="146"/>
        <w:gridCol w:w="146"/>
        <w:gridCol w:w="354"/>
        <w:gridCol w:w="965"/>
        <w:gridCol w:w="146"/>
        <w:gridCol w:w="146"/>
        <w:gridCol w:w="1399"/>
        <w:gridCol w:w="146"/>
        <w:gridCol w:w="1205"/>
        <w:gridCol w:w="146"/>
        <w:gridCol w:w="1797"/>
        <w:gridCol w:w="195"/>
      </w:tblGrid>
      <w:tr>
        <w:trPr/>
        <w:tc>
          <w:tcPr>
            <w:tcW w:w="2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Anticipated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Allocation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Recognition Method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Progress Measure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br/>
              <w:t>Recognition</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anticipated cash flow</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Distinct Performance Obligation</w:t>
            </w:r>
          </w:p>
        </w:tc>
        <w:tc>
          <w:tcPr>
            <w:tcW w:w="146" w:type="dxa"/>
            <w:tcBorders/>
            <w:shd w:fill="CFF0FC" w:val="clear"/>
            <w:vAlign w:val="center"/>
          </w:tcPr>
          <w:p>
            <w:pPr>
              <w:pStyle w:val="TableContents"/>
              <w:bidi w:val="0"/>
              <w:spacing w:before="0" w:after="283"/>
              <w:jc w:val="lef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Services and License</w:t>
            </w:r>
          </w:p>
        </w:tc>
        <w:tc>
          <w:tcPr>
            <w:tcW w:w="146"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Over time</w:t>
            </w:r>
          </w:p>
        </w:tc>
        <w:tc>
          <w:tcPr>
            <w:tcW w:w="146"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Ratably</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 2021 - Oct 2021</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Next-Gen R&amp;D Services</w:t>
            </w:r>
          </w:p>
        </w:tc>
        <w:tc>
          <w:tcPr>
            <w:tcW w:w="146" w:type="dxa"/>
            <w:tcBorders/>
            <w:shd w:fill="CFF0FC" w:val="clear"/>
            <w:vAlign w:val="center"/>
          </w:tcPr>
          <w:p>
            <w:pPr>
              <w:pStyle w:val="TableContents"/>
              <w:bidi w:val="0"/>
              <w:spacing w:before="0" w:after="283"/>
              <w:jc w:val="lef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Over time</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Input</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of completion of costs</w:t>
            </w:r>
          </w:p>
        </w:tc>
        <w:tc>
          <w:tcPr>
            <w:tcW w:w="195"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Manufacturing Services and</w:t>
              <w:br/>
              <w:t>   Product Sales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Point in time</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Transfer of control</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120"/>
        <w:jc w:val="left"/>
        <w:rPr>
          <w:rFonts w:ascii="Times New Roman" w:hAnsi="Times New Roman"/>
          <w:sz w:val="20"/>
        </w:rPr>
      </w:pPr>
      <w:r>
        <w:rPr>
          <w:rFonts w:ascii="Times New Roman" w:hAnsi="Times New Roman"/>
          <w:color w:val="000000"/>
          <w:sz w:val="18"/>
        </w:rPr>
        <w:t>The total anticipated cash flow includes a transaction price of $120.0</w:t>
      </w:r>
      <w:r>
        <w:rPr>
          <w:rFonts w:ascii="Times New Roman" w:hAnsi="Times New Roman"/>
          <w:color w:val="000000"/>
          <w:sz w:val="20"/>
        </w:rPr>
        <w:t xml:space="preserve"> </w:t>
      </w:r>
      <w:r>
        <w:rPr>
          <w:rFonts w:ascii="Times New Roman" w:hAnsi="Times New Roman"/>
          <w:color w:val="000000"/>
          <w:sz w:val="18"/>
        </w:rPr>
        <w:t>million for the contractual obligations under the CSA for the Manufacturing Services and Product Sales and the Next-Gen R&amp;D Services performance obligations and $602.3</w:t>
      </w:r>
      <w:r>
        <w:rPr>
          <w:rFonts w:ascii="Times New Roman" w:hAnsi="Times New Roman"/>
          <w:color w:val="000000"/>
          <w:sz w:val="20"/>
        </w:rPr>
        <w:t xml:space="preserve"> </w:t>
      </w:r>
      <w:r>
        <w:rPr>
          <w:rFonts w:ascii="Times New Roman" w:hAnsi="Times New Roman"/>
          <w:color w:val="000000"/>
          <w:sz w:val="18"/>
        </w:rPr>
        <w:t>million for future supply of Tyvaso DPI over the remaining term of the CSA.</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sz w:val="20"/>
        </w:rPr>
      </w:pPr>
      <w:r>
        <w:rPr>
          <w:rFonts w:ascii="Times New Roman" w:hAnsi="Times New Roman"/>
          <w:color w:val="000000"/>
          <w:sz w:val="18"/>
        </w:rPr>
        <w:t>The Manufacturing Services and Product Sales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and Product Sales includes a material right related to the Company’s estimated production of product in the amount of $220.8</w:t>
      </w:r>
      <w:r>
        <w:rPr>
          <w:rFonts w:ascii="Times New Roman" w:hAnsi="Times New Roman"/>
          <w:color w:val="000000"/>
          <w:sz w:val="20"/>
        </w:rPr>
        <w:t xml:space="preserve"> </w:t>
      </w:r>
      <w:r>
        <w:rPr>
          <w:rFonts w:ascii="Times New Roman" w:hAnsi="Times New Roman"/>
          <w:color w:val="000000"/>
          <w:sz w:val="18"/>
        </w:rPr>
        <w:t>million. The Company will sell product to UT under individual purchase orders, which represent distinct performance obligations. The ultimate cash flows may vary as manufacturing purchase orders are received.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February 2024, the Company entered into an additional agreement for a separate performance obligation which was accounted for separately as it was distinct from Manufacturing Services and Product Sales and offered at a standalone selling price. Revenue is recognized at a point in time as services are rendered.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deferred revenue from UT consisted of $70.5 million, of which $6.4 million was classified as current and $64.1 million was classified as long-term on the condensed consolidated balance sheet. As of December 31, 2023, deferred revenue consisted of $77.5 million, of which $8.9 million was classified as current and $68.6 million was classified as long-term on the condensed consolidated balance sheet. The Company determined that the revenue recognition associated with the capital improvements should be combined with the Manufacturing Services and Product Sales performance obligation.</w:t>
      </w:r>
    </w:p>
    <w:p>
      <w:pPr>
        <w:pStyle w:val="TextBody"/>
        <w:bidi w:val="0"/>
        <w:spacing w:before="240" w:after="283"/>
        <w:jc w:val="left"/>
        <w:rPr>
          <w:rFonts w:ascii="Times New Roman" w:hAnsi="Times New Roman"/>
          <w:sz w:val="20"/>
        </w:rPr>
      </w:pPr>
      <w:r>
        <w:rPr>
          <w:rFonts w:ascii="Times New Roman" w:hAnsi="Times New Roman"/>
          <w:i/>
          <w:color w:val="000000"/>
          <w:sz w:val="20"/>
        </w:rPr>
        <w:t>Thirona Collaboration Agreement</w:t>
      </w:r>
      <w:r>
        <w:rPr>
          <w:rFonts w:ascii="Times New Roman" w:hAnsi="Times New Roman"/>
          <w:color w:val="000000"/>
          <w:sz w:val="20"/>
        </w:rPr>
        <w:t xml:space="preserve"> — In June 2021, the Company and Thirona entered into a collaboration agreement to evaluate the therapeutic potential of Thirona’s compound for the treatment of fibrotic pulmonary diseases.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was accounted for under ASC 808, </w:t>
      </w:r>
      <w:r>
        <w:rPr>
          <w:rFonts w:ascii="Times New Roman" w:hAnsi="Times New Roman"/>
          <w:i/>
          <w:color w:val="000000"/>
          <w:sz w:val="20"/>
        </w:rPr>
        <w:t>Collaborative Agreements</w:t>
      </w:r>
      <w:r>
        <w:rPr>
          <w:rFonts w:ascii="Times New Roman" w:hAnsi="Times New Roman"/>
          <w:color w:val="000000"/>
          <w:sz w:val="20"/>
        </w:rPr>
        <w:t xml:space="preserve">; however, no consideration was exchanged between the parties. The costs incurred by the Company were expensed as R&amp;D in the condensed consolidated statements of operations. On February 28, 2023, the collaboration agreement was amended to extend the term through June 2024. In accordance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amendment, the Company agreed to fund a minimum of $1.1 million to be expended on a revised development plan prepared by Thirona, of which $1.1 million has been funded through September 30, 2024. </w:t>
      </w:r>
    </w:p>
    <w:p>
      <w:pPr>
        <w:pStyle w:val="TextBody"/>
        <w:bidi w:val="0"/>
        <w:spacing w:before="240" w:after="283"/>
        <w:jc w:val="left"/>
        <w:rPr>
          <w:rFonts w:ascii="Times New Roman" w:hAnsi="Times New Roman"/>
          <w:sz w:val="20"/>
        </w:rPr>
      </w:pPr>
      <w:r>
        <w:rPr>
          <w:rFonts w:ascii="Times New Roman" w:hAnsi="Times New Roman"/>
          <w:i/>
          <w:color w:val="000000"/>
          <w:sz w:val="20"/>
        </w:rPr>
        <w:t>Biomm Supply and Distribution Agreement</w:t>
      </w:r>
      <w:r>
        <w:rPr>
          <w:rFonts w:ascii="Times New Roman" w:hAnsi="Times New Roman"/>
          <w:color w:val="000000"/>
          <w:sz w:val="20"/>
        </w:rPr>
        <w:t xml:space="preserve"> — In May 2017, the Company and Biomm S.A. ("Biomm") entered into a supply and distribution agreement for 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No shipments of product were made to Biomm in 2023 or the first three quarters of 2024.</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Cipla License and Distribution Agreement </w:t>
      </w:r>
      <w:r>
        <w:rPr>
          <w:rFonts w:ascii="Times New Roman" w:hAnsi="Times New Roman"/>
          <w:color w:val="000000"/>
          <w:sz w:val="20"/>
        </w:rPr>
        <w:t>— In May 2018, the Company and Cipla Ltd. (“Cipla”) entered into an exclusive agreement for the marketing 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 Cipla is currently seeking regulatory approval with the India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nonrefundable licensing fee was recorded in deferred revenue and is being recognized in net revenue – collaborations over 15 years, representing the estimated period to satisfy the performance obligation. The additional milestone payment represents variable consideration for which the Company has not recognized any revenue because Cipla has not yet obtained all of the required marketing approvals.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 deferred revenue balance for Cipla was $1.2 million, of which $0.1 million was classified as current and $1.1 million was classified as long term in the condensed consolidated balance sheets. As of December 31, 2023, the deferred revenue balance was $1.4 million, of which $0.2 million was classified as current and $1.2 million was classified as long term in the condensed consolidated balance sheets.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for identical instruments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Significant inputs to the valuation model are unobservable.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MidCap credit facility, Mann Group convertible note, Milestone Rights liability, Contingent milestone liability, Financing liability and Liability for sale of future royalties are disclosed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i/>
          <w:color w:val="000000"/>
          <w:sz w:val="20"/>
        </w:rPr>
        <w:t>Financial Liabilities</w:t>
      </w:r>
      <w:r>
        <w:rPr>
          <w:rFonts w:ascii="Times New Roman" w:hAnsi="Times New Roman"/>
          <w:color w:val="000000"/>
          <w:sz w:val="20"/>
        </w:rPr>
        <w:t xml:space="preserve"> — The following tables set forth the fair value of the Company’s financial instruments (Level 3 in the fair value hierarchy) (in millions): </w:t>
      </w:r>
    </w:p>
    <w:tbl>
      <w:tblPr>
        <w:tblW w:w="6640" w:type="dxa"/>
        <w:jc w:val="left"/>
        <w:tblInd w:w="0" w:type="dxa"/>
        <w:tblLayout w:type="fixed"/>
        <w:tblCellMar>
          <w:top w:w="28" w:type="dxa"/>
          <w:left w:w="28" w:type="dxa"/>
          <w:bottom w:w="28" w:type="dxa"/>
          <w:right w:w="28" w:type="dxa"/>
        </w:tblCellMar>
      </w:tblPr>
      <w:tblGrid>
        <w:gridCol w:w="3321"/>
        <w:gridCol w:w="146"/>
        <w:gridCol w:w="336"/>
        <w:gridCol w:w="909"/>
        <w:gridCol w:w="146"/>
        <w:gridCol w:w="146"/>
        <w:gridCol w:w="335"/>
        <w:gridCol w:w="910"/>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Senior convertible notes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Contingent milestone liability</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Liability for sale of future royalties</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to the straight note with a hypothetical yield of 11.0%, volatility of 52.0% and a Monte Carlo simulation for the value of the conversion feature. A change in yield of + or – 2% would result in a fair value of $279.6</w:t>
      </w:r>
      <w:r>
        <w:rPr>
          <w:rFonts w:ascii="Times New Roman" w:hAnsi="Times New Roman"/>
          <w:color w:val="000000"/>
          <w:sz w:val="20"/>
        </w:rPr>
        <w:t xml:space="preserve"> </w:t>
      </w:r>
      <w:r>
        <w:rPr>
          <w:rFonts w:ascii="Times New Roman" w:hAnsi="Times New Roman"/>
          <w:color w:val="000000"/>
          <w:sz w:val="18"/>
        </w:rPr>
        <w:t>million and $290.0</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3.7%, dividend yield of 0.0%, volatility of 50.0%, period of 7.3</w:t>
      </w:r>
      <w:r>
        <w:rPr>
          <w:rFonts w:ascii="Times New Roman" w:hAnsi="Times New Roman"/>
          <w:color w:val="000000"/>
          <w:sz w:val="20"/>
        </w:rPr>
        <w:t xml:space="preserve"> </w:t>
      </w:r>
      <w:r>
        <w:rPr>
          <w:rFonts w:ascii="Times New Roman" w:hAnsi="Times New Roman"/>
          <w:color w:val="000000"/>
          <w:sz w:val="18"/>
        </w:rPr>
        <w:t>years and credit risk of 15.0%.</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 dividend yield of 0.0%, volatility of 43.0%, period of 13.3</w:t>
      </w:r>
      <w:r>
        <w:rPr>
          <w:rFonts w:ascii="Times New Roman" w:hAnsi="Times New Roman"/>
          <w:color w:val="000000"/>
          <w:sz w:val="20"/>
        </w:rPr>
        <w:t xml:space="preserve"> </w:t>
      </w:r>
      <w:r>
        <w:rPr>
          <w:rFonts w:ascii="Times New Roman" w:hAnsi="Times New Roman"/>
          <w:color w:val="000000"/>
          <w:sz w:val="18"/>
        </w:rPr>
        <w:t xml:space="preserve">years and credit risk of 15.0%.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(4)</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9.5%.</w:t>
      </w:r>
      <w:r>
        <w:rPr>
          <w:rFonts w:ascii="Times New Roman" w:hAnsi="Times New Roman"/>
          <w:color w:val="000000"/>
          <w:sz w:val="20"/>
        </w:rPr>
        <w:t xml:space="preserve"> </w:t>
      </w:r>
      <w:r>
        <w:rPr>
          <w:rFonts w:ascii="Times New Roman" w:hAnsi="Times New Roman"/>
          <w:color w:val="000000"/>
          <w:sz w:val="18"/>
        </w:rPr>
        <w:t>A change in yield of + or – 2% would result in a fair value of $94.1</w:t>
      </w:r>
      <w:r>
        <w:rPr>
          <w:rFonts w:ascii="Times New Roman" w:hAnsi="Times New Roman"/>
          <w:color w:val="000000"/>
          <w:sz w:val="20"/>
        </w:rPr>
        <w:t xml:space="preserve"> </w:t>
      </w:r>
      <w:r>
        <w:rPr>
          <w:rFonts w:ascii="Times New Roman" w:hAnsi="Times New Roman"/>
          <w:color w:val="000000"/>
          <w:sz w:val="18"/>
        </w:rPr>
        <w:t>million and $121.8</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(5)</w:t>
      </w:r>
    </w:p>
    <w:p>
      <w:pPr>
        <w:pStyle w:val="TextBody"/>
        <w:bidi w:val="0"/>
        <w:spacing w:before="0" w:after="240"/>
        <w:jc w:val="left"/>
        <w:rPr>
          <w:rFonts w:ascii="Times New Roman" w:hAnsi="Times New Roman"/>
          <w:sz w:val="20"/>
        </w:rPr>
      </w:pPr>
      <w:r>
        <w:rPr>
          <w:rFonts w:ascii="Times New Roman" w:hAnsi="Times New Roman"/>
          <w:color w:val="000000"/>
          <w:sz w:val="18"/>
        </w:rPr>
        <w:t>At September 30, 2024, fair value was determined by applying a discounted cash flow analysis with a hypothetical yield of 11.0%. A change in yield of + or – 2% would result in a fair value of $121.9</w:t>
      </w:r>
      <w:r>
        <w:rPr>
          <w:rFonts w:ascii="Times New Roman" w:hAnsi="Times New Roman"/>
          <w:color w:val="000000"/>
          <w:sz w:val="20"/>
        </w:rPr>
        <w:t xml:space="preserve"> </w:t>
      </w:r>
      <w:r>
        <w:rPr>
          <w:rFonts w:ascii="Times New Roman" w:hAnsi="Times New Roman"/>
          <w:color w:val="000000"/>
          <w:sz w:val="18"/>
        </w:rPr>
        <w:t>million and $156.4</w:t>
      </w:r>
      <w:r>
        <w:rPr>
          <w:rFonts w:ascii="Times New Roman" w:hAnsi="Times New Roman"/>
          <w:color w:val="000000"/>
          <w:sz w:val="20"/>
        </w:rPr>
        <w:t xml:space="preserve"> </w:t>
      </w:r>
      <w:r>
        <w:rPr>
          <w:rFonts w:ascii="Times New Roman" w:hAnsi="Times New Roman"/>
          <w:color w:val="000000"/>
          <w:sz w:val="18"/>
        </w:rPr>
        <w:t>million, respectively. At December 31, 2023, the carrying value approximated the fair value.</w:t>
      </w:r>
    </w:p>
    <w:tbl>
      <w:tblPr>
        <w:tblW w:w="6280" w:type="dxa"/>
        <w:jc w:val="left"/>
        <w:tblInd w:w="0" w:type="dxa"/>
        <w:tblLayout w:type="fixed"/>
        <w:tblCellMar>
          <w:top w:w="28" w:type="dxa"/>
          <w:left w:w="28" w:type="dxa"/>
          <w:bottom w:w="28" w:type="dxa"/>
          <w:right w:w="28" w:type="dxa"/>
        </w:tblCellMar>
      </w:tblPr>
      <w:tblGrid>
        <w:gridCol w:w="2961"/>
        <w:gridCol w:w="146"/>
        <w:gridCol w:w="336"/>
        <w:gridCol w:w="909"/>
        <w:gridCol w:w="146"/>
        <w:gridCol w:w="146"/>
        <w:gridCol w:w="335"/>
        <w:gridCol w:w="910"/>
        <w:gridCol w:w="39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Senior convertible notes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MidCap credit facility</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Mann Group convertible note</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Contingent milestone liability</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(6)</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to the straight note with a hypothetical yield of 11.0%, volatility of 62.7% and a Monte Carlo simulation for the value of the conversion feature. A change in yield of + or – 2% would result in a fair value of $224.1</w:t>
      </w:r>
      <w:r>
        <w:rPr>
          <w:rFonts w:ascii="Times New Roman" w:hAnsi="Times New Roman"/>
          <w:color w:val="000000"/>
          <w:sz w:val="20"/>
        </w:rPr>
        <w:t xml:space="preserve"> </w:t>
      </w:r>
      <w:r>
        <w:rPr>
          <w:rFonts w:ascii="Times New Roman" w:hAnsi="Times New Roman"/>
          <w:color w:val="000000"/>
          <w:sz w:val="18"/>
        </w:rPr>
        <w:t>million and $238.9</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12.0%. A change in yield of + or – 2% would result in a fair value of $35.0</w:t>
      </w:r>
      <w:r>
        <w:rPr>
          <w:rFonts w:ascii="Times New Roman" w:hAnsi="Times New Roman"/>
          <w:color w:val="000000"/>
          <w:sz w:val="20"/>
        </w:rPr>
        <w:t xml:space="preserve"> </w:t>
      </w:r>
      <w:r>
        <w:rPr>
          <w:rFonts w:ascii="Times New Roman" w:hAnsi="Times New Roman"/>
          <w:color w:val="000000"/>
          <w:sz w:val="18"/>
        </w:rPr>
        <w:t>million and $36.0</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13.0% and volatility of 62.7% to the straight note and a binomial option pricing model for the value of the conversion feature. A change in yield of + or – 2% would result in a fair value of $14.2</w:t>
      </w:r>
      <w:r>
        <w:rPr>
          <w:rFonts w:ascii="Times New Roman" w:hAnsi="Times New Roman"/>
          <w:color w:val="000000"/>
          <w:sz w:val="20"/>
        </w:rPr>
        <w:t xml:space="preserve"> </w:t>
      </w:r>
      <w:r>
        <w:rPr>
          <w:rFonts w:ascii="Times New Roman" w:hAnsi="Times New Roman"/>
          <w:color w:val="000000"/>
          <w:sz w:val="18"/>
        </w:rPr>
        <w:t>million and $14.7</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(4)</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 dividend yield of 0.0%, volatility of 50.0%, period of 8</w:t>
      </w:r>
      <w:r>
        <w:rPr>
          <w:rFonts w:ascii="Times New Roman" w:hAnsi="Times New Roman"/>
          <w:color w:val="000000"/>
          <w:sz w:val="20"/>
        </w:rPr>
        <w:t xml:space="preserve"> </w:t>
      </w:r>
      <w:r>
        <w:rPr>
          <w:rFonts w:ascii="Times New Roman" w:hAnsi="Times New Roman"/>
          <w:color w:val="000000"/>
          <w:sz w:val="18"/>
        </w:rPr>
        <w:t>years and credit risk of 17.0%.</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(5)</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using the Monte Carlo simulation method for the calculation of the potential payment and the Geometric Brownian Motion forecasting model to estimate the underlying revenue. Market-based inputs and other level 3 inputs were used to forecast future revenue. The key inputs used included a risk-free rate of 4.0%, dividend yield of 0.0%, volatility of 43.0%, period of 15</w:t>
      </w:r>
      <w:r>
        <w:rPr>
          <w:rFonts w:ascii="Times New Roman" w:hAnsi="Times New Roman"/>
          <w:color w:val="000000"/>
          <w:sz w:val="20"/>
        </w:rPr>
        <w:t xml:space="preserve"> </w:t>
      </w:r>
      <w:r>
        <w:rPr>
          <w:rFonts w:ascii="Times New Roman" w:hAnsi="Times New Roman"/>
          <w:color w:val="000000"/>
          <w:sz w:val="18"/>
        </w:rPr>
        <w:t xml:space="preserve">years and credit risk of 17.0%.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(6)</w:t>
      </w:r>
    </w:p>
    <w:p>
      <w:pPr>
        <w:pStyle w:val="TextBody"/>
        <w:bidi w:val="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9.5%.</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i/>
          <w:color w:val="000000"/>
          <w:sz w:val="20"/>
        </w:rPr>
        <w:t xml:space="preserve">Milestone Rights Liability </w:t>
      </w:r>
      <w:r>
        <w:rPr>
          <w:rFonts w:ascii="Times New Roman" w:hAnsi="Times New Roman"/>
          <w:color w:val="000000"/>
          <w:sz w:val="20"/>
        </w:rPr>
        <w:t xml:space="preserve">— The fair value measurement of the Milestone Rights liability is sensitive to the discount rate and the timing of achievement of milestones. The Company utilized a Monte-Carlo Simulation Method to simulate the Afrezza net sales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Contingent Milestone Liability — </w:t>
      </w:r>
      <w:r>
        <w:rPr>
          <w:rFonts w:ascii="Times New Roman" w:hAnsi="Times New Roman"/>
          <w:color w:val="000000"/>
          <w:sz w:val="20"/>
        </w:rPr>
        <w:t>The acquisition of V-Go in May 2022 resulted in a contingent milestone liability which could result in obligations to the seller if certain revenue thresholds are met. The initial fair value of the contingent milestone liability was recorded as an adjustment to the purchase price. Subsequent changes in the fair value are reported in general and administrative expenses.</w:t>
      </w:r>
    </w:p>
    <w:p>
      <w:pPr>
        <w:pStyle w:val="TextBody"/>
        <w:bidi w:val="0"/>
        <w:spacing w:before="240" w:after="240"/>
        <w:jc w:val="left"/>
        <w:rPr>
          <w:rFonts w:ascii="Times New Roman" w:hAnsi="Times New Roman"/>
          <w:sz w:val="20"/>
        </w:rPr>
      </w:pPr>
      <w:r>
        <w:rPr>
          <w:rFonts w:ascii="Times New Roman" w:hAnsi="Times New Roman"/>
          <w:i/>
          <w:color w:val="000000"/>
          <w:sz w:val="20"/>
        </w:rPr>
        <w:t>Financing Liability</w:t>
      </w:r>
      <w:r>
        <w:rPr>
          <w:rFonts w:ascii="Times New Roman" w:hAnsi="Times New Roman"/>
          <w:color w:val="000000"/>
          <w:sz w:val="20"/>
        </w:rPr>
        <w:t xml:space="preserve"> — The Sale-Leaseback Transaction in November 2021 resulted in a financing liability.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Liability for Sale of Future Royalties</w:t>
      </w:r>
      <w:r>
        <w:rPr>
          <w:rFonts w:ascii="Times New Roman" w:hAnsi="Times New Roman"/>
          <w:color w:val="000000"/>
          <w:sz w:val="20"/>
        </w:rPr>
        <w:t xml:space="preserve"> — The sale of a portion of our royalty rights in December 2023 resulted in a liability for sale of future royalties.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Common and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September 30, 2024 and December 31, 2023, 275,775,038 and 270,034,495 shares of common stock, respectively, were issued and outstanding and no shares of preferred stock were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There were no sales under the CF Sales Agreement during the nine months ended September 30, 2024. During the nine months ended September 30, 2023, the Company sold 1,478,090 shares of common stock at a weighted average purchase price of $4.66 per share for gross proceeds of approximately $6.9 million pursuant to the CF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2024, the Company received $1.4 million from the market price stock purchase plan ("MPSPP") for 416,099 shares of common stock. During the nine months ended September 30, 2023, the Company received $0.2 million from the MPSPP for 36,004 shares.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shares of common stock issued pursuant to the Company's 2004 employee stock purchase plan ("ESPP"), see Note 14 – </w:t>
      </w:r>
      <w:r>
        <w:rPr>
          <w:rFonts w:ascii="Times New Roman" w:hAnsi="Times New Roman"/>
          <w:i/>
          <w:color w:val="000000"/>
          <w:sz w:val="20"/>
        </w:rPr>
        <w:t>Stock-Based Compensation Expense.</w:t>
      </w:r>
    </w:p>
    <w:p>
      <w:pPr>
        <w:pStyle w:val="TextBody"/>
        <w:bidi w:val="0"/>
        <w:spacing w:before="240" w:after="120"/>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Earnings per Common Share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tables summarize the components of the basic and diluted EPS computations (in thousands, except per share amounts):</w:t>
      </w:r>
    </w:p>
    <w:tbl>
      <w:tblPr>
        <w:tblW w:w="10205" w:type="dxa"/>
        <w:jc w:val="left"/>
        <w:tblInd w:w="0" w:type="dxa"/>
        <w:tblLayout w:type="fixed"/>
        <w:tblCellMar>
          <w:top w:w="28" w:type="dxa"/>
          <w:left w:w="28" w:type="dxa"/>
          <w:bottom w:w="28" w:type="dxa"/>
          <w:right w:w="28" w:type="dxa"/>
        </w:tblCellMar>
      </w:tblPr>
      <w:tblGrid>
        <w:gridCol w:w="4804"/>
        <w:gridCol w:w="146"/>
        <w:gridCol w:w="211"/>
        <w:gridCol w:w="781"/>
        <w:gridCol w:w="146"/>
        <w:gridCol w:w="146"/>
        <w:gridCol w:w="211"/>
        <w:gridCol w:w="781"/>
        <w:gridCol w:w="146"/>
        <w:gridCol w:w="146"/>
        <w:gridCol w:w="211"/>
        <w:gridCol w:w="781"/>
        <w:gridCol w:w="146"/>
        <w:gridCol w:w="146"/>
        <w:gridCol w:w="211"/>
        <w:gridCol w:w="781"/>
        <w:gridCol w:w="411"/>
      </w:tblGrid>
      <w:tr>
        <w:trPr/>
        <w:tc>
          <w:tcPr>
            <w:tcW w:w="4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0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basic:</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8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(numerator)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 (denominator)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diluted:</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8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net income (loss) (numerator)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266,126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8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dilutive securities — common shares issuable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weighted average common shares (denominator)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September 30, 2024, diluted net income per share excluded the weighted average effect of 10.4 million shares of RSUs and Market RSUs, 0.4 million options and PNQs and 44.1 million common shares issuable upon conversion of our Senior convertible notes, as they were antidilutive. For the nine months ended September 30, 2024, diluted net income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excluded the weighted average effect of 9.1 million RSUs and Market RSUs, 0.7 million options and PNQs and 44.1 million common shares issuable upon conversion of our Senior convertible notes, as they were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September 30, 2023, diluted net income per share excluded the weighted average effect of 9.4 million shares of RSUs and Market RSUs and 2.0 million options and PNQs as they were antidilutive.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Common shares issuable represents incremental shares of common stock which consist of RSUs, stock options, warrants, and shares that could be issued upon conversion of the Senior convertible notes and the Mann Group convertible notes. Potentially dilutive securities outstanding which were considered antidilutive due to the net losses incurred for the nine months ended September 30, 2023 are summarized as follows (in shares):</w:t>
      </w:r>
    </w:p>
    <w:tbl>
      <w:tblPr>
        <w:tblW w:w="4424" w:type="dxa"/>
        <w:jc w:val="left"/>
        <w:tblInd w:w="0" w:type="dxa"/>
        <w:tblLayout w:type="fixed"/>
        <w:tblCellMar>
          <w:top w:w="28" w:type="dxa"/>
          <w:left w:w="28" w:type="dxa"/>
          <w:bottom w:w="28" w:type="dxa"/>
          <w:right w:w="28" w:type="dxa"/>
        </w:tblCellMar>
      </w:tblPr>
      <w:tblGrid>
        <w:gridCol w:w="2851"/>
        <w:gridCol w:w="146"/>
        <w:gridCol w:w="1036"/>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44,120,463</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RSUs and Market RSUs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21,151,454</w:t>
            </w:r>
          </w:p>
        </w:tc>
        <w:tc>
          <w:tcPr>
            <w:tcW w:w="3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PNQs</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8,447,339</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 Group convertible notes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shares</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77,089,256</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sz w:val="20"/>
        </w:rPr>
      </w:pPr>
      <w:r>
        <w:rPr>
          <w:rFonts w:ascii="Times New Roman" w:hAnsi="Times New Roman"/>
          <w:color w:val="000000"/>
          <w:sz w:val="18"/>
        </w:rPr>
        <w:t>Market RSUs issued in 2021, 2022 and 2023 are included at the share delivery of</w:t>
      </w:r>
      <w:r>
        <w:rPr>
          <w:rFonts w:ascii="Times New Roman" w:hAnsi="Times New Roman"/>
          <w:color w:val="000000"/>
          <w:sz w:val="20"/>
        </w:rPr>
        <w:t xml:space="preserve"> 0</w:t>
      </w:r>
      <w:r>
        <w:rPr>
          <w:rFonts w:ascii="Times New Roman" w:hAnsi="Times New Roman"/>
          <w:color w:val="000000"/>
          <w:sz w:val="18"/>
        </w:rPr>
        <w:t>%, 205% and 219%, respectively, in accordance with a valuation assessment obtained as of September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14. Stock-Based Compensation Expense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granted the following awards (in shares):</w:t>
      </w:r>
    </w:p>
    <w:tbl>
      <w:tblPr>
        <w:tblW w:w="10205" w:type="dxa"/>
        <w:jc w:val="left"/>
        <w:tblInd w:w="0" w:type="dxa"/>
        <w:tblLayout w:type="fixed"/>
        <w:tblCellMar>
          <w:top w:w="28" w:type="dxa"/>
          <w:left w:w="28" w:type="dxa"/>
          <w:bottom w:w="28" w:type="dxa"/>
          <w:right w:w="28" w:type="dxa"/>
        </w:tblCellMar>
      </w:tblPr>
      <w:tblGrid>
        <w:gridCol w:w="2391"/>
        <w:gridCol w:w="146"/>
        <w:gridCol w:w="230"/>
        <w:gridCol w:w="1234"/>
        <w:gridCol w:w="146"/>
        <w:gridCol w:w="278"/>
        <w:gridCol w:w="203"/>
        <w:gridCol w:w="1300"/>
        <w:gridCol w:w="146"/>
        <w:gridCol w:w="278"/>
        <w:gridCol w:w="224"/>
        <w:gridCol w:w="1206"/>
        <w:gridCol w:w="146"/>
        <w:gridCol w:w="278"/>
        <w:gridCol w:w="189"/>
        <w:gridCol w:w="1213"/>
        <w:gridCol w:w="597"/>
      </w:tblGrid>
      <w:tr>
        <w:trPr/>
        <w:tc>
          <w:tcPr>
            <w:tcW w:w="2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awards:</w:t>
            </w:r>
          </w:p>
        </w:tc>
        <w:tc>
          <w:tcPr>
            <w:tcW w:w="146" w:type="dxa"/>
            <w:tcBorders/>
            <w:shd w:fill="FFFFFF" w:val="clear"/>
            <w:vAlign w:val="center"/>
          </w:tcPr>
          <w:p>
            <w:pPr>
              <w:pStyle w:val="TableContents"/>
              <w:bidi w:val="0"/>
              <w:spacing w:before="0" w:after="283"/>
              <w:jc w:val="center"/>
              <w:rPr/>
            </w:pPr>
            <w:r>
              <w:rPr/>
              <w:t> </w:t>
            </w:r>
          </w:p>
        </w:tc>
        <w:tc>
          <w:tcPr>
            <w:tcW w:w="1464"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150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14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1402"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ind w:left="0" w:right="0" w:firstLine="200"/>
              <w:jc w:val="right"/>
              <w:rPr/>
            </w:pPr>
            <w:r>
              <w:rPr/>
              <w:t> </w:t>
            </w:r>
          </w:p>
        </w:tc>
      </w:tr>
      <w:tr>
        <w:trPr/>
        <w:tc>
          <w:tcPr>
            <w:tcW w:w="23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vAlign w:val="center"/>
          </w:tcPr>
          <w:p>
            <w:pPr>
              <w:pStyle w:val="TableContents"/>
              <w:bidi w:val="0"/>
              <w:spacing w:before="0" w:after="283"/>
              <w:jc w:val="center"/>
              <w:rPr/>
            </w:pPr>
            <w:r>
              <w:rPr/>
              <w:t> </w:t>
            </w:r>
          </w:p>
        </w:tc>
        <w:tc>
          <w:tcPr>
            <w:tcW w:w="230"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267,990</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(1)</w:t>
            </w:r>
          </w:p>
        </w:tc>
        <w:tc>
          <w:tcPr>
            <w:tcW w:w="203" w:type="dxa"/>
            <w:tcBorders/>
            <w:shd w:fill="CFF0FC" w:val="clear"/>
            <w:vAlign w:val="center"/>
          </w:tcPr>
          <w:p>
            <w:pPr>
              <w:pStyle w:val="TableContents"/>
              <w:bidi w:val="0"/>
              <w:spacing w:before="0" w:after="283"/>
              <w:jc w:val="left"/>
              <w:rPr/>
            </w:pPr>
            <w:r>
              <w:rPr/>
              <w:t> </w:t>
            </w:r>
          </w:p>
        </w:tc>
        <w:tc>
          <w:tcPr>
            <w:tcW w:w="13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3,205,910</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(2)</w:t>
            </w:r>
          </w:p>
        </w:tc>
        <w:tc>
          <w:tcPr>
            <w:tcW w:w="224"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241,253</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(5)</w:t>
            </w:r>
          </w:p>
        </w:tc>
        <w:tc>
          <w:tcPr>
            <w:tcW w:w="189" w:type="dxa"/>
            <w:tcBorders/>
            <w:shd w:fill="CFF0FC" w:val="clear"/>
            <w:vAlign w:val="center"/>
          </w:tcPr>
          <w:p>
            <w:pPr>
              <w:pStyle w:val="TableContents"/>
              <w:bidi w:val="0"/>
              <w:spacing w:before="0" w:after="283"/>
              <w:jc w:val="left"/>
              <w:rPr/>
            </w:pPr>
            <w:r>
              <w:rPr/>
              <w:t> </w:t>
            </w:r>
          </w:p>
        </w:tc>
        <w:tc>
          <w:tcPr>
            <w:tcW w:w="12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3,715,153</w:t>
            </w:r>
          </w:p>
        </w:tc>
        <w:tc>
          <w:tcPr>
            <w:tcW w:w="597" w:type="dxa"/>
            <w:tcBorders/>
            <w:shd w:fill="CFF0FC" w:val="clear"/>
            <w:vAlign w:val="center"/>
          </w:tcPr>
          <w:p>
            <w:pPr>
              <w:pStyle w:val="TableContents"/>
              <w:bidi w:val="0"/>
              <w:spacing w:before="0" w:after="283"/>
              <w:ind w:left="0" w:right="0" w:firstLine="200"/>
              <w:jc w:val="left"/>
              <w:rPr/>
            </w:pPr>
            <w:r>
              <w:rPr/>
              <w:t> </w:t>
            </w:r>
          </w:p>
        </w:tc>
      </w:tr>
      <w:tr>
        <w:trPr/>
        <w:tc>
          <w:tcPr>
            <w:tcW w:w="23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 RSUs</w:t>
            </w:r>
          </w:p>
        </w:tc>
        <w:tc>
          <w:tcPr>
            <w:tcW w:w="146" w:type="dxa"/>
            <w:tcBorders/>
            <w:shd w:fill="FFFFFF" w:val="cle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2,144,000</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(3)</w:t>
            </w:r>
          </w:p>
        </w:tc>
        <w:tc>
          <w:tcPr>
            <w:tcW w:w="22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2,144,000</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23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Non-employee director RSUs</w:t>
            </w:r>
          </w:p>
        </w:tc>
        <w:tc>
          <w:tcPr>
            <w:tcW w:w="146" w:type="dxa"/>
            <w:tcBorders/>
            <w:shd w:fill="CFF0FC" w:val="cle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center"/>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1"/>
              </w:rPr>
              <w:t>(4)</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280,376</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awards issued</w:t>
            </w:r>
          </w:p>
        </w:tc>
        <w:tc>
          <w:tcPr>
            <w:tcW w:w="146" w:type="dxa"/>
            <w:tcBorders/>
            <w:shd w:fill="FFFFFF" w:val="cle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5,630,286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6,139,529</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sz w:val="20"/>
        </w:rPr>
      </w:pPr>
      <w:r>
        <w:rPr>
          <w:rFonts w:ascii="Times New Roman" w:hAnsi="Times New Roman"/>
          <w:color w:val="000000"/>
          <w:sz w:val="18"/>
        </w:rPr>
        <w:t>RSUs had a weighted average grant date fair value of $3.28</w:t>
      </w:r>
      <w:r>
        <w:rPr>
          <w:rFonts w:ascii="Times New Roman" w:hAnsi="Times New Roman"/>
          <w:color w:val="000000"/>
          <w:sz w:val="20"/>
        </w:rPr>
        <w:t xml:space="preserve"> </w:t>
      </w:r>
      <w:r>
        <w:rPr>
          <w:rFonts w:ascii="Times New Roman" w:hAnsi="Times New Roman"/>
          <w:color w:val="000000"/>
          <w:sz w:val="18"/>
        </w:rPr>
        <w:t>per share, of which 211,895</w:t>
      </w:r>
      <w:r>
        <w:rPr>
          <w:rFonts w:ascii="Times New Roman" w:hAnsi="Times New Roman"/>
          <w:color w:val="000000"/>
          <w:sz w:val="20"/>
        </w:rPr>
        <w:t xml:space="preserve"> </w:t>
      </w:r>
      <w:r>
        <w:rPr>
          <w:rFonts w:ascii="Times New Roman" w:hAnsi="Times New Roman"/>
          <w:color w:val="000000"/>
          <w:sz w:val="18"/>
        </w:rPr>
        <w:t>RSUs had a vesting period of 33.3% annually over the second, third, and fourth</w:t>
      </w:r>
      <w:r>
        <w:rPr>
          <w:rFonts w:ascii="Times New Roman" w:hAnsi="Times New Roman"/>
          <w:color w:val="000000"/>
          <w:sz w:val="20"/>
        </w:rPr>
        <w:t xml:space="preserve"> </w:t>
      </w:r>
      <w:r>
        <w:rPr>
          <w:rFonts w:ascii="Times New Roman" w:hAnsi="Times New Roman"/>
          <w:color w:val="000000"/>
          <w:sz w:val="18"/>
        </w:rPr>
        <w:t>anniversary of the vesting determination date, 53,720</w:t>
      </w:r>
      <w:r>
        <w:rPr>
          <w:rFonts w:ascii="Times New Roman" w:hAnsi="Times New Roman"/>
          <w:color w:val="000000"/>
          <w:sz w:val="20"/>
        </w:rPr>
        <w:t xml:space="preserve"> </w:t>
      </w:r>
      <w:r>
        <w:rPr>
          <w:rFonts w:ascii="Times New Roman" w:hAnsi="Times New Roman"/>
          <w:color w:val="000000"/>
          <w:sz w:val="18"/>
        </w:rPr>
        <w:t>RSUs had a cliff vesting period of three years, and 2,375</w:t>
      </w:r>
      <w:r>
        <w:rPr>
          <w:rFonts w:ascii="Times New Roman" w:hAnsi="Times New Roman"/>
          <w:color w:val="000000"/>
          <w:sz w:val="20"/>
        </w:rPr>
        <w:t xml:space="preserve"> </w:t>
      </w:r>
      <w:r>
        <w:rPr>
          <w:rFonts w:ascii="Times New Roman" w:hAnsi="Times New Roman"/>
          <w:color w:val="000000"/>
          <w:sz w:val="18"/>
        </w:rPr>
        <w:t xml:space="preserve">RSUs had a vesting period of 25% annually over four years. </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left"/>
        <w:rPr>
          <w:rFonts w:ascii="Times New Roman" w:hAnsi="Times New Roman"/>
          <w:sz w:val="20"/>
        </w:rPr>
      </w:pPr>
      <w:r>
        <w:rPr>
          <w:rFonts w:ascii="Times New Roman" w:hAnsi="Times New Roman"/>
          <w:color w:val="000000"/>
          <w:sz w:val="18"/>
        </w:rPr>
        <w:t>RSUs had a weighted average grant date fair value of $4.45</w:t>
      </w:r>
      <w:r>
        <w:rPr>
          <w:rFonts w:ascii="Times New Roman" w:hAnsi="Times New Roman"/>
          <w:color w:val="000000"/>
          <w:sz w:val="20"/>
        </w:rPr>
        <w:t xml:space="preserve"> </w:t>
      </w:r>
      <w:r>
        <w:rPr>
          <w:rFonts w:ascii="Times New Roman" w:hAnsi="Times New Roman"/>
          <w:color w:val="000000"/>
          <w:sz w:val="18"/>
        </w:rPr>
        <w:t>per share, of which 3,033,680</w:t>
      </w:r>
      <w:r>
        <w:rPr>
          <w:rFonts w:ascii="Times New Roman" w:hAnsi="Times New Roman"/>
          <w:color w:val="000000"/>
          <w:sz w:val="20"/>
        </w:rPr>
        <w:t xml:space="preserve"> </w:t>
      </w:r>
      <w:r>
        <w:rPr>
          <w:rFonts w:ascii="Times New Roman" w:hAnsi="Times New Roman"/>
          <w:color w:val="000000"/>
          <w:sz w:val="18"/>
        </w:rPr>
        <w:t>RSUs had a vesting period of 25% annually over four years, 145,980</w:t>
      </w:r>
      <w:r>
        <w:rPr>
          <w:rFonts w:ascii="Times New Roman" w:hAnsi="Times New Roman"/>
          <w:color w:val="000000"/>
          <w:sz w:val="20"/>
        </w:rPr>
        <w:t xml:space="preserve"> </w:t>
      </w:r>
      <w:r>
        <w:rPr>
          <w:rFonts w:ascii="Times New Roman" w:hAnsi="Times New Roman"/>
          <w:color w:val="000000"/>
          <w:sz w:val="18"/>
        </w:rPr>
        <w:t>RSUs had a vesting period of 33.3% annually over the second, third, and fourth</w:t>
      </w:r>
      <w:r>
        <w:rPr>
          <w:rFonts w:ascii="Times New Roman" w:hAnsi="Times New Roman"/>
          <w:color w:val="000000"/>
          <w:sz w:val="20"/>
        </w:rPr>
        <w:t xml:space="preserve"> </w:t>
      </w:r>
      <w:r>
        <w:rPr>
          <w:rFonts w:ascii="Times New Roman" w:hAnsi="Times New Roman"/>
          <w:color w:val="000000"/>
          <w:sz w:val="18"/>
        </w:rPr>
        <w:t>anniversary of the vesting determination date, and 26,250</w:t>
      </w:r>
      <w:r>
        <w:rPr>
          <w:rFonts w:ascii="Times New Roman" w:hAnsi="Times New Roman"/>
          <w:color w:val="000000"/>
          <w:sz w:val="20"/>
        </w:rPr>
        <w:t xml:space="preserve"> </w:t>
      </w:r>
      <w:r>
        <w:rPr>
          <w:rFonts w:ascii="Times New Roman" w:hAnsi="Times New Roman"/>
          <w:color w:val="000000"/>
          <w:sz w:val="18"/>
        </w:rPr>
        <w:t>RSUs had a cliff vesting period of two years.</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(3)</w:t>
      </w:r>
    </w:p>
    <w:p>
      <w:pPr>
        <w:pStyle w:val="TextBody"/>
        <w:bidi w:val="0"/>
        <w:spacing w:before="120" w:after="283"/>
        <w:jc w:val="left"/>
        <w:rPr>
          <w:rFonts w:ascii="Times New Roman" w:hAnsi="Times New Roman"/>
          <w:sz w:val="20"/>
        </w:rPr>
      </w:pPr>
      <w:r>
        <w:rPr>
          <w:rFonts w:ascii="Times New Roman" w:hAnsi="Times New Roman"/>
          <w:color w:val="000000"/>
          <w:sz w:val="18"/>
        </w:rPr>
        <w:t>Market RSUs had a grant date fair value of $10.30</w:t>
      </w:r>
      <w:r>
        <w:rPr>
          <w:rFonts w:ascii="Times New Roman" w:hAnsi="Times New Roman"/>
          <w:color w:val="000000"/>
          <w:sz w:val="20"/>
        </w:rPr>
        <w:t xml:space="preserve"> </w:t>
      </w:r>
      <w:r>
        <w:rPr>
          <w:rFonts w:ascii="Times New Roman" w:hAnsi="Times New Roman"/>
          <w:color w:val="000000"/>
          <w:sz w:val="18"/>
        </w:rPr>
        <w:t>per share and will vest on July 15, 2027. The number of shares delivered on the vesting date is determined by the percentile ranking of MannKind total shareholder return ("TSR") over the period from July 1, 2024 until June 30, 2027</w:t>
      </w:r>
      <w:r>
        <w:rPr>
          <w:rFonts w:ascii="Times New Roman" w:hAnsi="Times New Roman"/>
          <w:color w:val="000000"/>
          <w:sz w:val="20"/>
        </w:rPr>
        <w:t xml:space="preserve"> </w:t>
      </w:r>
      <w:r>
        <w:rPr>
          <w:rFonts w:ascii="Times New Roman" w:hAnsi="Times New Roman"/>
          <w:color w:val="000000"/>
          <w:sz w:val="18"/>
        </w:rPr>
        <w:t>relative to the TSR of the Russell 3000 Pharmaceutical &amp; Biotechnology Index over the same three-year period, as follows: less than 25th percentile=0% of target, 25th percentile=50% of target, 50th percentile=100% of target, 75th percentile=200% of target, 90th percentile or higher=300% maximum. Payout values will be interpolated between the percentile rankings above.</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(4)</w:t>
      </w:r>
    </w:p>
    <w:p>
      <w:pPr>
        <w:pStyle w:val="TextBody"/>
        <w:bidi w:val="0"/>
        <w:spacing w:before="120" w:after="283"/>
        <w:jc w:val="left"/>
        <w:rPr>
          <w:rFonts w:ascii="Times New Roman" w:hAnsi="Times New Roman"/>
          <w:sz w:val="20"/>
        </w:rPr>
      </w:pPr>
      <w:r>
        <w:rPr>
          <w:rFonts w:ascii="Times New Roman" w:hAnsi="Times New Roman"/>
          <w:color w:val="000000"/>
          <w:sz w:val="18"/>
        </w:rPr>
        <w:t>RSUs had a weighted average grant date fair value of $4.45</w:t>
      </w:r>
      <w:r>
        <w:rPr>
          <w:rFonts w:ascii="Times New Roman" w:hAnsi="Times New Roman"/>
          <w:color w:val="000000"/>
          <w:sz w:val="20"/>
        </w:rPr>
        <w:t xml:space="preserve"> </w:t>
      </w:r>
      <w:r>
        <w:rPr>
          <w:rFonts w:ascii="Times New Roman" w:hAnsi="Times New Roman"/>
          <w:color w:val="000000"/>
          <w:sz w:val="18"/>
        </w:rPr>
        <w:t>per share and vested immediately upon the grant date; however, the underlying shares of common stock will not be delivered until there is a separation of service such as resignation, retirement or death.</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(5)</w:t>
      </w:r>
    </w:p>
    <w:p>
      <w:pPr>
        <w:pStyle w:val="TextBody"/>
        <w:bidi w:val="0"/>
        <w:spacing w:before="120" w:after="283"/>
        <w:jc w:val="left"/>
        <w:rPr>
          <w:rFonts w:ascii="Times New Roman" w:hAnsi="Times New Roman"/>
          <w:sz w:val="20"/>
        </w:rPr>
      </w:pPr>
      <w:r>
        <w:rPr>
          <w:rFonts w:ascii="Times New Roman" w:hAnsi="Times New Roman"/>
          <w:color w:val="000000"/>
          <w:sz w:val="18"/>
        </w:rPr>
        <w:t>RSUs had a weighted average grant date fair value of $5.34 per share, of which 219,285</w:t>
      </w:r>
      <w:r>
        <w:rPr>
          <w:rFonts w:ascii="Times New Roman" w:hAnsi="Times New Roman"/>
          <w:color w:val="000000"/>
          <w:sz w:val="20"/>
        </w:rPr>
        <w:t xml:space="preserve"> </w:t>
      </w:r>
      <w:r>
        <w:rPr>
          <w:rFonts w:ascii="Times New Roman" w:hAnsi="Times New Roman"/>
          <w:color w:val="000000"/>
          <w:sz w:val="18"/>
        </w:rPr>
        <w:t>RSUs had a vesting period of 33.3% annually over the second, third, and fourth anniversary of the vesting determination date, and 21,968</w:t>
      </w:r>
      <w:r>
        <w:rPr>
          <w:rFonts w:ascii="Times New Roman" w:hAnsi="Times New Roman"/>
          <w:color w:val="000000"/>
          <w:sz w:val="20"/>
        </w:rPr>
        <w:t xml:space="preserve"> </w:t>
      </w:r>
      <w:r>
        <w:rPr>
          <w:rFonts w:ascii="Times New Roman" w:hAnsi="Times New Roman"/>
          <w:color w:val="000000"/>
          <w:sz w:val="18"/>
        </w:rPr>
        <w:t>RSUs had a vesting period of 40% on the first anniversary and 60% on the second anniversary of the vesting determination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there was $26.2 million and $27.4 million of unrecognized stock-based compensation expense related to RSUs and Market RSUs, respectively, which is expected to be recognized over a weighted average period of approximately 2.84 and 1.98 years, respectively.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Total stock-based compensation expense recognized in the condensed consolidated statements of operations as cost of goods sold, cost of revenue – collaborations and services, R&amp;D and selling, general and administrative expense was as follows (in thousands):</w:t>
      </w:r>
    </w:p>
    <w:tbl>
      <w:tblPr>
        <w:tblW w:w="7347"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571"/>
        <w:gridCol w:w="146"/>
        <w:gridCol w:w="146"/>
        <w:gridCol w:w="211"/>
        <w:gridCol w:w="676"/>
        <w:gridCol w:w="146"/>
        <w:gridCol w:w="146"/>
        <w:gridCol w:w="211"/>
        <w:gridCol w:w="676"/>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13,324</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approximately 2.6 million shares of common stock available for issuance under the ESPP as of September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15.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Guarantees and Indemnifications </w:t>
      </w:r>
      <w:r>
        <w:rPr>
          <w:rFonts w:ascii="Times New Roman" w:hAnsi="Times New Roman"/>
          <w:color w:val="000000"/>
          <w:sz w:val="20"/>
        </w:rPr>
        <w:t xml:space="preserve">— 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Litigation </w:t>
      </w:r>
      <w:r>
        <w:rPr>
          <w:rFonts w:ascii="Times New Roman" w:hAnsi="Times New Roman"/>
          <w:color w:val="000000"/>
          <w:sz w:val="20"/>
        </w:rPr>
        <w:t xml:space="preserve">— The Company is subject to legal proceedings and claims which arise in the ordinary course of its business. The Company does not anticipate 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Contingencies — Milestone Rights </w:t>
      </w:r>
      <w:r>
        <w:rPr>
          <w:rFonts w:ascii="Times New Roman" w:hAnsi="Times New Roman"/>
          <w:color w:val="000000"/>
          <w:sz w:val="20"/>
        </w:rPr>
        <w:t>— In July 2013, the Company entered into the Milestone Rights Agreement with the Original Milestone Purchasers, pursuant to which the Company granted the Milestone Rights to receive payments up to $90.0 million upon the occurrence of specified strategic and sales milestones, $50.0 million of which remains payable to the Milestone Purchasers as of September 30, 2024. 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each of the nine months ended September 30, 2024 and 2023, the Company made milestone payments of $5.0 million to the Milestone Purchasers. As of September 30, 2024 and December 31, 2023, the remaining Milestone Rights liability balance was $3.2 million and $3.9 million, respectively, and consisted of $0.7 million and $0.8 million, respectively, of current liability, which was presented as accrued expenses and other current liabilities, and $2.5 million and $3.1 million, respectively, of long-term liability, which was presented as milestone liabilities in the condensed consolidated balance sheets. The value of the Milestone Rights liability was based on initial fair value estimates calculated using the income approach and is reduced by milestone achievement payments made. </w:t>
      </w:r>
    </w:p>
    <w:p>
      <w:pPr>
        <w:pStyle w:val="TextBody"/>
        <w:bidi w:val="0"/>
        <w:spacing w:before="240" w:after="283"/>
        <w:jc w:val="left"/>
        <w:rPr>
          <w:rFonts w:ascii="Times New Roman" w:hAnsi="Times New Roman"/>
          <w:sz w:val="20"/>
        </w:rPr>
      </w:pPr>
      <w:r>
        <w:rPr>
          <w:rFonts w:ascii="Times New Roman" w:hAnsi="Times New Roman"/>
          <w:i/>
          <w:color w:val="000000"/>
          <w:sz w:val="20"/>
        </w:rPr>
        <w:t>Loss Contingencies — Returns Reserve for Acquired Product</w:t>
      </w:r>
      <w:r>
        <w:rPr>
          <w:rFonts w:ascii="Times New Roman" w:hAnsi="Times New Roman"/>
          <w:color w:val="000000"/>
          <w:sz w:val="20"/>
        </w:rPr>
        <w:t xml:space="preserve"> — During the nine months ended September 30, 2024, the Company reassessed its previously-determined estimate for product returns associated with sales of V-Go that pre-date the Company's acquisition of the product and recorded an additional $1.4 million, which is included in accrued expenses and other current liabilities in the condensed consolidated balance sheets as of September 30, 2024 and being reduced as product returns are received. Losses on estimated returns of acquired product were recorded in general and administrative expenses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Liability for Sale of Future Royalties</w:t>
      </w:r>
      <w:r>
        <w:rPr>
          <w:rFonts w:ascii="Times New Roman" w:hAnsi="Times New Roman"/>
          <w:color w:val="000000"/>
          <w:sz w:val="20"/>
        </w:rPr>
        <w:t xml:space="preserve"> — In December 2023, the Company executed a Purchase and Sale Agreement (the “PSA”) with Sagard Healthcare 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twelve consecutive months on or prior to December 31, 2026 (“Net Sales Threshold A”), or a milestone of $45.0 million if net Sales Threshold A is not met and net sales of Tyvaso DPI meet or exceed $2.3 billion for any twelve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through December 31, 2042 (the “Termination Date”) and will automatically terminate upon payment of the final royalty owed to Sagard thereafter. Upon the Termination Date, ownership of the Sagard Royalty will revert to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condensed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are reported net of the Royalty Liability balance and amortized to interest expense in the condensed consolidated statements of operations over the life of the PSA using the effective interest method. Unamortized transaction costs totaled $4.2 million and $4.4 million at September 30, 2024 and December 31,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recognize the full 10% of future royalty revenues in its condensed consolidated statements of operations, with the Sagard Royalty being non-cash revenue for the Company. As royalty payments are earned by and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condensed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shows the activity within the Royalty Liability account during the nine months ended September 30, 2024 as well as the effective interest rate (dollars in thousands):</w:t>
      </w:r>
    </w:p>
    <w:tbl>
      <w:tblPr>
        <w:tblW w:w="7147" w:type="dxa"/>
        <w:jc w:val="left"/>
        <w:tblInd w:w="0" w:type="dxa"/>
        <w:tblLayout w:type="fixed"/>
        <w:tblCellMar>
          <w:top w:w="28" w:type="dxa"/>
          <w:left w:w="28" w:type="dxa"/>
          <w:bottom w:w="28" w:type="dxa"/>
          <w:right w:w="28" w:type="dxa"/>
        </w:tblCellMar>
      </w:tblPr>
      <w:tblGrid>
        <w:gridCol w:w="5511"/>
        <w:gridCol w:w="265"/>
        <w:gridCol w:w="980"/>
        <w:gridCol w:w="391"/>
      </w:tblGrid>
      <w:tr>
        <w:trPr/>
        <w:tc>
          <w:tcPr>
            <w:tcW w:w="55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2024</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145,810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deferred transaction costs</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5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interest expense on liability for sale of future royalties</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Royalty revenue earned by or payable to Sagard</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2024</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124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 – 11.5%</w:t>
            </w:r>
          </w:p>
        </w:tc>
        <w:tc>
          <w:tcPr>
            <w:tcW w:w="391" w:type="dxa"/>
            <w:tcBorders/>
            <w:shd w:fill="CFF0FC" w:val="cle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Sale-Leaseback Transaction</w:t>
      </w:r>
      <w:r>
        <w:rPr>
          <w:rFonts w:ascii="Times New Roman" w:hAnsi="Times New Roman"/>
          <w:color w:val="000000"/>
          <w:sz w:val="20"/>
        </w:rPr>
        <w:t xml:space="preserve">— In November 2021, the Company sold certain land, building and improvements located in Danbury, CT (the "Property") to an affiliate of Creative Manufacturing Properties (the "Purchaser") for a sales price of $102.3 million, subject to terms and the conditions contained in a purchase and sale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utilizing a weighted average discount rate of 9.0%.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the related financing liability was $104.0 million, which was recognized in the condensed consolidated balance sheet and of which $94.0 million was long-term and $10.0 million was current. As of December 31, 2023, the related financing liability was $104.1 million, of which $94.3 million was long-term and $9.8 million was current.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Financing liability information was as follows (dollars in thousands): </w:t>
      </w:r>
    </w:p>
    <w:tbl>
      <w:tblPr>
        <w:tblW w:w="7785" w:type="dxa"/>
        <w:jc w:val="left"/>
        <w:tblInd w:w="0" w:type="dxa"/>
        <w:tblLayout w:type="fixed"/>
        <w:tblCellMar>
          <w:top w:w="28" w:type="dxa"/>
          <w:left w:w="28" w:type="dxa"/>
          <w:bottom w:w="28" w:type="dxa"/>
          <w:right w:w="28" w:type="dxa"/>
        </w:tblCellMar>
      </w:tblPr>
      <w:tblGrid>
        <w:gridCol w:w="4111"/>
        <w:gridCol w:w="146"/>
        <w:gridCol w:w="367"/>
        <w:gridCol w:w="1178"/>
        <w:gridCol w:w="146"/>
        <w:gridCol w:w="146"/>
        <w:gridCol w:w="357"/>
        <w:gridCol w:w="1143"/>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7552"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571"/>
        <w:gridCol w:w="146"/>
        <w:gridCol w:w="146"/>
        <w:gridCol w:w="211"/>
        <w:gridCol w:w="571"/>
        <w:gridCol w:w="146"/>
        <w:gridCol w:w="146"/>
        <w:gridCol w:w="211"/>
        <w:gridCol w:w="57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remaining financing liability payments were as follows (in thousands):</w:t>
      </w:r>
    </w:p>
    <w:tbl>
      <w:tblPr>
        <w:tblW w:w="4168" w:type="dxa"/>
        <w:jc w:val="left"/>
        <w:tblInd w:w="0" w:type="dxa"/>
        <w:tblLayout w:type="fixed"/>
        <w:tblCellMar>
          <w:top w:w="28" w:type="dxa"/>
          <w:left w:w="28" w:type="dxa"/>
          <w:bottom w:w="28" w:type="dxa"/>
          <w:right w:w="28" w:type="dxa"/>
        </w:tblCellMar>
      </w:tblPr>
      <w:tblGrid>
        <w:gridCol w:w="2086"/>
        <w:gridCol w:w="146"/>
        <w:gridCol w:w="310"/>
        <w:gridCol w:w="1235"/>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10,533</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11,174</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222,635</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financing liability</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Financing Lease </w:t>
      </w:r>
      <w:r>
        <w:rPr>
          <w:rFonts w:ascii="Times New Roman" w:hAnsi="Times New Roman"/>
          <w:color w:val="000000"/>
          <w:sz w:val="20"/>
        </w:rPr>
        <w:t xml:space="preserve">— In May 2024, the Company acquired audio-visual equipment via a financing lease with </w:t>
      </w:r>
      <w:r>
        <w:rPr>
          <w:rFonts w:ascii="Times New Roman" w:hAnsi="Times New Roman"/>
          <w:i/>
          <w:color w:val="000000"/>
          <w:sz w:val="20"/>
        </w:rPr>
        <w:t>de minimis</w:t>
      </w:r>
      <w:r>
        <w:rPr>
          <w:rFonts w:ascii="Times New Roman" w:hAnsi="Times New Roman"/>
          <w:color w:val="000000"/>
          <w:sz w:val="20"/>
        </w:rPr>
        <w:t xml:space="preserve"> monthly principal and interest payments and a termination date in May 2029.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Financing lease information was as follows (dollars in thousands): </w:t>
      </w:r>
    </w:p>
    <w:tbl>
      <w:tblPr>
        <w:tblW w:w="6218" w:type="dxa"/>
        <w:jc w:val="left"/>
        <w:tblInd w:w="0" w:type="dxa"/>
        <w:tblLayout w:type="fixed"/>
        <w:tblCellMar>
          <w:top w:w="28" w:type="dxa"/>
          <w:left w:w="28" w:type="dxa"/>
          <w:bottom w:w="28" w:type="dxa"/>
          <w:right w:w="28" w:type="dxa"/>
        </w:tblCellMar>
      </w:tblPr>
      <w:tblGrid>
        <w:gridCol w:w="4111"/>
        <w:gridCol w:w="246"/>
        <w:gridCol w:w="481"/>
        <w:gridCol w:w="1064"/>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Financing lease right-of-use asset</w:t>
            </w:r>
            <w:r>
              <w:rPr>
                <w:rFonts w:ascii="Times New Roman" w:hAnsi="Times New Roman"/>
                <w:color w:val="000000"/>
                <w:sz w:val="13"/>
              </w:rPr>
              <w:t>(1)</w:t>
            </w:r>
          </w:p>
        </w:tc>
        <w:tc>
          <w:tcPr>
            <w:tcW w:w="246" w:type="dxa"/>
            <w:tcBorders/>
            <w:shd w:fill="CFF0FC" w:val="cle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Financing lease liability-current</w:t>
            </w:r>
            <w:r>
              <w:rPr>
                <w:rFonts w:ascii="Times New Roman" w:hAnsi="Times New Roman"/>
                <w:color w:val="000000"/>
                <w:sz w:val="13"/>
              </w:rPr>
              <w:t>(2)</w:t>
            </w:r>
          </w:p>
        </w:tc>
        <w:tc>
          <w:tcPr>
            <w:tcW w:w="2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liability-long-term</w:t>
            </w:r>
          </w:p>
        </w:tc>
        <w:tc>
          <w:tcPr>
            <w:tcW w:w="246" w:type="dxa"/>
            <w:tcBorders/>
            <w:shd w:fill="FFFFFF" w:val="cle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2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2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Financing right-of-use asset is included in other assets in the condensed consolidated balance sheets.</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Financing lease liability – current is included in accrued expenses and other current liabilities in the condensed consolidated balance sheets.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remaining financing lease payments were as follows (in thousands):</w:t>
      </w:r>
    </w:p>
    <w:tbl>
      <w:tblPr>
        <w:tblW w:w="4168" w:type="dxa"/>
        <w:jc w:val="left"/>
        <w:tblInd w:w="0" w:type="dxa"/>
        <w:tblLayout w:type="fixed"/>
        <w:tblCellMar>
          <w:top w:w="28" w:type="dxa"/>
          <w:left w:w="28" w:type="dxa"/>
          <w:bottom w:w="28" w:type="dxa"/>
          <w:right w:w="28" w:type="dxa"/>
        </w:tblCellMar>
      </w:tblPr>
      <w:tblGrid>
        <w:gridCol w:w="2086"/>
        <w:gridCol w:w="146"/>
        <w:gridCol w:w="514"/>
        <w:gridCol w:w="1031"/>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financing liability</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Commitments </w:t>
      </w:r>
      <w:r>
        <w:rPr>
          <w:rFonts w:ascii="Times New Roman" w:hAnsi="Times New Roman"/>
          <w:color w:val="000000"/>
          <w:sz w:val="20"/>
        </w:rPr>
        <w:t xml:space="preserve">— In July 2014, the Company entered into the Insulin Supply Agreement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September 30, 2024 were as follows (€ in millions):</w:t>
      </w:r>
    </w:p>
    <w:tbl>
      <w:tblPr>
        <w:tblW w:w="5745" w:type="dxa"/>
        <w:jc w:val="left"/>
        <w:tblInd w:w="0" w:type="dxa"/>
        <w:tblLayout w:type="fixed"/>
        <w:tblCellMar>
          <w:top w:w="28" w:type="dxa"/>
          <w:left w:w="28" w:type="dxa"/>
          <w:bottom w:w="28" w:type="dxa"/>
          <w:right w:w="28" w:type="dxa"/>
        </w:tblCellMar>
      </w:tblPr>
      <w:tblGrid>
        <w:gridCol w:w="706"/>
        <w:gridCol w:w="629"/>
        <w:gridCol w:w="2011"/>
        <w:gridCol w:w="159"/>
        <w:gridCol w:w="159"/>
        <w:gridCol w:w="542"/>
        <w:gridCol w:w="1348"/>
        <w:gridCol w:w="191"/>
      </w:tblGrid>
      <w:tr>
        <w:trPr/>
        <w:tc>
          <w:tcPr>
            <w:tcW w:w="70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283"/>
              <w:jc w:val="left"/>
              <w:rPr/>
            </w:pPr>
            <w:r>
              <w:rPr/>
              <w:t> </w:t>
            </w:r>
          </w:p>
        </w:tc>
        <w:tc>
          <w:tcPr>
            <w:tcW w:w="4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 w:type="dxa"/>
            <w:tcBorders/>
            <w:shd w:fill="FFFFFF" w:val="clear"/>
            <w:vAlign w:val="center"/>
          </w:tcPr>
          <w:p>
            <w:pPr>
              <w:pStyle w:val="TableContents"/>
              <w:bidi w:val="0"/>
              <w:spacing w:before="0" w:after="283"/>
              <w:jc w:val="left"/>
              <w:rPr/>
            </w:pPr>
            <w:r>
              <w:rPr/>
              <w:t> </w:t>
            </w:r>
          </w:p>
        </w:tc>
        <w:tc>
          <w:tcPr>
            <w:tcW w:w="2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Purchase Commitments</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Capacity Fees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color w:val="000000"/>
              </w:rPr>
            </w:pPr>
            <w:r>
              <w:rPr>
                <w:color w:val="000000"/>
              </w:rPr>
              <w:t>—</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w:t>
            </w:r>
            <w:r>
              <w:rPr>
                <w:rFonts w:ascii="Times New Roman" w:hAnsi="Times New Roman"/>
                <w:color w:val="000000"/>
                <w:sz w:val="13"/>
              </w:rPr>
              <w:t>(1)</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FFFFFF" w:val="cle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w:t>
            </w:r>
          </w:p>
        </w:tc>
        <w:tc>
          <w:tcPr>
            <w:tcW w:w="629"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2033</w:t>
            </w:r>
          </w:p>
        </w:tc>
        <w:tc>
          <w:tcPr>
            <w:tcW w:w="629" w:type="dxa"/>
            <w:tcBorders/>
            <w:shd w:fill="CFF0FC" w:val="clear"/>
            <w:vAlign w:val="center"/>
          </w:tcPr>
          <w:p>
            <w:pPr>
              <w:pStyle w:val="TableContents"/>
              <w:bidi w:val="0"/>
              <w:spacing w:before="0" w:after="283"/>
              <w:jc w:val="left"/>
              <w:rPr/>
            </w:pPr>
            <w:r>
              <w:rPr/>
              <w:t> </w:t>
            </w:r>
          </w:p>
        </w:tc>
        <w:tc>
          <w:tcPr>
            <w:tcW w:w="2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2034</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pPr>
      <w:r>
        <w:rPr>
          <w:rFonts w:ascii="Times New Roman" w:hAnsi="Times New Roman"/>
          <w:color w:val="000000"/>
          <w:sz w:val="18"/>
        </w:rPr>
        <w:t>If there is a delay in the availability of insulin with FDA approved inclusion bodies and supply does not begin in 2026 as currently expected, the Company will incur a capacity fee of €750,000</w:t>
      </w:r>
      <w:r>
        <w:rPr>
          <w:color w:val="000000"/>
        </w:rPr>
        <w:t xml:space="preserve"> </w:t>
      </w:r>
      <w:r>
        <w:rPr>
          <w:rFonts w:ascii="Times New Roman" w:hAnsi="Times New Roman"/>
          <w:color w:val="000000"/>
          <w:sz w:val="18"/>
        </w:rPr>
        <w:t>per quarter that the product is not available for purchase.</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amendment, the term of the Insulin Supply Agreement expires on the later of December 31, 2034 or until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$62.6 million and $64.8 million is included in our condensed consolidated balance sheets as of September 30, 2024 and December 31, 2023, respectively, and is reduced as inventory items are received or such liability is extinguished.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Vehicle Leases </w:t>
      </w:r>
      <w:r>
        <w:rPr>
          <w:rFonts w:ascii="Times New Roman" w:hAnsi="Times New Roman"/>
          <w:color w:val="000000"/>
          <w:sz w:val="20"/>
        </w:rPr>
        <w:t>— During the second quarter of 2018, the Company entered into a master lease agreement with Enterprise Fleet Management Inc. The monthly payment inclusive of maintenance fees, insurance and taxes is approximately $0.1 million. The lease expense is included in selling expenses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Office Leases</w:t>
      </w:r>
      <w:r>
        <w:rPr>
          <w:rFonts w:ascii="Times New Roman" w:hAnsi="Times New Roman"/>
          <w:color w:val="000000"/>
          <w:sz w:val="20"/>
        </w:rPr>
        <w:t xml:space="preserve"> — In May 2017, the Company executed an office lease with Russell Ranch Road II LLC for the Company’s corporate offices in Westlake 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is also entitled to a one-time allowance up to $0.9 million as reimbursement for tenant improvements or the purchase of furniture,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fixtures or equipment. Of the $0.9 million allowance, an amount up to $0.7 million may be applied as an additional base rent concession. The Company has no further right to extend the lease term beyond July 31,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 per month through February 28,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the Company assumed certain leased real property (the "Bedford Lease") in connection with the Pulmatrix Transaction. The Bedford Lease pertains to certain premises in a building located in Bedford, Massachusetts.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Lease information was as follows (dollars in thousands):</w:t>
      </w:r>
    </w:p>
    <w:tbl>
      <w:tblPr>
        <w:tblW w:w="8235" w:type="dxa"/>
        <w:jc w:val="left"/>
        <w:tblInd w:w="0" w:type="dxa"/>
        <w:tblLayout w:type="fixed"/>
        <w:tblCellMar>
          <w:top w:w="28" w:type="dxa"/>
          <w:left w:w="28" w:type="dxa"/>
          <w:bottom w:w="28" w:type="dxa"/>
          <w:right w:w="28" w:type="dxa"/>
        </w:tblCellMar>
      </w:tblPr>
      <w:tblGrid>
        <w:gridCol w:w="4111"/>
        <w:gridCol w:w="246"/>
        <w:gridCol w:w="367"/>
        <w:gridCol w:w="1178"/>
        <w:gridCol w:w="271"/>
        <w:gridCol w:w="246"/>
        <w:gridCol w:w="403"/>
        <w:gridCol w:w="1097"/>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right-of-use assets</w:t>
            </w:r>
            <w:r>
              <w:rPr>
                <w:rFonts w:ascii="Times New Roman" w:hAnsi="Times New Roman"/>
                <w:color w:val="000000"/>
                <w:sz w:val="13"/>
              </w:rPr>
              <w:t>(1)</w:t>
            </w:r>
          </w:p>
        </w:tc>
        <w:tc>
          <w:tcPr>
            <w:tcW w:w="2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liability-current</w:t>
            </w:r>
            <w:r>
              <w:rPr>
                <w:rFonts w:ascii="Times New Roman" w:hAnsi="Times New Roman"/>
                <w:color w:val="000000"/>
                <w:sz w:val="13"/>
              </w:rPr>
              <w:t>(2)</w:t>
            </w:r>
          </w:p>
        </w:tc>
        <w:tc>
          <w:tcPr>
            <w:tcW w:w="2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liability-long-term</w:t>
            </w:r>
          </w:p>
        </w:tc>
        <w:tc>
          <w:tcPr>
            <w:tcW w:w="2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2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2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Operating right-of-use assets related to vehicles, offices and the manufacturing facility for V-Go are included in other assets in the condensed consolidated balance sheets.</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Operating lease liability – current is included in accrued expenses and other current liabilities in the condensed consolidated balance sheets.</w:t>
      </w:r>
    </w:p>
    <w:tbl>
      <w:tblPr>
        <w:tblW w:w="5948" w:type="dxa"/>
        <w:jc w:val="left"/>
        <w:tblInd w:w="0" w:type="dxa"/>
        <w:tblLayout w:type="fixed"/>
        <w:tblCellMar>
          <w:top w:w="28" w:type="dxa"/>
          <w:left w:w="28" w:type="dxa"/>
          <w:bottom w:w="28" w:type="dxa"/>
          <w:right w:w="28" w:type="dxa"/>
        </w:tblCellMar>
      </w:tblPr>
      <w:tblGrid>
        <w:gridCol w:w="1831"/>
        <w:gridCol w:w="146"/>
        <w:gridCol w:w="221"/>
        <w:gridCol w:w="442"/>
        <w:gridCol w:w="153"/>
        <w:gridCol w:w="153"/>
        <w:gridCol w:w="221"/>
        <w:gridCol w:w="442"/>
        <w:gridCol w:w="146"/>
        <w:gridCol w:w="146"/>
        <w:gridCol w:w="211"/>
        <w:gridCol w:w="571"/>
        <w:gridCol w:w="146"/>
        <w:gridCol w:w="146"/>
        <w:gridCol w:w="211"/>
        <w:gridCol w:w="57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future minimum office and vehicle lease payments were as follows (in thousands):</w:t>
      </w:r>
    </w:p>
    <w:tbl>
      <w:tblPr>
        <w:tblW w:w="4438" w:type="dxa"/>
        <w:jc w:val="left"/>
        <w:tblInd w:w="0" w:type="dxa"/>
        <w:tblLayout w:type="fixed"/>
        <w:tblCellMar>
          <w:top w:w="28" w:type="dxa"/>
          <w:left w:w="28" w:type="dxa"/>
          <w:bottom w:w="28" w:type="dxa"/>
          <w:right w:w="28" w:type="dxa"/>
        </w:tblCellMar>
      </w:tblPr>
      <w:tblGrid>
        <w:gridCol w:w="2536"/>
        <w:gridCol w:w="146"/>
        <w:gridCol w:w="367"/>
        <w:gridCol w:w="1178"/>
        <w:gridCol w:w="21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21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21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21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21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21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18,868</w:t>
            </w:r>
          </w:p>
        </w:tc>
        <w:tc>
          <w:tcPr>
            <w:tcW w:w="21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2024, the Company recorded income tax expense of $1.3 million and $1.9 million, respectively, related to state taxes, which was calculated using the discrete year-to-date method. The income tax provision for the three and nine months ended September 30, 2023 resulted in no tax expense. The effective tax rate differs from the statutory tax rate of 21% primarily due to the existence of valuation allowances against net deferred tax assets and current liabilities resulting from the estimated state income tax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nine months ended September 30, 2024, the Company did not recognize any interest or penalties. The Company’s tax years since 2019 remain subject to examination by tax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2024, California enacted Senate Bills 167 and 175 ("SB 167" and "SB 175"). SB 167 suspends the use of net operating losses ("NOLs") and limits the use of business credits to $5.0 million for the 2024-2026 tax years. Under SB 175, the NOL suspension and credit limitations will not apply for the 2025 and 2026 tax years if certain budget goals are met. Although the Company does not expect this legislation to have a material effect on its results of operations or cash flows, management continues to evaluate any potential impact.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2023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V-Go received 510(k) clearance by the FDA in 2010 and has been available commercially since 2012. In May 2022, we acquired V-Go from Zealand Pharma A/S and Zealand Pharma US, Inc. (together, “Zealand”) and began integrating the product into our endocrine business unit. V-Go is a mechanical basal-bolus insulin delivery system that is worn like a patch and can eliminate the need for taking multiple daily injections.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are conducting a Phase 3 clinical study, known as INHALE-1, evaluating the efficacy and safety of Afrezza in combination with basal insulin versus multiple daily injections of insulin in children and adolescents aged 4-17 who are living with type 1 or type 2 diabetes. A primary endpoint analysis for INHALE-1 is expected in the fourth quarter of 2024, with full results expected in the first half of 2025 and a planned FDA submission for a label expansion in 2025.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lead program in our pipeline of potential treatments for orphan lung diseases is MNKD-101, a nebulized formulation of clofazimine, for the treatment of severe chronic and recurrent pulmonary infections, including nontuberculous mycobacterial (NTM) lung disease. We believe an orally inhaled formulation of clofazimine could potentially provide several clinical advantages over the current solid oral dosage form, including directly targeting the site of the infection while lowering the systemic exposure of patients to the drug. The FDA has granted MNKD-101 status as an orphan drug and as a qualified infectious disease product for the treatment of pulmonary NTM infections. It has also granted Fast Track designation to our development program. In June 2024, we initiated a Phase 3 clinical study to investigate the potential of MNKD-101 to treat NTM lung disease. We began enrolling patients into this study in the third quarter of 2024.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next most advanced program in our pipeline is MNKD-201, a dry-powder formulation of nintedanib, for the treatment of idiopathic pulmonary fibrosis ("IPF"). An oral dosage form of nintedanib was approved for IPF by the FDA in 2014. However, a fairly large oral dose is required in order to achieve sufficient drug levels in lung tissue. Our goal with an inhaled formulation is to deliver a therapeutic amount of nintedanib to the lungs while avoiding high levels of the drug in other tissues, where it is associated with undesirable side effects. Earlier this year, we conducted a first-in-human Phase 1 study of MNKD-201 for pulmonary fibrotic diseases, including IPF. A data readout is expected in the fourth quarter of 2024.</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business is subject to significant risks, including but not limited to our ability to manufacture sufficient quantities of our products and Tyvaso DPI. Other significant risks also include the risk that our products may only achieve a limited degree of commercial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success and the risks inherent in drug development, clinical trials and the regulatory approval process for our product candidates, which in some cases depends upon the efforts of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we had an accumulated deficit of $3.2 billion and a stockholders’ deficit of $209.9 million. We had net income of $11.6 million and $20.2 million for the three and nine months ended September 30, 2024, respectively. To date, we have funded our operations primarily through the sale of our equity and convertible debt securities, from the receipt of upfront and milestone payments from collaborations, from borrowings, from sales of Afrezza and V-Go, from royalties and manufacturing revenue from UT as well as from proceeds of the sale-leaseback of our manufacturing facility in Danbury, CT and from the sale of a portion of future royalties that we receive from UT.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critical accounting policies and estimates can be found in Item 7. Management’s Discussion and Analysis of Financial Condition and Results of Operations in our Annual Report. See Note 1 – </w:t>
      </w:r>
      <w:r>
        <w:rPr>
          <w:rFonts w:ascii="Times New Roman" w:hAnsi="Times New Roman"/>
          <w:i/>
          <w:color w:val="000000"/>
          <w:sz w:val="20"/>
        </w:rPr>
        <w:t>Description of Business and Significant Accounting Policies</w:t>
      </w:r>
      <w:r>
        <w:rPr>
          <w:rFonts w:ascii="Times New Roman" w:hAnsi="Times New Roman"/>
          <w:color w:val="000000"/>
          <w:sz w:val="20"/>
        </w:rPr>
        <w:t xml:space="preserve"> in the condensed consolidated financial statements included in Part I – Financial Statements (Unaudited) for descriptions of the new accounting policies and impact of adoption.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Trends and Uncertainties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collaboration agreement with UT entitles us to receive a 10% royalty on net sales of Tyvaso DPI, subject to the sale by us in December 2023 of a 1% royalty on future net sales to a royalty purchaser (leaving us with a 9% royalty). Our royalty revenue reflects the upward trend in demand for Tyvaso DPI in the marketplace. See Note 15 – </w:t>
      </w:r>
      <w:r>
        <w:rPr>
          <w:rFonts w:ascii="Times New Roman" w:hAnsi="Times New Roman"/>
          <w:i/>
          <w:color w:val="000000"/>
          <w:sz w:val="20"/>
        </w:rPr>
        <w:t>Commitments and Contingencies</w:t>
      </w:r>
      <w:r>
        <w:rPr>
          <w:rFonts w:ascii="Times New Roman" w:hAnsi="Times New Roman"/>
          <w:color w:val="000000"/>
          <w:sz w:val="20"/>
        </w:rPr>
        <w:t xml:space="preserve"> in the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Three and nine months ended September 30, 2024 and 2023</w:t>
      </w:r>
    </w:p>
    <w:p>
      <w:pPr>
        <w:pStyle w:val="TextBody"/>
        <w:bidi w:val="0"/>
        <w:spacing w:before="240" w:after="283"/>
        <w:jc w:val="left"/>
        <w:rPr>
          <w:rFonts w:ascii="Times New Roman" w:hAnsi="Times New Roman"/>
          <w:sz w:val="20"/>
        </w:rPr>
      </w:pPr>
      <w:r>
        <w:rPr>
          <w:rFonts w:ascii="Times New Roman" w:hAnsi="Times New Roman"/>
          <w:b/>
          <w:color w:val="000000"/>
          <w:sz w:val="20"/>
        </w:rPr>
        <w:t>Revenues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provides a comparison of the revenue categories for the three and nine months ended September 30, 2024 and 2023 (dollars in thousands): </w:t>
      </w:r>
    </w:p>
    <w:tbl>
      <w:tblPr>
        <w:tblW w:w="9811" w:type="dxa"/>
        <w:jc w:val="left"/>
        <w:tblInd w:w="0" w:type="dxa"/>
        <w:tblLayout w:type="fixed"/>
        <w:tblCellMar>
          <w:top w:w="28" w:type="dxa"/>
          <w:left w:w="28" w:type="dxa"/>
          <w:bottom w:w="28" w:type="dxa"/>
          <w:right w:w="28" w:type="dxa"/>
        </w:tblCellMar>
      </w:tblPr>
      <w:tblGrid>
        <w:gridCol w:w="4271"/>
        <w:gridCol w:w="146"/>
        <w:gridCol w:w="211"/>
        <w:gridCol w:w="676"/>
        <w:gridCol w:w="271"/>
        <w:gridCol w:w="146"/>
        <w:gridCol w:w="211"/>
        <w:gridCol w:w="676"/>
        <w:gridCol w:w="271"/>
        <w:gridCol w:w="146"/>
        <w:gridCol w:w="211"/>
        <w:gridCol w:w="676"/>
        <w:gridCol w:w="166"/>
        <w:gridCol w:w="146"/>
        <w:gridCol w:w="243"/>
        <w:gridCol w:w="628"/>
        <w:gridCol w:w="716"/>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revenue from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Wholesaler distribution fees, rebates and</w:t>
              <w:br/>
              <w:t>   chargebacks, product returns and other</w:t>
              <w:br/>
              <w:t>   discounts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Gross-to-net revenue adjustment percentage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right"/>
              <w:rPr/>
            </w:pPr>
            <w:r>
              <w:rPr/>
              <w:t> </w:t>
            </w:r>
          </w:p>
        </w:tc>
      </w:tr>
      <w:tr>
        <w:trPr/>
        <w:tc>
          <w:tcPr>
            <w:tcW w:w="4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 collaboration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tbl>
      <w:tblPr>
        <w:tblW w:w="10021" w:type="dxa"/>
        <w:jc w:val="left"/>
        <w:tblInd w:w="0" w:type="dxa"/>
        <w:tblLayout w:type="fixed"/>
        <w:tblCellMar>
          <w:top w:w="28" w:type="dxa"/>
          <w:left w:w="28" w:type="dxa"/>
          <w:bottom w:w="28" w:type="dxa"/>
          <w:right w:w="28" w:type="dxa"/>
        </w:tblCellMar>
      </w:tblPr>
      <w:tblGrid>
        <w:gridCol w:w="4271"/>
        <w:gridCol w:w="146"/>
        <w:gridCol w:w="211"/>
        <w:gridCol w:w="781"/>
        <w:gridCol w:w="271"/>
        <w:gridCol w:w="146"/>
        <w:gridCol w:w="211"/>
        <w:gridCol w:w="781"/>
        <w:gridCol w:w="271"/>
        <w:gridCol w:w="146"/>
        <w:gridCol w:w="211"/>
        <w:gridCol w:w="676"/>
        <w:gridCol w:w="166"/>
        <w:gridCol w:w="146"/>
        <w:gridCol w:w="224"/>
        <w:gridCol w:w="647"/>
        <w:gridCol w:w="716"/>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8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revenue from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Wholesaler distribution fees, rebates and</w:t>
              <w:br/>
              <w:t>   chargebacks, product returns and other</w:t>
              <w:br/>
              <w:t>   discounts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Gross-to-net revenue adjustment percentage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right"/>
              <w:rPr/>
            </w:pPr>
            <w:r>
              <w:rPr/>
              <w:t> </w:t>
            </w:r>
          </w:p>
        </w:tc>
      </w:tr>
      <w:tr>
        <w:trPr/>
        <w:tc>
          <w:tcPr>
            <w:tcW w:w="4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 collaboration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Afrezza </w:t>
      </w:r>
      <w:r>
        <w:rPr>
          <w:rFonts w:ascii="Times New Roman" w:hAnsi="Times New Roman"/>
          <w:color w:val="000000"/>
          <w:sz w:val="20"/>
        </w:rPr>
        <w:t xml:space="preserve">— Gross revenue from sales of Afrezza increased by $1.7 million, or 8%, for the three months ended September 30, 2024 compared to the same period in the prior year. The increase was driven by higher demand. The gross-to-net adjustment was 36% of gross revenue, or $8.3 million, for the three months ended September 30, 2024 compared to 38% of gross revenue, or $8.1 million, for the same period in the prior year. The improved gross-to-net percentage was primarily attributable to a decrease in anticipated product returns (as a percentage of gross sales). As a result, net revenue from sales of Afrezza increased by $1.6 million, or 12%, for the three months ended September 30, 2024 compared to the same period in the prior 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Gross revenue from sales of Afrezza increased by $6.4 million, or 10%, for the nine months ended September 30, 2024 compared to the same period in the prior year. The increase was driven by higher demand and price. The gross-to-net adjustment was 35% of gross revenue, or $24.4 million, for the nine months ended September 30, 2024 compared to 38% of gross revenue, or $24.3 million, for the same period in the prior year. The improved gross-to-net percentage was primarily attributable to a decrease in anticipated product returns (as a percentage of gross sales). As a result, net revenue from sales of Afrezza increased by $6.3 million, or 16%, for the nine months ended September 30, 2024 compared to the same period in the prior year.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V-Go</w:t>
      </w:r>
      <w:r>
        <w:rPr>
          <w:rFonts w:ascii="Times New Roman" w:hAnsi="Times New Roman"/>
          <w:color w:val="000000"/>
          <w:sz w:val="20"/>
        </w:rPr>
        <w:t xml:space="preserve"> — Gross revenue from sales of V-Go decreased by $1.6 million, or 15%, for the three months ended September 30, 2024 compared to the same period in the prior year and was primarily a result of lower demand partially offset by increased price. The gross-to-net adjustment was 47% of gross revenue, or $4.2 million, for the three months ended September 30, 2024 compared to 58% of gross revenue, or $6.1 million, for the same period in the prior year. The improved gross-to-net percentage was primarily attributable to a decrease in rebates. As a result, net revenue from sales of V-Go increased by $0.2 million, or 5%, for the three months ended September 30, 2024 compared to the same period in the prior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revenue from sales of V-Go decreased by $4.2 million, or 13%, for the nine months ended September 30, 2024 compared to the same period in the prior year and was primarily a result of lower demand partially offset by increased price. The gross-to-net adjustment was 51% of gross revenue, or $14.3 million, for the nine months ended September 30, 2024 compared to 55% of gross revenue, or $17.6 million, for the same period in the prior year. The improved gross-to-net percentage was primarily attributable to a decrease in rebates. As a result, net revenue from sales of V-Go decreased by $0.9 million, or 6%, for the nine months ended September 30, 2024 compared to the same period in the prior year.</w:t>
      </w:r>
    </w:p>
    <w:p>
      <w:pPr>
        <w:pStyle w:val="TextBody"/>
        <w:bidi w:val="0"/>
        <w:spacing w:before="240" w:after="283"/>
        <w:jc w:val="left"/>
        <w:rPr>
          <w:rFonts w:ascii="Times New Roman" w:hAnsi="Times New Roman"/>
          <w:sz w:val="20"/>
        </w:rPr>
      </w:pPr>
      <w:r>
        <w:rPr>
          <w:rFonts w:ascii="Times New Roman" w:hAnsi="Times New Roman"/>
          <w:i/>
          <w:color w:val="000000"/>
          <w:sz w:val="20"/>
        </w:rPr>
        <w:t>Collaborations and Services</w:t>
      </w:r>
      <w:r>
        <w:rPr>
          <w:rFonts w:ascii="Times New Roman" w:hAnsi="Times New Roman"/>
          <w:color w:val="000000"/>
          <w:sz w:val="20"/>
        </w:rPr>
        <w:t xml:space="preserve"> — Net revenue from collaborations and services increased by $10.2 million, or 78%, for the three months ended September 30, 2024 compared to the same period in the prior year. The increase in revenue was primarily attributable to increased manufacturing volume for product sold to UT. Royalty revenue from UT increased by $6.9 million, or 34%, for the three months ended September 30, 2024 due to UT's increase in net revenue from sales of Tyvaso DPI. See Note 10 – </w:t>
      </w:r>
      <w:r>
        <w:rPr>
          <w:rFonts w:ascii="Times New Roman" w:hAnsi="Times New Roman"/>
          <w:i/>
          <w:color w:val="000000"/>
          <w:sz w:val="20"/>
        </w:rPr>
        <w:t>Collaboration, Licensing and Other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revenue from collaborations and services increased by $38.4 million, or 108%, for the nine months ended September 30, 2024 compared to the same period in the prior year. The increase in revenue was primarily attributable to increased manufacturing volume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product sold to UT. Royalty revenue from UT increased by $24.4 million, or 48%, for the nine months ended September 30, 2024 due to UT's increase in net revenue from sales of Tyvaso DPI. See Note 10 – </w:t>
      </w:r>
      <w:r>
        <w:rPr>
          <w:rFonts w:ascii="Times New Roman" w:hAnsi="Times New Roman"/>
          <w:i/>
          <w:color w:val="000000"/>
          <w:sz w:val="20"/>
        </w:rPr>
        <w:t>Collaboration, Licensing and Other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Commercial product gross profit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provides a comparison of the commercial product gross profit categories for the three and nine months ended September 30, 2024 and 2023 (dollars in thousands): </w:t>
      </w:r>
    </w:p>
    <w:tbl>
      <w:tblPr>
        <w:tblW w:w="8855" w:type="dxa"/>
        <w:jc w:val="left"/>
        <w:tblInd w:w="0" w:type="dxa"/>
        <w:tblLayout w:type="fixed"/>
        <w:tblCellMar>
          <w:top w:w="28" w:type="dxa"/>
          <w:left w:w="28" w:type="dxa"/>
          <w:bottom w:w="28" w:type="dxa"/>
          <w:right w:w="28" w:type="dxa"/>
        </w:tblCellMar>
      </w:tblPr>
      <w:tblGrid>
        <w:gridCol w:w="3446"/>
        <w:gridCol w:w="146"/>
        <w:gridCol w:w="211"/>
        <w:gridCol w:w="676"/>
        <w:gridCol w:w="271"/>
        <w:gridCol w:w="146"/>
        <w:gridCol w:w="211"/>
        <w:gridCol w:w="676"/>
        <w:gridCol w:w="271"/>
        <w:gridCol w:w="146"/>
        <w:gridCol w:w="214"/>
        <w:gridCol w:w="582"/>
        <w:gridCol w:w="166"/>
        <w:gridCol w:w="146"/>
        <w:gridCol w:w="243"/>
        <w:gridCol w:w="628"/>
        <w:gridCol w:w="676"/>
      </w:tblGrid>
      <w:tr>
        <w:trPr/>
        <w:tc>
          <w:tcPr>
            <w:tcW w:w="3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ind w:left="0" w:right="0" w:firstLine="100"/>
              <w:jc w:val="left"/>
              <w:rPr/>
            </w:pPr>
            <w:r>
              <w:rPr/>
              <w:t> </w:t>
            </w:r>
          </w:p>
        </w:tc>
      </w:tr>
      <w:tr>
        <w:trPr/>
        <w:tc>
          <w:tcPr>
            <w:tcW w:w="34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76"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44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44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101" w:type="dxa"/>
        <w:jc w:val="left"/>
        <w:tblInd w:w="0" w:type="dxa"/>
        <w:tblLayout w:type="fixed"/>
        <w:tblCellMar>
          <w:top w:w="28" w:type="dxa"/>
          <w:left w:w="28" w:type="dxa"/>
          <w:bottom w:w="28" w:type="dxa"/>
          <w:right w:w="28" w:type="dxa"/>
        </w:tblCellMar>
      </w:tblPr>
      <w:tblGrid>
        <w:gridCol w:w="3546"/>
        <w:gridCol w:w="146"/>
        <w:gridCol w:w="211"/>
        <w:gridCol w:w="676"/>
        <w:gridCol w:w="271"/>
        <w:gridCol w:w="146"/>
        <w:gridCol w:w="211"/>
        <w:gridCol w:w="676"/>
        <w:gridCol w:w="271"/>
        <w:gridCol w:w="146"/>
        <w:gridCol w:w="211"/>
        <w:gridCol w:w="631"/>
        <w:gridCol w:w="166"/>
        <w:gridCol w:w="146"/>
        <w:gridCol w:w="243"/>
        <w:gridCol w:w="628"/>
        <w:gridCol w:w="776"/>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ind w:left="0" w:right="0" w:firstLine="200"/>
              <w:jc w:val="right"/>
              <w:rPr/>
            </w:pPr>
            <w:r>
              <w:rPr/>
              <w:t> </w:t>
            </w:r>
          </w:p>
        </w:tc>
      </w:tr>
      <w:tr>
        <w:trPr/>
        <w:tc>
          <w:tcPr>
            <w:tcW w:w="35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product gross profit increased by $2.6 million, or 19%, for the three months ended September 30, 2024 compared to the same period in the prior year and $7.6 million, or 19%, for the nine months ended September 30, 2024 compared to the same period in the prior year. The increase in gross profit and gross margin was primarily attributable to an increase in Afrezza net revenue and improved gross-to-net adjustments related to V-Go rebates.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provides a comparison of the expense categories for the three and nine months ended September 30, 2024 and 2023 (dollars in thousands): </w:t>
      </w:r>
    </w:p>
    <w:tbl>
      <w:tblPr>
        <w:tblW w:w="9041" w:type="dxa"/>
        <w:jc w:val="left"/>
        <w:tblInd w:w="0" w:type="dxa"/>
        <w:tblLayout w:type="fixed"/>
        <w:tblCellMar>
          <w:top w:w="28" w:type="dxa"/>
          <w:left w:w="28" w:type="dxa"/>
          <w:bottom w:w="28" w:type="dxa"/>
          <w:right w:w="28" w:type="dxa"/>
        </w:tblCellMar>
      </w:tblPr>
      <w:tblGrid>
        <w:gridCol w:w="3856"/>
        <w:gridCol w:w="146"/>
        <w:gridCol w:w="211"/>
        <w:gridCol w:w="676"/>
        <w:gridCol w:w="146"/>
        <w:gridCol w:w="146"/>
        <w:gridCol w:w="211"/>
        <w:gridCol w:w="676"/>
        <w:gridCol w:w="166"/>
        <w:gridCol w:w="146"/>
        <w:gridCol w:w="211"/>
        <w:gridCol w:w="676"/>
        <w:gridCol w:w="166"/>
        <w:gridCol w:w="146"/>
        <w:gridCol w:w="243"/>
        <w:gridCol w:w="628"/>
        <w:gridCol w:w="5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revenue – collaborations and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Selling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(gain) on foreign currency transaction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8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41" w:type="dxa"/>
        <w:jc w:val="left"/>
        <w:tblInd w:w="0" w:type="dxa"/>
        <w:tblLayout w:type="fixed"/>
        <w:tblCellMar>
          <w:top w:w="28" w:type="dxa"/>
          <w:left w:w="28" w:type="dxa"/>
          <w:bottom w:w="28" w:type="dxa"/>
          <w:right w:w="28" w:type="dxa"/>
        </w:tblCellMar>
      </w:tblPr>
      <w:tblGrid>
        <w:gridCol w:w="3946"/>
        <w:gridCol w:w="146"/>
        <w:gridCol w:w="211"/>
        <w:gridCol w:w="781"/>
        <w:gridCol w:w="146"/>
        <w:gridCol w:w="146"/>
        <w:gridCol w:w="211"/>
        <w:gridCol w:w="781"/>
        <w:gridCol w:w="166"/>
        <w:gridCol w:w="146"/>
        <w:gridCol w:w="211"/>
        <w:gridCol w:w="676"/>
        <w:gridCol w:w="166"/>
        <w:gridCol w:w="146"/>
        <w:gridCol w:w="243"/>
        <w:gridCol w:w="628"/>
        <w:gridCol w:w="5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9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revenue — collaborations and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Selling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(gain) on foreign currency transaction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9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jc w:val="left"/>
        <w:rPr>
          <w:rFonts w:ascii="Times New Roman" w:hAnsi="Times New Roman"/>
          <w:color w:val="000000"/>
          <w:sz w:val="18"/>
        </w:rPr>
      </w:pPr>
      <w:r>
        <w:rPr>
          <w:rFonts w:ascii="Times New Roman" w:hAnsi="Times New Roman"/>
          <w:color w:val="000000"/>
          <w:sz w:val="18"/>
        </w:rPr>
        <w:t>*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revenue – collaborations and services increased by $4.6 million, or 45%, for the three months ended September 30, 2024 compared to the same period in the prior year and $14.4 million, or 48%, for the nine months ended September 30, 2024 compared to the same period in the prior year. The increases were primarily attributable to increased manufacturing volume for Tyvaso DPI.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R&amp;D expenses increased by $2.9 million, or 29%, for the three months ended September 30, 2024 and $12.7 million, or 58%, for the nine months ended September 30, 2024 compared to the same periods in the prior year. The increases were primarily attributable to increased expenditures for development activities and a Phase 3 clinical study of clofazimine inhaled suspension (MNKD-101), a Phase 1 clinical study of a dry-powder formulation of nintedanib (MNKD-201) for treatment of pulmonary fibrotic diseases, and personnel costs due to increased headcount as a result of the Pulmatrix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expenses decreased by $0.3 million, or 3%, for the three months ended September 30, 2024 compared to the same period in the prior year. The decrease was primarily attributable to reduced personnel related to sales force restructuring activities completed during the first quarter of 2024, partially offset by an increase in promotional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expenses decreased by $4.6 million, or 11%, for the nine months ended September 30, 2024 compared to the same period in the prior year. The decrease was primarily attributable to reduced personnel expenses related to sales force restructuring activities completed during the first quarter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by $0.3 million, or 3%, for the three months ended September 30, 2024 compared to the same period in the prior year. The increase was primarily attributable to increases in personnel costs, partially offset by reduced consulting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increased by $1.1 million, or 3%, for the nine months ended September 30, 2024 compared to the same period in the prior year. The increase was primarily attributable to a loss of $1.4 million for estimated returns associated with sales of V-Go that pre-date our acquisition of the product and increases in personnel costs, partially offset by reduced consulting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Insulin Supply Agreement, payment obligations are denominated in Euros. We are required to record the foreign currency transaction impact of the U.S. dollar to Euro exchange rate associated with the recognized gain or loss on purchase commitments. The foreign currency transaction loss was $2.5 million for the three months ended September 30, 2024 compared to a gain of $2.1 million for the same period in the prior year and a loss of $0.5 million for the nine months ended September 30, 2024 compared to a gain of $0.9 million for the same period in the prior year due to the conversion of Euro to U.S. dollar exchange rates. </w:t>
      </w:r>
    </w:p>
    <w:p>
      <w:pPr>
        <w:pStyle w:val="TextBody"/>
        <w:bidi w:val="0"/>
        <w:spacing w:before="240" w:after="283"/>
        <w:jc w:val="left"/>
        <w:rPr>
          <w:rFonts w:ascii="Times New Roman" w:hAnsi="Times New Roman"/>
          <w:sz w:val="20"/>
        </w:rPr>
      </w:pPr>
      <w:r>
        <w:rPr>
          <w:rFonts w:ascii="Times New Roman" w:hAnsi="Times New Roman"/>
          <w:b/>
          <w:color w:val="000000"/>
          <w:sz w:val="20"/>
        </w:rPr>
        <w:t>Other Income (Expense)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provides a comparison of the other income (expense) categories for the three and nine months ended September 30, 2024 and 2023 (dollars in thousands): </w:t>
      </w:r>
    </w:p>
    <w:tbl>
      <w:tblPr>
        <w:tblW w:w="9756" w:type="dxa"/>
        <w:jc w:val="left"/>
        <w:tblInd w:w="0" w:type="dxa"/>
        <w:tblLayout w:type="fixed"/>
        <w:tblCellMar>
          <w:top w:w="28" w:type="dxa"/>
          <w:left w:w="28" w:type="dxa"/>
          <w:bottom w:w="28" w:type="dxa"/>
          <w:right w:w="28" w:type="dxa"/>
        </w:tblCellMar>
      </w:tblPr>
      <w:tblGrid>
        <w:gridCol w:w="4501"/>
        <w:gridCol w:w="146"/>
        <w:gridCol w:w="211"/>
        <w:gridCol w:w="631"/>
        <w:gridCol w:w="166"/>
        <w:gridCol w:w="146"/>
        <w:gridCol w:w="211"/>
        <w:gridCol w:w="631"/>
        <w:gridCol w:w="166"/>
        <w:gridCol w:w="146"/>
        <w:gridCol w:w="211"/>
        <w:gridCol w:w="631"/>
        <w:gridCol w:w="166"/>
        <w:gridCol w:w="146"/>
        <w:gridCol w:w="224"/>
        <w:gridCol w:w="647"/>
        <w:gridCol w:w="77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shd w:fill="FFFFFF" w:val="clear"/>
            <w:vAlign w:val="center"/>
          </w:tcPr>
          <w:p>
            <w:pPr>
              <w:pStyle w:val="TableContents"/>
              <w:bidi w:val="0"/>
              <w:spacing w:before="0" w:after="283"/>
              <w:jc w:val="righ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bargain purchase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76" w:type="dxa"/>
            <w:tcBorders/>
            <w:shd w:fill="CFF0FC" w:val="clear"/>
            <w:vAlign w:val="center"/>
          </w:tcPr>
          <w:p>
            <w:pPr>
              <w:pStyle w:val="TableContents"/>
              <w:bidi w:val="0"/>
              <w:spacing w:before="0" w:after="283"/>
              <w:jc w:val="right"/>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9886" w:type="dxa"/>
        <w:jc w:val="left"/>
        <w:tblInd w:w="0" w:type="dxa"/>
        <w:tblLayout w:type="fixed"/>
        <w:tblCellMar>
          <w:top w:w="28" w:type="dxa"/>
          <w:left w:w="28" w:type="dxa"/>
          <w:bottom w:w="28" w:type="dxa"/>
          <w:right w:w="28" w:type="dxa"/>
        </w:tblCellMar>
      </w:tblPr>
      <w:tblGrid>
        <w:gridCol w:w="4501"/>
        <w:gridCol w:w="146"/>
        <w:gridCol w:w="211"/>
        <w:gridCol w:w="736"/>
        <w:gridCol w:w="166"/>
        <w:gridCol w:w="146"/>
        <w:gridCol w:w="211"/>
        <w:gridCol w:w="736"/>
        <w:gridCol w:w="166"/>
        <w:gridCol w:w="146"/>
        <w:gridCol w:w="211"/>
        <w:gridCol w:w="736"/>
        <w:gridCol w:w="166"/>
        <w:gridCol w:w="146"/>
        <w:gridCol w:w="224"/>
        <w:gridCol w:w="647"/>
        <w:gridCol w:w="5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bargain purchase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jc w:val="right"/>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jc w:val="right"/>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5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jc w:val="left"/>
        <w:rPr>
          <w:rFonts w:ascii="Times New Roman" w:hAnsi="Times New Roman"/>
          <w:color w:val="000000"/>
          <w:sz w:val="18"/>
        </w:rPr>
      </w:pPr>
      <w:r>
        <w:rPr>
          <w:rFonts w:ascii="Times New Roman" w:hAnsi="Times New Roman"/>
          <w:color w:val="000000"/>
          <w:sz w:val="18"/>
        </w:rPr>
        <w:t>*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income, net, consisting of interest and accretion on investments net of amortization, increased by $1.6 million for the three months ended September 30, 2024 and $5.4 million for the nine months ended September 30, 2024 compared to the same periods in the prior year primarily due to an increase in the underlying investments from the proceeds of the sale of 1% of our Tyvaso DPI royalties in December 2023 and higher yields on our securities portfolio.</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on liability for sale of future royalties was $4.1 million and $12.7 million for the three and nine months ended September 30, 2024, respectively, and was attributable to imputed interest and amortization of debt issuance costs on the liability recorded in connection with the sale of 1% of our Tyvaso DPI royalties in December 2023.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on financing liability was $2.5 million for each of the three months ended September 30, 2024 and 2023, and $7.4 million and $7.3 million for the nine months ended September 30, 2024 and 2023, respectively, and represented interest incurred on the sale lease-back transaction for our manufacturing facility in Danbury, CT.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decreased by $1.0 million for the three months ended September 30, 2024 and $2.1 million for the nine months ended September 30, 2024 compared to the same periods in the prior year. The decrease was primarily due to repayment of the MidCap credit facility and Mann Group convertible note in April 2024. See Note 9 – </w:t>
      </w:r>
      <w:r>
        <w:rPr>
          <w:rFonts w:ascii="Times New Roman" w:hAnsi="Times New Roman"/>
          <w:i/>
          <w:color w:val="000000"/>
          <w:sz w:val="20"/>
        </w:rPr>
        <w:t>Borrowings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Gain on bargain purchase of $5.3 million for the three and nine months ended September 30, 2024 was the result of the excess of net assets acquired over consideration paid in the Pulmatrix Transaction. See Note 2 – </w:t>
      </w:r>
      <w:r>
        <w:rPr>
          <w:rFonts w:ascii="Times New Roman" w:hAnsi="Times New Roman"/>
          <w:i/>
          <w:color w:val="000000"/>
          <w:sz w:val="20"/>
        </w:rPr>
        <w:t>Pulmatrix Transaction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for the three and nine months ended September 30, 2023 consisted primarily of gains associated with foreign currency hedging transactions which were entered into to mitigate our exposure to foreign currency exchange risks associated with our insulin purchase obligation under the Insulin Supply Agreement.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Loss on extinguishment of debt of $7.1 million for the nine months ended September 30, 2024 was incurred in connection with the repayment of the MidCap credit facility and Mann Group convertible note in April 2024. See Note 9 – </w:t>
      </w:r>
      <w:r>
        <w:rPr>
          <w:rFonts w:ascii="Times New Roman" w:hAnsi="Times New Roman"/>
          <w:i/>
          <w:color w:val="000000"/>
          <w:sz w:val="20"/>
        </w:rPr>
        <w:t>Borrowings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Loss on available-for-sale securities for the nine months ended September 30, 2024 was $1.6 million as a result of modification of the Thirona investment. The gain on available-for-sale securities for the nine months ended September 30, 2023 was $0.9 million as a result of the change in fair value of the investment. See Note 3 – </w:t>
      </w:r>
      <w:r>
        <w:rPr>
          <w:rFonts w:ascii="Times New Roman" w:hAnsi="Times New Roman"/>
          <w:i/>
          <w:color w:val="000000"/>
          <w:sz w:val="20"/>
        </w:rPr>
        <w:t>Investments</w:t>
      </w:r>
      <w:r>
        <w:rPr>
          <w:rFonts w:ascii="Times New Roman" w:hAnsi="Times New Roman"/>
          <w:color w:val="000000"/>
          <w:sz w:val="20"/>
        </w:rPr>
        <w:t>.</w:t>
      </w:r>
    </w:p>
    <w:p>
      <w:pPr>
        <w:pStyle w:val="TextBody"/>
        <w:bidi w:val="0"/>
        <w:spacing w:before="240" w:after="240"/>
        <w:jc w:val="left"/>
        <w:rPr>
          <w:rFonts w:ascii="Times New Roman" w:hAnsi="Times New Roman"/>
          <w:sz w:val="20"/>
        </w:rPr>
      </w:pPr>
      <w:r>
        <w:rPr>
          <w:rFonts w:ascii="Times New Roman" w:hAnsi="Times New Roman"/>
          <w:color w:val="000000"/>
          <w:sz w:val="20"/>
        </w:rPr>
        <w:t>N</w:t>
      </w:r>
      <w:r>
        <w:rPr>
          <w:rFonts w:ascii="Times New Roman" w:hAnsi="Times New Roman"/>
          <w:b/>
          <w:color w:val="000000"/>
          <w:sz w:val="20"/>
        </w:rPr>
        <w:t>on-GAAP Measures</w:t>
        <w:br/>
        <w:br/>
      </w:r>
      <w:r>
        <w:rPr>
          <w:rFonts w:ascii="Times New Roman" w:hAnsi="Times New Roman"/>
          <w:color w:val="000000"/>
          <w:sz w:val="20"/>
        </w:rPr>
        <w:t xml:space="preserve">To supplement our condensed consolidated financial statements presented under GAAP, we are presenting non-GAAP net income (loss) and non-GAAP net income (loss) per share – diluted, which are non-GAAP financial measures. We are providing these non-GAAP financial 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 </w:t>
        <w:br/>
        <w:br/>
        <w:t>These non-GAAP financial measures are not meant to be considered in isolation or as a substitute for comparable GAAP measures; should be read in conjunction with our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in the future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Quarterly Report on Form 10-Q have limits in their usefulness to investors and may be calculated differently from, and therefore may not be directly comparable to, similarly titled measures used by other companies.</w:t>
        <w:br/>
        <w:br/>
        <w:t>The following table reconciles our financial measures for net income (loss) and net income (loss) per share ("EPS") for diluted weighted average shares as reported in our condensed consolidated statements of operations to a non-GAAP presentation</w:t>
      </w:r>
      <w:r>
        <w:rPr>
          <w:rFonts w:ascii="Times New Roman" w:hAnsi="Times New Roman"/>
          <w:color w:val="000000"/>
          <w:sz w:val="22"/>
        </w:rPr>
        <w:t>.</w:t>
      </w:r>
    </w:p>
    <w:tbl>
      <w:tblPr>
        <w:tblW w:w="10205" w:type="dxa"/>
        <w:jc w:val="left"/>
        <w:tblInd w:w="0" w:type="dxa"/>
        <w:tblLayout w:type="fixed"/>
        <w:tblCellMar>
          <w:top w:w="28" w:type="dxa"/>
          <w:left w:w="28" w:type="dxa"/>
          <w:bottom w:w="28" w:type="dxa"/>
          <w:right w:w="28" w:type="dxa"/>
        </w:tblCellMar>
      </w:tblPr>
      <w:tblGrid>
        <w:gridCol w:w="1942"/>
        <w:gridCol w:w="191"/>
        <w:gridCol w:w="622"/>
        <w:gridCol w:w="151"/>
        <w:gridCol w:w="146"/>
        <w:gridCol w:w="202"/>
        <w:gridCol w:w="453"/>
        <w:gridCol w:w="151"/>
        <w:gridCol w:w="146"/>
        <w:gridCol w:w="191"/>
        <w:gridCol w:w="622"/>
        <w:gridCol w:w="151"/>
        <w:gridCol w:w="146"/>
        <w:gridCol w:w="202"/>
        <w:gridCol w:w="453"/>
        <w:gridCol w:w="151"/>
        <w:gridCol w:w="146"/>
        <w:gridCol w:w="191"/>
        <w:gridCol w:w="622"/>
        <w:gridCol w:w="151"/>
        <w:gridCol w:w="146"/>
        <w:gridCol w:w="202"/>
        <w:gridCol w:w="453"/>
        <w:gridCol w:w="151"/>
        <w:gridCol w:w="146"/>
        <w:gridCol w:w="181"/>
        <w:gridCol w:w="586"/>
        <w:gridCol w:w="151"/>
        <w:gridCol w:w="146"/>
        <w:gridCol w:w="202"/>
        <w:gridCol w:w="453"/>
        <w:gridCol w:w="358"/>
      </w:tblGrid>
      <w:tr>
        <w:trPr/>
        <w:tc>
          <w:tcPr>
            <w:tcW w:w="1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942" w:type="dxa"/>
            <w:tcBorders/>
            <w:shd w:fill="FFFFFF" w:val="clear"/>
            <w:vAlign w:val="center"/>
          </w:tcPr>
          <w:p>
            <w:pPr>
              <w:pStyle w:val="TableContents"/>
              <w:bidi w:val="0"/>
              <w:spacing w:before="0" w:after="283"/>
              <w:jc w:val="left"/>
              <w:rPr/>
            </w:pPr>
            <w:r>
              <w:rPr/>
              <w:t> </w:t>
            </w:r>
          </w:p>
        </w:tc>
        <w:tc>
          <w:tcPr>
            <w:tcW w:w="3827"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81"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358" w:type="dxa"/>
            <w:tcBorders/>
            <w:shd w:fill="FFFFFF" w:val="clear"/>
            <w:vAlign w:val="center"/>
          </w:tcPr>
          <w:p>
            <w:pPr>
              <w:pStyle w:val="TableContents"/>
              <w:bidi w:val="0"/>
              <w:spacing w:before="0" w:after="283"/>
              <w:jc w:val="center"/>
              <w:rPr/>
            </w:pPr>
            <w:r>
              <w:rPr/>
              <w:t> </w:t>
            </w:r>
          </w:p>
        </w:tc>
      </w:tr>
      <w:tr>
        <w:trPr/>
        <w:tc>
          <w:tcPr>
            <w:tcW w:w="1942" w:type="dxa"/>
            <w:tcBorders/>
            <w:shd w:fill="FFFFFF" w:val="clear"/>
            <w:vAlign w:val="center"/>
          </w:tcPr>
          <w:p>
            <w:pPr>
              <w:pStyle w:val="TableContents"/>
              <w:bidi w:val="0"/>
              <w:spacing w:before="0" w:after="283"/>
              <w:jc w:val="left"/>
              <w:rPr/>
            </w:pPr>
            <w:r>
              <w:rPr/>
              <w:t> </w:t>
            </w:r>
          </w:p>
        </w:tc>
        <w:tc>
          <w:tcPr>
            <w:tcW w:w="38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September 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8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September 30,</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2" w:type="dxa"/>
            <w:tcBorders/>
            <w:shd w:fill="FFFFFF" w:val="cle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2" w:type="dxa"/>
            <w:tcBorders/>
            <w:shd w:fill="FFFFFF" w:val="cle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2" w:type="dxa"/>
            <w:tcBorders/>
            <w:shd w:fill="FFFFFF" w:val="clear"/>
            <w:vAlign w:val="center"/>
          </w:tcPr>
          <w:p>
            <w:pPr>
              <w:pStyle w:val="TableContents"/>
              <w:bidi w:val="0"/>
              <w:spacing w:before="0" w:after="283"/>
              <w:jc w:val="right"/>
              <w:rPr/>
            </w:pPr>
            <w:r>
              <w:rPr/>
              <w:t> </w:t>
            </w:r>
          </w:p>
        </w:tc>
        <w:tc>
          <w:tcPr>
            <w:tcW w:w="7905" w:type="dxa"/>
            <w:gridSpan w:val="3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58" w:type="dxa"/>
            <w:tcBorders/>
            <w:shd w:fill="FFFFFF" w:val="clear"/>
            <w:vAlign w:val="center"/>
          </w:tcPr>
          <w:p>
            <w:pPr>
              <w:pStyle w:val="TableContents"/>
              <w:bidi w:val="0"/>
              <w:spacing w:before="0" w:after="283"/>
              <w:jc w:val="center"/>
              <w:rPr/>
            </w:pPr>
            <w:r>
              <w:rPr/>
              <w:t> </w:t>
            </w:r>
          </w:p>
        </w:tc>
      </w:tr>
      <w:tr>
        <w:trPr/>
        <w:tc>
          <w:tcPr>
            <w:tcW w:w="19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GAAP reported net income (loss)</w:t>
            </w:r>
          </w:p>
        </w:tc>
        <w:tc>
          <w:tcPr>
            <w:tcW w:w="1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35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Non-GAAP adjustments:</w:t>
            </w:r>
          </w:p>
        </w:tc>
        <w:tc>
          <w:tcPr>
            <w:tcW w:w="813"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3"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3"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firstLine="160"/>
              <w:jc w:val="left"/>
              <w:rPr/>
            </w:pPr>
            <w:r>
              <w:rPr/>
              <w:t> </w:t>
            </w:r>
          </w:p>
        </w:tc>
      </w:tr>
      <w:tr>
        <w:trPr/>
        <w:tc>
          <w:tcPr>
            <w:tcW w:w="1942" w:type="dxa"/>
            <w:tcBorders/>
            <w:shd w:fill="CFF0FC" w:val="clear"/>
            <w:vAlign w:val="center"/>
          </w:tcPr>
          <w:p>
            <w:pPr>
              <w:pStyle w:val="TableContents"/>
              <w:bidi w:val="0"/>
              <w:spacing w:before="0" w:after="283"/>
              <w:ind w:left="160" w:right="0" w:firstLine="160"/>
              <w:jc w:val="left"/>
              <w:rPr>
                <w:rFonts w:ascii="Times New Roman" w:hAnsi="Times New Roman"/>
                <w:sz w:val="14"/>
              </w:rPr>
            </w:pPr>
            <w:r>
              <w:rPr>
                <w:rFonts w:ascii="Times New Roman" w:hAnsi="Times New Roman"/>
                <w:color w:val="000000"/>
                <w:sz w:val="14"/>
              </w:rPr>
              <w:t xml:space="preserve">Sold portion of royalty revenue </w:t>
            </w:r>
            <w:r>
              <w:rPr>
                <w:rFonts w:ascii="Times New Roman" w:hAnsi="Times New Roman"/>
                <w:color w:val="000000"/>
                <w:sz w:val="9"/>
              </w:rPr>
              <w:t>(1)</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(7,533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color w:val="000000"/>
              </w:rPr>
            </w:pPr>
            <w:r>
              <w:rPr>
                <w:color w:val="000000"/>
              </w:rPr>
              <w:t>—</w:t>
            </w:r>
          </w:p>
        </w:tc>
        <w:tc>
          <w:tcPr>
            <w:tcW w:w="358" w:type="dxa"/>
            <w:tcBorders/>
            <w:shd w:fill="CFF0FC" w:val="clear"/>
            <w:vAlign w:val="center"/>
          </w:tcPr>
          <w:p>
            <w:pPr>
              <w:pStyle w:val="TableContents"/>
              <w:bidi w:val="0"/>
              <w:spacing w:before="0" w:after="283"/>
              <w:ind w:left="0" w:right="0" w:firstLine="160"/>
              <w:jc w:val="left"/>
              <w:rPr/>
            </w:pPr>
            <w:r>
              <w:rPr/>
              <w:t> </w:t>
            </w:r>
          </w:p>
        </w:tc>
      </w:tr>
      <w:tr>
        <w:trPr/>
        <w:tc>
          <w:tcPr>
            <w:tcW w:w="19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Interest expense on liability for sale of future royalties</w:t>
            </w:r>
          </w:p>
        </w:tc>
        <w:tc>
          <w:tcPr>
            <w:tcW w:w="19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358" w:type="dxa"/>
            <w:tcBorders/>
            <w:shd w:fill="FFFFFF" w:val="clear"/>
            <w:vAlign w:val="center"/>
          </w:tcPr>
          <w:p>
            <w:pPr>
              <w:pStyle w:val="TableContents"/>
              <w:bidi w:val="0"/>
              <w:spacing w:before="0" w:after="283"/>
              <w:ind w:left="0" w:right="0" w:firstLine="160"/>
              <w:jc w:val="left"/>
              <w:rPr/>
            </w:pPr>
            <w:r>
              <w:rPr/>
              <w:t> </w:t>
            </w:r>
          </w:p>
        </w:tc>
      </w:tr>
      <w:tr>
        <w:trPr/>
        <w:tc>
          <w:tcPr>
            <w:tcW w:w="19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Stock compensation</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13,836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358" w:type="dxa"/>
            <w:tcBorders/>
            <w:shd w:fill="CFF0FC" w:val="clear"/>
            <w:vAlign w:val="center"/>
          </w:tcPr>
          <w:p>
            <w:pPr>
              <w:pStyle w:val="TableContents"/>
              <w:bidi w:val="0"/>
              <w:spacing w:before="0" w:after="283"/>
              <w:ind w:left="0" w:right="0" w:firstLine="160"/>
              <w:jc w:val="left"/>
              <w:rPr/>
            </w:pPr>
            <w:r>
              <w:rPr/>
              <w:t> </w:t>
            </w:r>
          </w:p>
        </w:tc>
      </w:tr>
      <w:tr>
        <w:trPr/>
        <w:tc>
          <w:tcPr>
            <w:tcW w:w="19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Loss (gain) on foreign currency transaction</w:t>
            </w:r>
          </w:p>
        </w:tc>
        <w:tc>
          <w:tcPr>
            <w:tcW w:w="19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358" w:type="dxa"/>
            <w:tcBorders/>
            <w:shd w:fill="FFFFFF" w:val="clear"/>
            <w:vAlign w:val="center"/>
          </w:tcPr>
          <w:p>
            <w:pPr>
              <w:pStyle w:val="TableContents"/>
              <w:bidi w:val="0"/>
              <w:spacing w:before="0" w:after="283"/>
              <w:ind w:left="0" w:right="0" w:firstLine="160"/>
              <w:jc w:val="left"/>
              <w:rPr/>
            </w:pPr>
            <w:r>
              <w:rPr/>
              <w:t> </w:t>
            </w:r>
          </w:p>
        </w:tc>
      </w:tr>
      <w:tr>
        <w:trPr/>
        <w:tc>
          <w:tcPr>
            <w:tcW w:w="19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Gain on bargain purchase</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color w:val="000000"/>
              </w:rPr>
            </w:pPr>
            <w:r>
              <w:rPr>
                <w:color w:val="000000"/>
              </w:rPr>
              <w:t>—</w:t>
            </w:r>
          </w:p>
        </w:tc>
        <w:tc>
          <w:tcPr>
            <w:tcW w:w="358" w:type="dxa"/>
            <w:tcBorders/>
            <w:shd w:fill="CFF0FC" w:val="clear"/>
            <w:vAlign w:val="center"/>
          </w:tcPr>
          <w:p>
            <w:pPr>
              <w:pStyle w:val="TableContents"/>
              <w:bidi w:val="0"/>
              <w:spacing w:before="0" w:after="283"/>
              <w:ind w:left="0" w:right="0" w:firstLine="160"/>
              <w:jc w:val="left"/>
              <w:rPr/>
            </w:pPr>
            <w:r>
              <w:rPr/>
              <w:t> </w:t>
            </w:r>
          </w:p>
        </w:tc>
      </w:tr>
      <w:tr>
        <w:trPr/>
        <w:tc>
          <w:tcPr>
            <w:tcW w:w="19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Loss on extinguishment of debt</w:t>
            </w:r>
          </w:p>
        </w:tc>
        <w:tc>
          <w:tcPr>
            <w:tcW w:w="19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358" w:type="dxa"/>
            <w:tcBorders/>
            <w:shd w:fill="FFFFFF" w:val="clear"/>
            <w:vAlign w:val="center"/>
          </w:tcPr>
          <w:p>
            <w:pPr>
              <w:pStyle w:val="TableContents"/>
              <w:bidi w:val="0"/>
              <w:spacing w:before="0" w:after="283"/>
              <w:ind w:left="0" w:right="0" w:firstLine="160"/>
              <w:jc w:val="left"/>
              <w:rPr/>
            </w:pPr>
            <w:r>
              <w:rPr/>
              <w:t> </w:t>
            </w:r>
          </w:p>
        </w:tc>
      </w:tr>
      <w:tr>
        <w:trPr/>
        <w:tc>
          <w:tcPr>
            <w:tcW w:w="194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Loss (gain) on available-for-sale securities</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94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Non-GAAP adjusted net income (loss)</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Weighted average shares used to compute net income (loss) </w:t>
              <w:br/>
              <w:t>    per share – basic</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274,998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5"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268,732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5"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272,811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5"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266,126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5" w:type="dxa"/>
            <w:gridSpan w:val="2"/>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Represents the non-cash portion of the 1% royalty on net sales of Tyvaso DPI earned during the three and nine months ended September 30, 2024 which is remitted to the royalty purchaser by UT and recognized as royalties – collaboration in our condensed consolidated statements of operations. Our royalties – collaboration during the three and nine months ended September 30, 2024 totaled $27.1 million and $75.3 million, respectively, of which $2.7 million and $7.5 million, respectively, was non-cash revenue attributed to the royalty purchaser.</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our cash, cash equivalents, and investments. Our primary uses of cash include the development of our product pipeline, the manufacturing and marketing of Afrezza and V-Go, manufacturing Tyvaso DPI, the funding of general and administrative expenses, and principal and interest payments on our financing liability and debt.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we have funded our operations primarily through the sale of equity and convertible debt securities, from the receipt of upfront and milestone payments from collaborations, from borrowings, from proceeds from the sale of certain assets and the sale of a portion of our future royalties that we receive from UT. More recently, sales of Afrezza and V-Go, and royalties and manufacturing revenue from UT, have become a more significant source of funding for our operations, In combination with our cash, cash equivalents and investments on hand, we believe that these sources of revenue, as well as the potential financing sources currently available to us, will allow us to meet our liquidity needs over the next twelve months and in the longer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we had $62.6 million in insulin purchase commitments and $230.0 million principal amount of outstanding Senior convertible notes bearing interest at 2.50% and maturing on March 1, 2026, unless earlier converted, redeemed or repurchased by us. The Senior convertible notes are convertible at an initial conversion price of approximately $5.21 per share of common stock. The conversion rate is subject to adjustment under certain circumstances in accordance with the terms of the Indenture. With the repayment of the MidCap credit facility and the Mann Group convertible note in April 2024, our Senior convertible notes are our only remaining notes outstanding.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$50.0 million of which remain payable as of September 30, 2024. See Note 15 – </w:t>
      </w:r>
      <w:r>
        <w:rPr>
          <w:rFonts w:ascii="Times New Roman" w:hAnsi="Times New Roman"/>
          <w:i/>
          <w:color w:val="000000"/>
          <w:sz w:val="20"/>
        </w:rPr>
        <w:t>Commitments and Contingencies</w:t>
      </w:r>
      <w:r>
        <w:rPr>
          <w:rFonts w:ascii="Times New Roman" w:hAnsi="Times New Roman"/>
          <w:color w:val="000000"/>
          <w:sz w:val="20"/>
        </w:rPr>
        <w:t xml:space="preserve"> for further information related to the Milestone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we generated $19.9 million of cash from our operating activities, which consisted primarily of $189.3 million in cash receipts from customers (net primarily of $11.5 million of non-cash revenue that was previously deferred and $7.5 million of non-cash revenue for the 1% sold portion of our royalties), partially offset by $59.8 million of cost of goods sold, $35.5 million of selling expenses, $34.3 million of costs for research and development, $29.4 million of general and administrative expenses, and $9.0 million of net cash paid for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2023, we generated $12.4 million of cash from our operating activities, which consisted primarily of $167.3 million of revenue, partially offset by $60.4 million of cost of goods sold, $35.7 million of selling expenses, $25.4 million of general and administrative expenses, $20.8 million of R&amp;D costs and $13.0 million of cash paid for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investing activities of $144.9 million for the nine months ended September 30, 2024 was primarily due to the purchase of $273.8 million of debt securities and $6.8 million of property and equipment, partially offset by the maturity of $135.3 million of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of $5.9 million for the nine months ended September 30, 2023 was primarily due to $92.6 million of proceeds received from the sales of debt securities, partially offset by the purchase of debt securities of $50.5 million and by $36.6 million for the purchase of property and equipment which was substantially paid for by UT as part of our facility expansion project to increase manufacturing capacity.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of $50.4 million for the nine months ended September 30, 2024 was primarily due to principal and early extinguishment payments on the MidCap credit facility of $36.6 million and Mann Group convertible note of $8.9 million, and $6.2 million of payments to taxing authorities from equity withheld upon vesting of RSUs and stock options, partially offset by $2.3 million in proceeds from the MPSPP and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of $5.1 million for the nine months ended September 30, 2023 was primarily due to $10.2 million of payments to taxing authorities from equity withheld upon vesting of RSUs and stock options, and payments of $1.7 million on MidCap credit facility, partially offset by $6.9 million in proceeds from at-the-market offerings and $1.1 million in proceeds from market price and ESPP.</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Future Liquidity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have not generated net income or cash flows from operating activities on a consistent basis, we believe we will be able to meet our near-term liquidity needs based on our cash, cash equivalents and investments on hand, sales of Afrezza and V-Go, and royalties and manufacturing revenue from the production and sale of Tyvaso DPI as well as through debt or equity financing, if necessary, for our long-term liquidity needs. We expect to continue to incur expenditures for the foreseeable future in support of our manufacturing operations, sales and marketing costs for our products and development costs for other product candidates in our pipeline. As of September 30, 2024, we had capital resources comprised of cash, cash equivalents, short-term investments and long-term investments totaling $268.4 million, and total principal amount of outstanding borrowings of $230.0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resources will be sufficient to fund our operations for the next twelve months from the date of issuance of our condensed consolidated financial statements included in Part I – Financial Statements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9 – </w:t>
      </w:r>
      <w:r>
        <w:rPr>
          <w:rFonts w:ascii="Times New Roman" w:hAnsi="Times New Roman"/>
          <w:i/>
          <w:color w:val="000000"/>
          <w:sz w:val="20"/>
        </w:rPr>
        <w:t xml:space="preserve">Borrowings </w:t>
      </w:r>
      <w:r>
        <w:rPr>
          <w:rFonts w:ascii="Times New Roman" w:hAnsi="Times New Roman"/>
          <w:color w:val="000000"/>
          <w:sz w:val="20"/>
        </w:rPr>
        <w:t xml:space="preserve">and Note 15 – </w:t>
      </w:r>
      <w:r>
        <w:rPr>
          <w:rFonts w:ascii="Times New Roman" w:hAnsi="Times New Roman"/>
          <w:i/>
          <w:color w:val="000000"/>
          <w:sz w:val="20"/>
        </w:rPr>
        <w:t>Commitments and Contingencies</w:t>
      </w:r>
      <w:r>
        <w:rPr>
          <w:rFonts w:ascii="Times New Roman" w:hAnsi="Times New Roman"/>
          <w:color w:val="000000"/>
          <w:sz w:val="20"/>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Senior convertible notes have a fixed interest rate of 2.50%, and therefore the interest expense associated with such debt is not exposed to changes in market interest rates. See Note 9 – </w:t>
      </w:r>
      <w:r>
        <w:rPr>
          <w:rFonts w:ascii="Times New Roman" w:hAnsi="Times New Roman"/>
          <w:i/>
          <w:color w:val="000000"/>
          <w:sz w:val="20"/>
        </w:rPr>
        <w:t>Borrowings</w:t>
      </w:r>
      <w:r>
        <w:rPr>
          <w:rFonts w:ascii="Times New Roman" w:hAnsi="Times New Roman"/>
          <w:color w:val="000000"/>
          <w:sz w:val="20"/>
        </w:rPr>
        <w:t xml:space="preserve"> for information about the principal amount of outstanding debt.</w:t>
      </w:r>
    </w:p>
    <w:p>
      <w:pPr>
        <w:pStyle w:val="TextBody"/>
        <w:bidi w:val="0"/>
        <w:spacing w:before="24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and will continue to incur significant expenditures for insulin supply obligations under our Insulin Supply Agreement.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nine months ended September 30, 2024, we realized a $0.5 million currency loss, which was reflected as loss on foreign currency transaction in the accompanying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 rate fluctuations may adversely affect our expenses, results of operations, financial position and cash flows. If a change in the U.S. dollar to Euro exchange rate equal to 10% of the U.S. dollar to Euro exchange rate on September 30, 2024 were to have occurred, this change would have resulted in a foreign currency impact to our pre-tax income of approximately $6.3 million.</w:t>
      </w:r>
    </w:p>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September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 evaluation of our disclosure controls and procedures as of September 30, 2024, our Chief Executive Officer and our Chief Financial Officer have concluded, as of such date, that our disclosure controls and procedures were effective.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_or_information"/>
      <w:bookmarkEnd w:id="13"/>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 See Note 15 – </w:t>
      </w:r>
      <w:r>
        <w:rPr>
          <w:rFonts w:ascii="Times New Roman" w:hAnsi="Times New Roman"/>
          <w:i/>
          <w:color w:val="000000"/>
          <w:sz w:val="20"/>
        </w:rPr>
        <w:t>Commitments and Contingencies</w:t>
      </w:r>
      <w:r>
        <w:rPr>
          <w:rFonts w:ascii="Times New Roman" w:hAnsi="Times New Roman"/>
          <w:color w:val="000000"/>
          <w:sz w:val="20"/>
        </w:rPr>
        <w:t xml:space="preserve"> in the condensed consolidated financial statements.</w:t>
      </w:r>
    </w:p>
    <w:p>
      <w:pPr>
        <w:pStyle w:val="TextBody"/>
        <w:bidi w:val="0"/>
        <w:spacing w:before="240" w:after="283"/>
        <w:jc w:val="left"/>
        <w:rPr>
          <w:rFonts w:ascii="Times New Roman" w:hAnsi="Times New Roman"/>
          <w:sz w:val="20"/>
        </w:rPr>
      </w:pPr>
      <w:bookmarkStart w:id="15" w:name="item_1a_risk_factors"/>
      <w:bookmarkEnd w:id="15"/>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and should be carefully considered, together with other information in this Quarterly Report on Form 10-Q and our other filings with the SEC before making investment decisions regarding our common stock.</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We face risks and uncertainties related to our business, many of which are beyond our control. In particular, risks associated with our business include: </w:t>
      </w:r>
    </w:p>
    <w:p>
      <w:pPr>
        <w:pStyle w:val="TextBody"/>
        <w:bidi w:val="0"/>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products that we or our collaboration partner are commercializing may only achieve a limited degree of commercial success.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risks may adversely affect our ability to manufacture our products and Tyvaso DPI, which could reduce our gross margin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to fund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results of operations will fluctuate for the foreseeable future, which may make it difficult to predict our future performance from period to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losses and may not generate positive cash flow from operations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generate sufficient cash to service all of our indebtedness and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product candidates may be rendered obsolete by rapid technological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ongoing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are subject to stringent and changing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is volatile.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shares of our common stock in the public market, or the perception that such sales may occur, may depress our stock price and adversely impact the market price of our common stock and other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Unstable market, economic and geopolitical conditions may have serious adverse consequences on our business, financial condition and stock price.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120"/>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products that we or our collaboration partner are commercializing may only achieve a limited degree of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any products that we may develop or acquire in the future) and the product that is commercialized by our current collaboration partner (including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approved labeling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willingness of the healthcare community and patients to adopt new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manufacture the product in sufficient quantities with acceptable quality and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perception of patients and the healthcare community, including third-party payers, regarding the safety, efficacy and benefits compared to competing products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relative to existing treatment methods;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as well as pricing relative to other treatment therapeutics and methods;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distribution support.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In order to increase adoption and sales of our products, we need to continue to develop our commercial organization, including maintaining and growing a highly experienced and skilled workforce with qualified sales representatives.*</w:t>
      </w:r>
    </w:p>
    <w:p>
      <w:pPr>
        <w:pStyle w:val="TextBody"/>
        <w:bidi w:val="0"/>
        <w:jc w:val="left"/>
        <w:rPr>
          <w:rFonts w:ascii="Times New Roman" w:hAnsi="Times New Roman"/>
          <w:color w:val="000000"/>
          <w:sz w:val="20"/>
        </w:rPr>
      </w:pPr>
      <w:r>
        <w:rPr>
          <w:rFonts w:ascii="Times New Roman" w:hAnsi="Times New Roman"/>
          <w:color w:val="000000"/>
          <w:sz w:val="20"/>
        </w:rPr>
        <w:t>We have built a sales force that promotes Afrezza and V-Go to endocrinologists and selected primary care physicians. In order to successfully commercialize any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recruit, retain and effectively manage adequate numbers of effective sales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complementary products to be offered by sales personnel, which may put us at a competitive disadvantage relative to companies that have more extensive product lines;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unforeseen delays, costs and expenses associated with maintaining our sales organization.</w:t>
      </w:r>
    </w:p>
    <w:p>
      <w:pPr>
        <w:pStyle w:val="TextBody"/>
        <w:bidi w:val="0"/>
        <w:jc w:val="left"/>
        <w:rPr>
          <w:rFonts w:ascii="Times New Roman" w:hAnsi="Times New Roman"/>
          <w:color w:val="000000"/>
          <w:sz w:val="20"/>
        </w:rPr>
      </w:pPr>
      <w:r>
        <w:rPr>
          <w:rFonts w:ascii="Times New Roman" w:hAnsi="Times New Roman"/>
          <w:color w:val="000000"/>
          <w:sz w:val="20"/>
        </w:rPr>
        <w:t>If we are unable to maintain an effective sales force for our products, including potential future products, we may not be able to generate sufficient product revenue in the United States. We are required to expend significant time and resources to train our sales force to educate physicians about our products. In addition, we must continually train our sales force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Similarly, if UT does not effectively engage or maintain its sales force for Tyvaso DPI, our ability to recognize royalties and manufacturing revenue from this collaboration will be adversely affected.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Manufacturing risks may adversely affect our ability to manufacture our products and Tyvaso DPI, which could reduce our gross margin and profitability.*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use our Danbury, Connecticut facility to assemble the inhalers from their individual molded parts, formulate both the Afrezza and Tyvaso DPI inhalation powders, fill plastic cartridges with the powders, package the cartridges into secondary packaging and assemble final kits for certain stock-keeping units. Other semi-finished goods are assembled into the final kits for commercial sale by a contract packager.</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demand for our products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pStyle w:val="TextBody"/>
        <w:bidi w:val="0"/>
        <w:jc w:val="left"/>
        <w:rPr>
          <w:rFonts w:ascii="Times New Roman" w:hAnsi="Times New Roman"/>
          <w:color w:val="000000"/>
          <w:sz w:val="20"/>
        </w:rPr>
      </w:pPr>
      <w:r>
        <w:rPr>
          <w:rFonts w:ascii="Times New Roman" w:hAnsi="Times New Roman"/>
          <w:color w:val="000000"/>
          <w:sz w:val="20"/>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business is subject to risks associated with doing business in China,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political and economic conditions, particularly those potentially negatively affecting the trade relationship between the United States and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protection measures, such as tariff increases, and import and export licensing and control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negative consequences from changes in tax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associated with the Chinese legal system, including increased costs and uncertainties associated with enforcing contractual obligations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lower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or unfavorable changes in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and volatility in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patient or physician preferences for more established pharmaceutical products and medical devices manufactured in the United States;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difficulties in managing foreign relationships and operations generally.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These risks are likely to be exacerbated by our limited experience with V-Go and its manufacturing processes. </w:t>
      </w:r>
    </w:p>
    <w:p>
      <w:pPr>
        <w:pStyle w:val="TextBody"/>
        <w:bidi w:val="0"/>
        <w:jc w:val="left"/>
        <w:rPr>
          <w:rFonts w:ascii="Times New Roman" w:hAnsi="Times New Roman"/>
          <w:b/>
          <w:i/>
          <w:color w:val="000000"/>
          <w:sz w:val="20"/>
        </w:rPr>
      </w:pPr>
      <w:r>
        <w:rPr>
          <w:rFonts w:ascii="Times New Roman" w:hAnsi="Times New Roman"/>
          <w:b/>
          <w:i/>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 (“cGMP”) for drug products, and the molding of the inhaler and cartridges components in accordance with quality system regulations for medical devices (“QSRs”).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we do not have long-standing relationships with all of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also have difficulty obtaining similar components from other suppliers that meet the requirements of the FDA or other regulatory agencies. Although we conduct our own inspections and review and/or approve investigations of each supplier, there can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third-party payers do not cover our approved products, such products might not be prescribed, used or purchased, which would adversely affect our revenues.</w:t>
      </w:r>
    </w:p>
    <w:p>
      <w:pPr>
        <w:pStyle w:val="TextBody"/>
        <w:bidi w:val="0"/>
        <w:jc w:val="left"/>
        <w:rPr>
          <w:rFonts w:ascii="Times New Roman" w:hAnsi="Times New Roman"/>
          <w:color w:val="000000"/>
          <w:sz w:val="20"/>
        </w:rPr>
      </w:pPr>
      <w:r>
        <w:rPr>
          <w:rFonts w:ascii="Times New Roman" w:hAnsi="Times New Roman"/>
          <w:color w:val="000000"/>
          <w:sz w:val="20"/>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(the “IRA”) limited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or any collaboration or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or marketing partner’s ability to successfully commercialize such products and would impact our profitability, results of operations, financial condition,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need to raise additional capital to fund our operations.*</w:t>
      </w:r>
    </w:p>
    <w:p>
      <w:pPr>
        <w:pStyle w:val="TextBody"/>
        <w:bidi w:val="0"/>
        <w:jc w:val="left"/>
        <w:rPr>
          <w:rFonts w:ascii="Times New Roman" w:hAnsi="Times New Roman"/>
          <w:color w:val="000000"/>
          <w:sz w:val="20"/>
        </w:rPr>
      </w:pPr>
      <w:r>
        <w:rPr>
          <w:rFonts w:ascii="Times New Roman" w:hAnsi="Times New Roman"/>
          <w:color w:val="000000"/>
          <w:sz w:val="20"/>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we are able to generate revenue from products that we or a collaboration partner commercialize;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developing Afrezza and of commercializing Afrezza and V-Go on our own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by any or all of the holders of our Senior convertible notes to require us to repay or repurchase such debt securities if and when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repay or refinance existing indebtedness, and the extent to which our Senior convertible notes or any other convertible debt securities we may issue are converted into or exchanged for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and costs of our clinical studies and R&amp;D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procuring raw materials and operating our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establishing additional strategic business collaborations or other sales or licensing of assets, and the timing and amount of any payments we might receive from any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the FDA and other regulatory authorities affecting Afrezza, V-Go, Tyvaso DPI, our product candidates or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technologies and products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prosecuting, maintaining and enforcing patent claims and other intellectual property rights or defending against claims of infringement by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our legal and litigation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discontinuing projects and technologies, and/or decommissioning existing facilities, if we undertake any such activities.</w:t>
      </w:r>
    </w:p>
    <w:p>
      <w:pPr>
        <w:pStyle w:val="TextBody"/>
        <w:bidi w:val="0"/>
        <w:jc w:val="left"/>
        <w:rPr>
          <w:rFonts w:ascii="Times New Roman" w:hAnsi="Times New Roman"/>
          <w:color w:val="000000"/>
          <w:sz w:val="20"/>
        </w:rPr>
      </w:pPr>
      <w:r>
        <w:rPr>
          <w:rFonts w:ascii="Times New Roman" w:hAnsi="Times New Roman"/>
          <w:color w:val="000000"/>
          <w:sz w:val="20"/>
        </w:rPr>
        <w:t>We have raised capital in the past through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jc w:val="left"/>
        <w:rPr>
          <w:rFonts w:ascii="Times New Roman" w:hAnsi="Times New Roman"/>
          <w:color w:val="000000"/>
          <w:sz w:val="20"/>
        </w:rPr>
      </w:pPr>
      <w:r>
        <w:rPr>
          <w:rFonts w:ascii="Times New Roman" w:hAnsi="Times New Roman"/>
          <w:color w:val="000000"/>
          <w:sz w:val="20"/>
        </w:rPr>
        <w:t xml:space="preserve">We, and third parties with whom we work, employ and are increasingly dependent upon information technology systems, infrastructure, applications, websites and other resources. Our business requires collecting, receiving, manipulating, analyzing, storing, processing, generating, using, disclosing, protecting, securing, transmitting, sharing, disposing of, and making accessible (collectively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process”)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pStyle w:val="TextBody"/>
        <w:bidi w:val="0"/>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attached enhanced or facilitated by AI, telecommunications failures, earthquakes, fires, floods, attacks enhanced or facilitated by artificial intelligence,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We also rely on third-party service providers to provide other products or services, or otherwise to operate our business. For example,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including on a timely basis. It may also be difficult and/or costly to detect, investigate, mitigate, contain, and remediate a security incident. Further, we may experience delays in developing and deploying remedial measures and patches designed to address identified vulnerabilities, which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We have in the past experienced security incidents.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At the time, we used UKG Pro, a product offered through UKG that is not in the Kronos Private Cloud, for human capital management. UKG is not aware of an impact on UKG Pro and the incident did not appear to have any negative impact 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operations or the sensitive information we may process. These incidents illustrate that despite our efforts to identify and remediate vulnerabilities, if any, in our information technology systems, our efforts may not be successful.</w:t>
      </w:r>
    </w:p>
    <w:p>
      <w:pPr>
        <w:pStyle w:val="TextBody"/>
        <w:bidi w:val="0"/>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t>
      </w:r>
    </w:p>
    <w:p>
      <w:pPr>
        <w:pStyle w:val="TextBody"/>
        <w:bidi w:val="0"/>
        <w:jc w:val="left"/>
        <w:rPr>
          <w:rFonts w:ascii="Times New Roman" w:hAnsi="Times New Roman"/>
          <w:color w:val="000000"/>
          <w:sz w:val="20"/>
        </w:rPr>
      </w:pPr>
      <w:r>
        <w:rPr>
          <w:rFonts w:ascii="Times New Roman" w:hAnsi="Times New Roman"/>
          <w:color w:val="000000"/>
          <w:sz w:val="20"/>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disclosures or the failure to comply with such applicable requirements could lead to adverse consequences. If we (or a third party with whom we work)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our employees’, personnel’s, or vendors’ use of generative artificial intelligence (“AI”) technologies.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expect that our results of operations will fluctuate for the foreseeable future, which may make it difficult to predict our future performance from period to period.</w:t>
      </w:r>
    </w:p>
    <w:p>
      <w:pPr>
        <w:pStyle w:val="TextBody"/>
        <w:bidi w:val="0"/>
        <w:jc w:val="left"/>
        <w:rPr>
          <w:rFonts w:ascii="Times New Roman" w:hAnsi="Times New Roman"/>
          <w:color w:val="000000"/>
          <w:sz w:val="20"/>
        </w:rPr>
      </w:pPr>
      <w:r>
        <w:rPr>
          <w:rFonts w:ascii="Times New Roman" w:hAnsi="Times New Roman"/>
          <w:color w:val="000000"/>
          <w:sz w:val="20"/>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believe that comparisons from period to period of our financial results are not necessarily meaningful and should not be relied upon as indications of our future performance.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incur losses and may not generate positive cash flow from operations in the future.*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achieve and sustain positive cash flow from operations and profitability depends heavily upon successfully commercializing our products, and although we had positive cash flows from operations during the nine months ended September 30, 2024 and the year ended December 31, 2023, we may not generate positive cash flow from operations or be profitable in the future. Our losses have had, and may in the future have, an adverse impact on our working capital, total assets and stockholders’ equity.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September 30, 2024,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generate sufficient cash to service all of our indebtedness and commitments.*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ability to make scheduled payments on our insulin purchase commitments and debt obligations will depend on our financial and operating performance, which is subject to the commercial success of our products and the commercial success of the product(s) of our collaboration partners, the extent to which we are able to successfully develop and commercialize additional products, the extent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 which we enter into additional collaboration or licensing arrangements, prevailing economic and competitive conditions, and certain financial, business and other factors beyond our control. We cannot assure you that we will maintain a level of cash flows from operating activities sufficient to permit us to pay the principal, premium, if any, and interest on our indebtedness. If we fail to pay interest on, or repay, our borrowings under the Senior convertible notes when required, we will be in default under the instrument for such debt securities, and may also suffer an event of default under the terms of other borrowing arrangements that we may enter into from time to time. If our cash flows and capital resources are insufficient to fund our obligations, we may be forced to reduce or delay capital expenditures, sell assets or operations, seek additional capital or restructure or refinance our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 Any of these events could have a material adverse effect on our business, results of operations and financial condition, up to and including the noteholders initiating bankruptcy proceedings or causing us to cease operations altogether.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we may from time to time seek to retire or purchase our outstanding debt, including the Senior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jc w:val="left"/>
        <w:rPr>
          <w:rFonts w:ascii="Times New Roman" w:hAnsi="Times New Roman"/>
          <w:color w:val="000000"/>
          <w:sz w:val="20"/>
        </w:rPr>
      </w:pPr>
      <w:r>
        <w:rPr>
          <w:rFonts w:ascii="Times New Roman" w:hAnsi="Times New Roman"/>
          <w:color w:val="000000"/>
          <w:sz w:val="20"/>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recent policy of strict lockdowns in order to reduce the spread of disease. Disruptions in sales and demand for our products would be expected to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are physically quarantined or are unable or unwilling to visit healthcare providers,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physicians restrict access to their facilities for a material period of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healthcare providers prioritize treatment of acute or communicable illnesses over chronic disease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pharmacies are closed or suffering supply chain disruptions,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lose access to employer-sponsored health insurance due to periods of high unemployment, or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result of general disruptions in the operations of payers, distributors, logistics providers and other third parties that are necessary for our products to be prescribed and reimbursed.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Afrezza has been approved in the United States by the FDA and in Brazil by ANVISA,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generally sought to develop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analysis of data collected from clinical studies of our product candidates may not reach the statistical significance necessary, or otherwise be sufficient to support FDA or other regulatory approval for the claimed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reviewing clinical data, we or any collaborators may abandon projects that we previously believed were promising;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produce the desired effects or may result in adverse health effects or other characteristics that preclude regulatory approval or limit their commercial use once approved;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jc w:val="left"/>
        <w:rPr>
          <w:rFonts w:ascii="Times New Roman" w:hAnsi="Times New Roman"/>
          <w:color w:val="000000"/>
          <w:sz w:val="20"/>
        </w:rPr>
      </w:pPr>
      <w:r>
        <w:rPr>
          <w:rFonts w:ascii="Times New Roman" w:hAnsi="Times New Roman"/>
          <w:color w:val="000000"/>
          <w:sz w:val="20"/>
        </w:rPr>
        <w:t xml:space="preserve">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achievement of these milestones can vary dramatically from our estimates, in many cases for reasons beyond our control, depending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studies and preclinical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study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components used in the manufacture of our product candidates or to source clinical supplies from contract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expanding and maintaining manufacturing operations, as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clinical studies compete for clinical sites and eligible subjects with clinical studies sponsored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by regulators;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disruptions caused by geopolitical conflicts, man-made or natural disasters or public health pandemics or epidemics or other business interruptions.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long-term safety and efficacy of approved products may differ from clinical studies, which could negatively impact sales and could lead to reputational harm or other negative effects.</w:t>
      </w:r>
    </w:p>
    <w:p>
      <w:pPr>
        <w:pStyle w:val="TextBody"/>
        <w:bidi w:val="0"/>
        <w:jc w:val="left"/>
        <w:rPr>
          <w:rFonts w:ascii="Times New Roman" w:hAnsi="Times New Roman"/>
          <w:color w:val="000000"/>
          <w:sz w:val="20"/>
        </w:rPr>
      </w:pPr>
      <w:r>
        <w:rPr>
          <w:rFonts w:ascii="Times New Roman" w:hAnsi="Times New Roman"/>
          <w:color w:val="000000"/>
          <w:sz w:val="20"/>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marketing or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V-Go received pre-market clearance in 2010 under Section 510(k) of the U.S. Federal Food, Drug, and Cosmetic Act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realize the anticipated benefits of any future acquisition or strategic transaction; we may be unable to successfully integrate new products or businesses we may acquire.</w:t>
      </w:r>
    </w:p>
    <w:p>
      <w:pPr>
        <w:pStyle w:val="TextBody"/>
        <w:bidi w:val="0"/>
        <w:jc w:val="left"/>
        <w:rPr>
          <w:rFonts w:ascii="Times New Roman" w:hAnsi="Times New Roman"/>
          <w:color w:val="000000"/>
          <w:sz w:val="20"/>
        </w:rPr>
      </w:pPr>
      <w:r>
        <w:rPr>
          <w:rFonts w:ascii="Times New Roman" w:hAnsi="Times New Roman"/>
          <w:color w:val="000000"/>
          <w:sz w:val="20"/>
        </w:rPr>
        <w:t>We periodically evaluate and pursue acquisition of therapeutic products. The integration of any acquired business, product or other assets into our company may be complex and time-consuming and, if such businesses, products or assets are not successfully integrated, we may not achieve the anticipated benefits, cost-savings or growth opportunities. Potential difficulties that may be encountered in the integration process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liabilities related to acquired assets, companies or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integrating personnel, operations and systems, while maintaining focus on producing and delivering consistent, high quality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coordinating geographically dispersed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time and focus from operating our business to management of strategic alliances or joint ventures or acquisition integration challenges;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our expenses and reductions in our cash available for operations and other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retaining existing customers and attracting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inefficiencies associated with integrating the operations of our company;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possible write-offs or impairment charges relating to acquired assets, businesses or joint ventures.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pStyle w:val="TextBody"/>
        <w:bidi w:val="0"/>
        <w:jc w:val="left"/>
        <w:rPr>
          <w:rFonts w:ascii="Times New Roman" w:hAnsi="Times New Roman"/>
          <w:color w:val="000000"/>
          <w:sz w:val="20"/>
        </w:rPr>
      </w:pPr>
      <w:r>
        <w:rPr>
          <w:rFonts w:ascii="Times New Roman" w:hAnsi="Times New Roman"/>
          <w:color w:val="000000"/>
          <w:sz w:val="20"/>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products and product candidates may be rendered obsolete by rapid technological change.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product liability claims are brought against us, we may incur significant liabilities and suffer damage to our reputation.</w:t>
      </w:r>
    </w:p>
    <w:p>
      <w:pPr>
        <w:pStyle w:val="TextBody"/>
        <w:bidi w:val="0"/>
        <w:jc w:val="left"/>
        <w:rPr>
          <w:rFonts w:ascii="Times New Roman" w:hAnsi="Times New Roman"/>
          <w:color w:val="000000"/>
          <w:sz w:val="20"/>
        </w:rPr>
      </w:pPr>
      <w:r>
        <w:rPr>
          <w:rFonts w:ascii="Times New Roman" w:hAnsi="Times New Roman"/>
          <w:color w:val="000000"/>
          <w:sz w:val="20"/>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we lose any key employees or scientific advisors, our operations and our ability to execute our business strategy could be materially harmed.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If our internal controls over financial reporting are not considered effective, our business, financial condition and market price of our common stock and other securities could be adversely affected.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or modifications in financial accounting standards may harm our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Effective January 1, 2022, the Tax Act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ability to use net operating loss carryforwards to offset future taxable income may be subject to limitations.*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December 31, 2023, the Company had federal and state net operating loss carryforwards of approximately $2.0 billion and $1.3 billion available, respectively, to reduce future taxable income. $494.0 million of the federal net operating loss carryforwards do not expire and the remaining federal net operating loss carryforwards have started expiring, beginning in the current year through various future dates.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2023, to determine whether additional limitations apply to the net operating loss carryforwards and other tax attributes, and no additional changes in ownership that met Section 382 study ownership change threshold have been identified through December 31, 2023. There is a risk that changes in ownership may occur in tax years after December 31, 2023.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2024 through 2026. As a result, if we earn net taxable income, we may be unable to use all or a material portion of our net operating loss carryforwards and other tax attributes, which could potentially result in increased future tax liability to us and adversely affect our future cash flows. </w:t>
      </w:r>
    </w:p>
    <w:p>
      <w:pPr>
        <w:pStyle w:val="TextBody"/>
        <w:bidi w:val="0"/>
        <w:spacing w:before="0" w:after="120"/>
        <w:jc w:val="left"/>
        <w:rPr>
          <w:rFonts w:ascii="Times New Roman" w:hAnsi="Times New Roman"/>
          <w:sz w:val="20"/>
        </w:rPr>
      </w:pPr>
      <w:r>
        <w:rPr>
          <w:rFonts w:ascii="Times New Roman" w:hAnsi="Times New Roman"/>
          <w:b/>
          <w:i/>
          <w:color w:val="000000"/>
          <w:sz w:val="20"/>
        </w:rPr>
        <w:t>Tax authorities may disagree with our positions and conclusions regarding certain tax positions, resulting in unanticipated costs, taxes or non-realization of expected benefits.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We may undertake internal restructuring activities in the future that could result in disruptions to our business or otherwise materially harm our results of operations or financial condition.</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Our operations might be interrupted by the occurrence of a natural disaster or other catastrophic event.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least for the foreseeable future, we expect that our manufacturing facility in Connecticut will be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(including the current Russia-Ukraine war, the state of war between Israel and Hamas and attacks on commercial marine vessels in the Red Sea by Houthi rebels),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deal with hazardous materials and must comply with environmental laws and regulations, which can be expensive and restrict how we do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drugs to be reviewed and/or approved by necessary government agencies, which would adversely affect our business. For example, over the last decade,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government shutdowns could impact our ability to access the public markets and obtain necessary capital in order to properly capitalize and continue our operations.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Adverse developments that affect financial institutions, such as events involving liquidity that are rumored or actual, have in the past and may in the future lead to bank failures and market-wide liquidity problems. For example, in March 2023, Silicon Valley Bank (“SVB”) was closed by the California Department of Financial Protection and Innovation, which appointed the Federal Deposit Insurance Corporation (“FDIC”) as receiver. Similarly, days later, Signature Bank and Silvergate Capital Corp. were each swept into receivership. In addition, in May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jc w:val="left"/>
        <w:rPr>
          <w:rFonts w:ascii="Times New Roman" w:hAnsi="Times New Roman"/>
          <w:color w:val="000000"/>
          <w:sz w:val="20"/>
        </w:rPr>
      </w:pPr>
      <w:r>
        <w:rPr>
          <w:rFonts w:ascii="Times New Roman" w:hAnsi="Times New Roman"/>
          <w:color w:val="000000"/>
          <w:sz w:val="20"/>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design, development, manufacture and testing;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storage and shipping;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product sales and distribution.</w:t>
      </w:r>
    </w:p>
    <w:p>
      <w:pPr>
        <w:pStyle w:val="TextBody"/>
        <w:bidi w:val="0"/>
        <w:jc w:val="left"/>
        <w:rPr>
          <w:rFonts w:ascii="Times New Roman" w:hAnsi="Times New Roman"/>
          <w:color w:val="000000"/>
          <w:sz w:val="20"/>
        </w:rPr>
      </w:pPr>
      <w:r>
        <w:rPr>
          <w:rFonts w:ascii="Times New Roman" w:hAnsi="Times New Roman"/>
          <w:color w:val="000000"/>
          <w:sz w:val="20"/>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Even if we comply with regulatory requirements, we may not be able to obtain the labeling claims necessary or desirable for product promotion. We may also be required to undertake post-marketing studies. </w:t>
      </w:r>
    </w:p>
    <w:p>
      <w:pPr>
        <w:pStyle w:val="TextBody"/>
        <w:bidi w:val="0"/>
        <w:jc w:val="left"/>
        <w:rPr>
          <w:rFonts w:ascii="Times New Roman" w:hAnsi="Times New Roman"/>
          <w:color w:val="000000"/>
          <w:sz w:val="20"/>
        </w:rPr>
      </w:pPr>
      <w:r>
        <w:rPr>
          <w:rFonts w:ascii="Times New Roman" w:hAnsi="Times New Roman"/>
          <w:color w:val="000000"/>
          <w:sz w:val="20"/>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We are subject to stringent, ongoing government regulation.*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our product candidates,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revisions to the approved labeling to add new safety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part of the approval of Afrezza, the FDA required us to conduct certain additional clinical studies of Afrezza. One of these studies, a Phase 3 clinical trial to evaluate the safety and efficacy of Afrezza in 4-17 year-old children and adolescents, is nearing completion.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 New Drug Application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approvals, or failure to comply with existing or future regulatory requirements could have a material adverse effect on our business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Healthcare legislation may make it more difficult to receive revenues.*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both the United States and certain foreign jurisdictions, there has been a number of legislative and regulatory proposals in recent years to change the healthcare system in ways that could impact our ability to sell our products profitably. The most recent significant healthcare legislation was the Patient Protection and Affordable Care Act, as amended by the Health Care and Education Reconciliation Act (collectively, the “PPACA”) enacted in March 2010, which substantially changed the way healthcare is financed by both governmental and private insurers and continues to significantly affect the healthcare industry. There have been executive, judicial and congressional challenges to certain provisions of the PPACA, although the constitutionality of the PPACA appears to now be settled. In addition, there have been proposed and enacted health reform initiatives affecting the PPACA. For example, on August 16, 2022, President Biden signed the IRA into law, which among other things,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capped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began to take effect progressively starting in fiscal year 2023. On August 15, 2025, HHS announced the agreed-upon reimbursement price of the first ten drugs that were subject to price negotiations, although the Medicare drug price negotiation program is currently subject to legal challenges. HHS will select up to fifteen additional drugs covered under Part D for negotiation in 2025.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quality of care. It is unclear whether the models will be utilized in any health reform measures in the future.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have a material adverse effect on our ability to commercialize our products and product candidates under development, our business, financial condition and profitability may be adversely affected.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information related to payments and other transfer of value to physicians and other healthcare providers and entities, marketing expenditures or drug pricing.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exceptions and regulatory safe harbors, it is possible that some of our business activities could be subject to challenge under one or more of such laws. With Afrezza approved in Brazil and as our partners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subject to stringent and changing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jc w:val="left"/>
        <w:rPr>
          <w:rFonts w:ascii="Times New Roman" w:hAnsi="Times New Roman"/>
          <w:color w:val="000000"/>
          <w:sz w:val="20"/>
        </w:rPr>
      </w:pPr>
      <w:r>
        <w:rPr>
          <w:rFonts w:ascii="Times New Roman" w:hAnsi="Times New Roman"/>
          <w:color w:val="000000"/>
          <w:sz w:val="20"/>
        </w:rPr>
        <w:t xml:space="preserve">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(up to $7,500 per intentional violation)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with whom we work.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European Union's General Data Protection Regulation (“EU GDPR”), the United Kingdom’s GDPR (“UK GDPR”) (EU GDPR and UK GDPR, collectively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We may also be subject to new and emerging data privacy regimes in Asia, including Japan’s Act on the Protection of Personal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Regulators in the United States are also increasingly scrutinizing certain personal data transfers and may impose data localization requirements, particularly if we transfer personal data to, or process personal data of residents of, high risk or sanctioned jurisdictions, such as the Biden Administration’s executive order Preventing Access to Americans’ Bulk Sensitive Personal Data and United States Government-Related Data by Countries of Concern.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in March 2021, President Biden signed the American Rescue Plan Act of 2021 into law, which eliminated the statutory Medicaid drug rebate cap, previously set at 100% of a drug’s average manufacturer's price (“AMP”), for single source and innovator multiple source drugs effective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pStyle w:val="TextBody"/>
        <w:bidi w:val="0"/>
        <w:spacing w:before="0" w:after="120"/>
        <w:jc w:val="left"/>
        <w:rPr>
          <w:rFonts w:ascii="Times New Roman" w:hAnsi="Times New Roman"/>
          <w:sz w:val="20"/>
        </w:rPr>
      </w:pPr>
      <w:r>
        <w:rPr>
          <w:rFonts w:ascii="Times New Roman" w:hAnsi="Times New Roman"/>
          <w:b/>
          <w:i/>
          <w:color w:val="000000"/>
          <w:sz w:val="20"/>
        </w:rPr>
        <w:t>Our business could be negatively impacted by environmental, social and corporate governance (</w:t>
      </w:r>
      <w:r>
        <w:rPr>
          <w:rFonts w:ascii="Times New Roman" w:hAnsi="Times New Roman"/>
          <w:color w:val="000000"/>
          <w:sz w:val="20"/>
        </w:rPr>
        <w:t>“</w:t>
      </w:r>
      <w:r>
        <w:rPr>
          <w:rFonts w:ascii="Times New Roman" w:hAnsi="Times New Roman"/>
          <w:b/>
          <w:i/>
          <w:color w:val="000000"/>
          <w:sz w:val="20"/>
        </w:rPr>
        <w:t>ESG</w:t>
      </w:r>
      <w:r>
        <w:rPr>
          <w:rFonts w:ascii="Times New Roman" w:hAnsi="Times New Roman"/>
          <w:color w:val="000000"/>
          <w:sz w:val="20"/>
        </w:rPr>
        <w:t>”</w:t>
      </w:r>
      <w:r>
        <w:rPr>
          <w:rFonts w:ascii="Times New Roman" w:hAnsi="Times New Roman"/>
          <w:b/>
          <w:i/>
          <w:color w:val="000000"/>
          <w:sz w:val="20"/>
        </w:rPr>
        <w:t>) matters or our reporting of such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There is an increasing focus from certain investors, employees, partners, and other stakeholders concerning ESG matters. We may be, or be perceived to be, not acting responsibly in connection with these matters, which could negatively impact us. For example, we have not previously reported our environmental emissions and such lack of reporting may have resulted in certain investors declining to invest in our common stock. However, the SEC recently finalized rules designed to enhance and standardize climate-related disclosures. These climate disclosure rules have been challenged in court and the SEC has issued an order staying their implementation pending the outcome of judicial review. These new climate-related disclosures, if required, may significantly increase our compliance and reporting costs and may also result in disclosures that certain investors or other stakeholders deem to impact our reputation negatively and/or that harm our stock price.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portfolio of investment securities may require us to register with the SEC as an “investment company” in accordance with the Investment Company Act of 1940 (“‘40 Act”).</w:t>
      </w:r>
    </w:p>
    <w:p>
      <w:pPr>
        <w:pStyle w:val="TextBody"/>
        <w:bidi w:val="0"/>
        <w:jc w:val="left"/>
        <w:rPr>
          <w:rFonts w:ascii="Times New Roman" w:hAnsi="Times New Roman"/>
          <w:color w:val="000000"/>
          <w:sz w:val="20"/>
        </w:rPr>
      </w:pPr>
      <w:r>
        <w:rPr>
          <w:rFonts w:ascii="Times New Roman" w:hAnsi="Times New Roman"/>
          <w:color w:val="000000"/>
          <w:sz w:val="20"/>
        </w:rPr>
        <w:t xml:space="preserve">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protect our proprietary rights, we may not be able to compete effectively, or operate profitably.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costs in seeking enforcement of our proprietary rights against infringement. Even if issued, the patents may not give us an advantage over competitors with alternative technologies.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become involved in lawsuits to protect or enforce our patents or the patents of our collaborators or licensors, we would be required to devote substantial time and resources to prosecute or defend such 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Interference proceedings brought by the United States Patent and Trademark Office (“USPTO”), may be necessary to determine the priority of inventions with respect to our pre-AIA patent applications or those of our collaborators or licensors. Additionally, the AIA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patent owner may claim that we are making, using, selling or offering for sale an invention covered by the owner’s patents and may go to court to stop us from engaging in such activities. Such litigation is not uncommon in our industry.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pStyle w:val="TextBody"/>
        <w:bidi w:val="0"/>
        <w:jc w:val="left"/>
        <w:rPr>
          <w:rFonts w:ascii="Times New Roman" w:hAnsi="Times New Roman"/>
          <w:b/>
          <w:i/>
          <w:color w:val="000000"/>
          <w:sz w:val="20"/>
        </w:rPr>
      </w:pPr>
      <w:r>
        <w:rPr>
          <w:rFonts w:ascii="Times New Roman" w:hAnsi="Times New Roman"/>
          <w:b/>
          <w:i/>
          <w:color w:val="000000"/>
          <w:sz w:val="20"/>
        </w:rPr>
        <w:t>We may not obtain trademark registrations for our potential trade 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stock price is volatile.</w:t>
      </w:r>
    </w:p>
    <w:p>
      <w:pPr>
        <w:pStyle w:val="TextBody"/>
        <w:bidi w:val="0"/>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marketing approval for our products outside of the United States and to find collaboration partners for the commercialization of our products in foreign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estimates of product sales, royalties, prescriptions or other operating metrics;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other products based on our Technosphere drug delivery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and results of preclinical and clinical studies of our product candidates and of post-approval studies of approved products that are required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or stock market conditions, especially for emerging growth and pharmaceutical market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events, such as the current Russia-Ukraine and Israel-Hamas conflicts and Houthis rebel attacks on commercial marine vessels in the Red Sea;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the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our collaborators, or our competitors concerning clinical study results, acquisitions, strategic alliances, technological innovations, newly approved commercial products, product discontinuations, or other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critical materials used in developing and manufacturing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relationship with any of our current or future collaborators or third 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patents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 and time associated with, and the extent of our ultimate success in, securing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concerning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securities analysts’ estimates of our financial condition or operating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including sales by our executive officers, directors and significant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trades of short sellers;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the perception of investors of our ability, to continue to meet all applicable requirements for continued listing of our common stock on The Nasdaq Global Market, and the possible delisting of our common stock if we are unable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of any legal proceedings or regulatory matters against or involving us or any of our executive officers and directors;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of these risks, as well as other factors, could cause the market value of our common stock and other securities to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continue to meet all applicable listing requirements, our common stock may be delisted from the Nasdaq Global Market, which could have an adverse impact on the liquidity and market price of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breach of fiduciary duty owed by any of our current or former directors, officers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amended and restated bylaws;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 to which the Delaware General Corporation Law confers jurisdiction to the Court of Chancery of the State of Delaware;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action asserting a claim against us or any of our directors, officers or other employees that is governed by the internal affairs doctrine.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Because we do not expect to pay dividends in the foreseeable future, you must rely on stock appreciation for any return on any investment in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There is no guarantee that our common stock will appreciate or maintain its current price. You could lose the entire value of any investment in our common stock.</w:t>
      </w:r>
    </w:p>
    <w:p>
      <w:pPr>
        <w:pStyle w:val="TextBody"/>
        <w:bidi w:val="0"/>
        <w:spacing w:before="0" w:after="120"/>
        <w:jc w:val="left"/>
        <w:rPr>
          <w:rFonts w:ascii="Times New Roman" w:hAnsi="Times New Roman"/>
          <w:sz w:val="20"/>
        </w:rPr>
      </w:pPr>
      <w:r>
        <w:rPr>
          <w:rFonts w:ascii="Times New Roman" w:hAnsi="Times New Roman"/>
          <w:b/>
          <w:i/>
          <w:color w:val="000000"/>
          <w:sz w:val="20"/>
        </w:rPr>
        <w:t>Future sales of shares of our common stock in the public market, or the perception that such sales may occur, may depress our stock price and adversely impact the market price of our common stock and other securities.*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Likewise, the issuance of additional shares of our common stock upon the exchange or conversion of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a substantial number of shares of our common stock is reserved for issuance upon the exercise of stock options, the vesting of restricted stock unit awards and purchases under our ESPP. The issuance or sale of substantial amounts of common stock, or the perception that such issuances or sales may occur, could adversely affect the market price of our common stock and other securities.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other biotechnology and biopharmaceutical companies or the securities markets in general encounter problems, the market price of our common stock and other securities could be adversely affected.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sz w:val="20"/>
        </w:rPr>
      </w:pPr>
      <w:r>
        <w:rPr>
          <w:rFonts w:ascii="Times New Roman" w:hAnsi="Times New Roman"/>
          <w:color w:val="000000"/>
          <w:sz w:val="20"/>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r>
        <w:rPr>
          <w:rFonts w:ascii="Times New Roman" w:hAnsi="Times New Roman"/>
          <w:color w:val="006EBF"/>
          <w:sz w:val="20"/>
        </w:rPr>
        <w:t xml:space="preserv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Unstable market, economic and geopolitical conditions may have serious adverse consequences on our business, financial condition and stock price.*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 affected by any such economic downturn, volatile business environment, actual or anticipated bank failures,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jc w:val="left"/>
        <w:rPr>
          <w:rFonts w:ascii="Times New Roman" w:hAnsi="Times New Roman"/>
          <w:color w:val="000000"/>
          <w:sz w:val="20"/>
        </w:rPr>
      </w:pPr>
      <w:r>
        <w:rPr>
          <w:rFonts w:ascii="Times New Roman" w:hAnsi="Times New Roman"/>
          <w:color w:val="000000"/>
          <w:sz w:val="20"/>
        </w:rPr>
        <w:t>Other international and geopolitical events could also have a serious adverse impact on our business. For instance, in February 2022, Russia initiated military action against Ukraine and the two countries are now at war. In response, the United States and certain other countries imposed significant sanctions and trade actions against Russia and could impose further sanctions, trade restrictions, and other retaliatory actions. Additionally, in October 2023, Hamas initiated an attack against Israel, provoking a state of war and subsequently a larger regional conflict. Furthermore, following Hamas’ attack on Israel, the Houthi movement, which controls parts of Yemen, launched a number of attacks on commercial marine vessels in the Red Sea. The Red Sea is an important maritime route for international trade and as such disruptions to these trade routes can have an impact on global supply chains. As a result of such disruptions, we may experience in the future extended lead times, delays in supplier deliveries, and increased freight costs.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24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19" w:name="item_5_or_information"/>
      <w:bookmarkEnd w:id="19"/>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September 30, 2024, two of our officers (as defined in Rule 16a-1(f) under the Exchange Act) adopted written trading plans for the orderly disposition of the Company’s securities as set forth in the table 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0"/>
        <w:gridCol w:w="146"/>
        <w:gridCol w:w="886"/>
        <w:gridCol w:w="146"/>
        <w:gridCol w:w="1155"/>
        <w:gridCol w:w="146"/>
        <w:gridCol w:w="1048"/>
        <w:gridCol w:w="200"/>
        <w:gridCol w:w="273"/>
        <w:gridCol w:w="648"/>
        <w:gridCol w:w="146"/>
        <w:gridCol w:w="146"/>
        <w:gridCol w:w="361"/>
        <w:gridCol w:w="1931"/>
        <w:gridCol w:w="146"/>
        <w:gridCol w:w="146"/>
        <w:gridCol w:w="1291"/>
      </w:tblGrid>
      <w:tr>
        <w:trPr/>
        <w:tc>
          <w:tcPr>
            <w:tcW w:w="1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3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left"/>
              <w:rPr/>
            </w:pPr>
            <w:r>
              <w:rPr/>
              <w:t> </w:t>
            </w:r>
          </w:p>
        </w:tc>
      </w:tr>
      <w:tr>
        <w:trPr/>
        <w:tc>
          <w:tcPr>
            <w:tcW w:w="1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Adoption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Rule </w:t>
              <w:br/>
              <w:t>10b5-1</w:t>
            </w:r>
            <w:r>
              <w:rPr>
                <w:rFonts w:ascii="Times New Roman" w:hAnsi="Times New Roman"/>
                <w:b/>
                <w:color w:val="000000"/>
                <w:sz w:val="13"/>
              </w:rPr>
              <w:t>(1)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Non-Rule </w:t>
              <w:br/>
              <w:t>10b5-1</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Total Shares of Common Stock to be Sold </w:t>
            </w:r>
            <w:r>
              <w:rPr>
                <w:rFonts w:ascii="Times New Roman" w:hAnsi="Times New Roman"/>
                <w:b/>
                <w:color w:val="000000"/>
                <w:sz w:val="13"/>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39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Steven B. Binder</w:t>
              <w:br/>
            </w:r>
            <w:r>
              <w:rPr>
                <w:rFonts w:ascii="Times New Roman" w:hAnsi="Times New Roman"/>
                <w:i/>
                <w:color w:val="000000"/>
                <w:sz w:val="20"/>
              </w:rPr>
              <w:t>Director</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vAlign w:val="center"/>
          </w:tcPr>
          <w:p>
            <w:pPr>
              <w:pStyle w:val="TableContents"/>
              <w:bidi w:val="0"/>
              <w:spacing w:before="0" w:after="283"/>
              <w:jc w:val="center"/>
              <w:rPr/>
            </w:pPr>
            <w:r>
              <w:rPr/>
              <w:t> </w:t>
            </w:r>
          </w:p>
        </w:tc>
        <w:tc>
          <w:tcPr>
            <w:tcW w:w="115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16, 2024</w:t>
            </w:r>
          </w:p>
        </w:tc>
        <w:tc>
          <w:tcPr>
            <w:tcW w:w="146" w:type="dxa"/>
            <w:tcBorders/>
            <w:shd w:fill="CFF0FC" w:val="clear"/>
            <w:vAlign w:val="center"/>
          </w:tcPr>
          <w:p>
            <w:pPr>
              <w:pStyle w:val="TableContents"/>
              <w:bidi w:val="0"/>
              <w:spacing w:before="0" w:after="283"/>
              <w:jc w:val="center"/>
              <w:rPr/>
            </w:pPr>
            <w:r>
              <w:rPr/>
              <w:t> </w:t>
            </w:r>
          </w:p>
        </w:tc>
        <w:tc>
          <w:tcPr>
            <w:tcW w:w="104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200"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61" w:type="dxa"/>
            <w:tcBorders/>
            <w:shd w:fill="CFF0FC" w:val="clear"/>
            <w:vAlign w:val="center"/>
          </w:tcPr>
          <w:p>
            <w:pPr>
              <w:pStyle w:val="TableContents"/>
              <w:bidi w:val="0"/>
              <w:spacing w:before="0" w:after="283"/>
              <w:jc w:val="left"/>
              <w:rPr/>
            </w:pPr>
            <w:r>
              <w:rPr/>
              <w:t> </w:t>
            </w:r>
          </w:p>
        </w:tc>
        <w:tc>
          <w:tcPr>
            <w:tcW w:w="1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2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29, 2025</w:t>
            </w:r>
          </w:p>
        </w:tc>
      </w:tr>
      <w:tr>
        <w:trPr/>
        <w:tc>
          <w:tcPr>
            <w:tcW w:w="13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Thomson</w:t>
              <w:br/>
            </w:r>
            <w:r>
              <w:rPr>
                <w:rFonts w:ascii="Times New Roman" w:hAnsi="Times New Roman"/>
                <w:i/>
                <w:color w:val="000000"/>
                <w:sz w:val="20"/>
              </w:rPr>
              <w:t>EVP, General Counsel</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FFFFFF" w:val="clear"/>
            <w:vAlign w:val="center"/>
          </w:tcPr>
          <w:p>
            <w:pPr>
              <w:pStyle w:val="TableContents"/>
              <w:bidi w:val="0"/>
              <w:spacing w:before="0" w:after="283"/>
              <w:jc w:val="center"/>
              <w:rPr/>
            </w:pPr>
            <w:r>
              <w:rPr/>
              <w:t> </w:t>
            </w:r>
          </w:p>
        </w:tc>
        <w:tc>
          <w:tcPr>
            <w:tcW w:w="115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2024</w:t>
            </w:r>
          </w:p>
        </w:tc>
        <w:tc>
          <w:tcPr>
            <w:tcW w:w="146" w:type="dxa"/>
            <w:tcBorders/>
            <w:shd w:fill="FFFFFF" w:val="clear"/>
            <w:vAlign w:val="center"/>
          </w:tcPr>
          <w:p>
            <w:pPr>
              <w:pStyle w:val="TableContents"/>
              <w:bidi w:val="0"/>
              <w:spacing w:before="0" w:after="283"/>
              <w:jc w:val="center"/>
              <w:rPr/>
            </w:pPr>
            <w:r>
              <w:rPr/>
              <w:t> </w:t>
            </w:r>
          </w:p>
        </w:tc>
        <w:tc>
          <w:tcPr>
            <w:tcW w:w="104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200"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19, 2025</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w:t>
      </w:r>
    </w:p>
    <w:p>
      <w:pPr>
        <w:pStyle w:val="TextBody"/>
        <w:bidi w:val="0"/>
        <w:spacing w:before="0" w:after="120"/>
        <w:jc w:val="left"/>
        <w:rPr>
          <w:rFonts w:ascii="Times New Roman" w:hAnsi="Times New Roman"/>
          <w:sz w:val="20"/>
        </w:rPr>
      </w:pPr>
      <w:r>
        <w:rPr>
          <w:rFonts w:ascii="Times New Roman" w:hAnsi="Times New Roman"/>
          <w:color w:val="000000"/>
          <w:sz w:val="14"/>
        </w:rPr>
        <w:t xml:space="preserve">(1) </w:t>
      </w:r>
      <w:r>
        <w:rPr>
          <w:rFonts w:ascii="Times New Roman" w:hAnsi="Times New Roman"/>
          <w:color w:val="000000"/>
          <w:sz w:val="18"/>
        </w:rPr>
        <w:t>Contract, instruction or written plan intended to satisfy the affirmative defense conditions of Rule 10b5-1(c) under the Exchange Act.</w:t>
      </w:r>
    </w:p>
    <w:p>
      <w:pPr>
        <w:pStyle w:val="TextBody"/>
        <w:bidi w:val="0"/>
        <w:spacing w:before="0" w:after="120"/>
        <w:jc w:val="left"/>
        <w:rPr>
          <w:rFonts w:ascii="Times New Roman" w:hAnsi="Times New Roman"/>
          <w:sz w:val="20"/>
        </w:rPr>
      </w:pPr>
      <w:r>
        <w:rPr>
          <w:rFonts w:ascii="Times New Roman" w:hAnsi="Times New Roman"/>
          <w:color w:val="000000"/>
          <w:sz w:val="14"/>
        </w:rPr>
        <w:t xml:space="preserve">(2) </w:t>
      </w:r>
      <w:r>
        <w:rPr>
          <w:rFonts w:ascii="Times New Roman" w:hAnsi="Times New Roman"/>
          <w:color w:val="000000"/>
          <w:sz w:val="18"/>
        </w:rPr>
        <w:t>"Non-Rule 10b5-1 trading arrangement" as defined in Item 408(c) of Regulation S-K under the Exchange Act.</w:t>
      </w:r>
    </w:p>
    <w:p>
      <w:pPr>
        <w:pStyle w:val="TextBody"/>
        <w:bidi w:val="0"/>
        <w:jc w:val="left"/>
        <w:rPr>
          <w:rFonts w:ascii="Times New Roman" w:hAnsi="Times New Roman"/>
          <w:sz w:val="20"/>
        </w:rPr>
      </w:pPr>
      <w:r>
        <w:rPr>
          <w:rFonts w:ascii="Times New Roman" w:hAnsi="Times New Roman"/>
          <w:color w:val="000000"/>
          <w:sz w:val="14"/>
        </w:rPr>
        <w:t xml:space="preserve">(3) </w:t>
      </w:r>
      <w:r>
        <w:rPr>
          <w:rFonts w:ascii="Times New Roman" w:hAnsi="Times New Roman"/>
          <w:color w:val="000000"/>
          <w:sz w:val="18"/>
        </w:rPr>
        <w:t>These trading plans include the potential exercise and sale by Steven Binder and David Thomson of short-dated options exercisable for up to 135,075 and 147,780 shares of common stock, respectively. The remainder of each plan is designed to sell a specified percentage of the net shares delivered after tax withholding upon the vesting of restricted stock unit awards held by each individual. The actual number of shares to be sold will depend on state and federal tax rates applicable on the relevant vesting dates (currently assumed to be a combined 34%) as well as the payout, if any, of market RSU awards that will deliver a number of shares determined by the percentile ranking of MannKind total shareholder return ("TSR") over a three-year measurement period relative to the TSR of the Russell 3000 Pharmaceutical &amp; Biotechnology Index over the same period (currently assumed to be 100% of target). Based on these assumptions, the number of shares of common stock to be sold by Steven Binder and David Thomson after tax withholdings approximate 162,000 and 41,000, respectively, for total estimated shares of common stock to be sold of up to 297,075</w:t>
      </w:r>
      <w:r>
        <w:rPr>
          <w:rFonts w:ascii="Times New Roman" w:hAnsi="Times New Roman"/>
          <w:color w:val="000000"/>
          <w:sz w:val="20"/>
        </w:rPr>
        <w:t xml:space="preserve"> </w:t>
      </w:r>
      <w:r>
        <w:rPr>
          <w:rFonts w:ascii="Times New Roman" w:hAnsi="Times New Roman"/>
          <w:color w:val="000000"/>
          <w:sz w:val="18"/>
        </w:rPr>
        <w:t>and 188,780,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8"/>
        <w:gridCol w:w="254"/>
        <w:gridCol w:w="9023"/>
      </w:tblGrid>
      <w:tr>
        <w:trPr/>
        <w:tc>
          <w:tcPr>
            <w:tcW w:w="928"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9023" w:type="dxa"/>
            <w:tcBorders/>
            <w:shd w:fill="FFFFFF" w:val="clear"/>
            <w:vAlign w:val="center"/>
          </w:tcPr>
          <w:p>
            <w:pPr>
              <w:pStyle w:val="TableContents"/>
              <w:bidi w:val="0"/>
              <w:spacing w:before="0" w:after="283"/>
              <w:jc w:val="left"/>
              <w:rPr>
                <w:sz w:val="4"/>
                <w:szCs w:val="4"/>
              </w:rPr>
            </w:pPr>
            <w:r>
              <w:rPr>
                <w:sz w:val="4"/>
                <w:szCs w:val="4"/>
              </w:rPr>
            </w:r>
          </w:p>
        </w:tc>
      </w:tr>
      <w:tr>
        <w:trPr/>
        <w:tc>
          <w:tcPr>
            <w:tcW w:w="928"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 of Document</w:t>
            </w:r>
            <w:r>
              <w:rPr>
                <w:rFonts w:ascii="Times New Roman" w:hAnsi="Times New Roman"/>
                <w:color w:val="000000"/>
                <w:sz w:val="16"/>
              </w:rPr>
              <w:t xml:space="preserve"> </w:t>
            </w:r>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(incorporated by reference to Exhibit 3.1 to MannKind’s Quarterly Report on Form 10-Q (File No. 000-50865), filed with the SEC on August 9, 2016).</w:t>
              </w:r>
            </w:hyperlink>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March 2, 2017).</w:t>
              </w:r>
            </w:hyperlink>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December 13, 2017).</w:t>
              </w:r>
            </w:hyperlink>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27, 2020).</w:t>
              </w:r>
            </w:hyperlink>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30, 2023).</w:t>
              </w:r>
            </w:hyperlink>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(incorporated by reference to Exhibit 3.2 to MannKind’s Current Report on Form 8-K (File No. 000-50865), filed with the SEC on May 27, 2020).</w:t>
              </w:r>
            </w:hyperlink>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8">
              <w:r>
                <w:rPr>
                  <w:rStyle w:val="InternetLink"/>
                  <w:rFonts w:ascii="Times New Roman" w:hAnsi="Times New Roman"/>
                  <w:color w:val="0000FF"/>
                  <w:sz w:val="20"/>
                  <w:u w:val="single"/>
                </w:rPr>
                <w:t>3.1</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3.2</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3.3</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3.4</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3.5</w:t>
              </w:r>
            </w:hyperlink>
            <w:r>
              <w:rPr>
                <w:rFonts w:ascii="Times New Roman" w:hAnsi="Times New Roman"/>
                <w:color w:val="000000"/>
                <w:sz w:val="20"/>
              </w:rPr>
              <w:t xml:space="preserve"> and </w:t>
            </w:r>
            <w:hyperlink r:id="rId13">
              <w:r>
                <w:rPr>
                  <w:rStyle w:val="InternetLink"/>
                  <w:rFonts w:ascii="Times New Roman" w:hAnsi="Times New Roman"/>
                  <w:color w:val="0000FF"/>
                  <w:sz w:val="20"/>
                  <w:u w:val="single"/>
                </w:rPr>
                <w:t>3.6</w:t>
              </w:r>
            </w:hyperlink>
            <w:r>
              <w:rPr>
                <w:rFonts w:ascii="Times New Roman" w:hAnsi="Times New Roman"/>
                <w:color w:val="000000"/>
                <w:sz w:val="20"/>
              </w:rPr>
              <w:t>.</w:t>
            </w:r>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common stock certificate (incorporated by reference to Exhibit 4.2 to MannKind’s Annual Report on Form 10-K (File No. 000-50865), filed with the SEC on March 16, 2017).</w:t>
              </w:r>
            </w:hyperlink>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254"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Milestone Rights Purchase Agreement, dated as of July 1, 2013, by and among MannKind, Deerfield Private Design Fund II, L.P. and Horizon Santé FLML SÁRL (incorporated by reference to Exhibit 99.3 to MannKind’s Current Report on Form 8-K (File No. 000-50865), filed with the SEC on July 1, 2013).</w:t>
              </w:r>
            </w:hyperlink>
          </w:p>
        </w:tc>
      </w:tr>
      <w:tr>
        <w:trPr/>
        <w:tc>
          <w:tcPr>
            <w:tcW w:w="928"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0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4.4</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Warrant to Purchase Stock issued to MidCap Financial Trust on August 6, 2019 (incorporated by reference to Exhibit 4.1 to MannKind’s Current Report on Form 8-K (File No. 000-50865), filed with the SEC on August 7, 2019).</w:t>
              </w:r>
            </w:hyperlink>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4.5</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Indenture, dated as of March 4, 2021, by and between MannKind Corporation and U.S. Bank National Association, as Trustee (incorporated by reference to Exhibit 4.1 to MannKind’s Current Report on Form 8-K (File No. 000-50865), filed with the SEC on March 5, 2021).</w:t>
              </w:r>
            </w:hyperlink>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4.6</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"https://www.sec.gov/Archives/edgar/data/899460/000119312521070265/d45565dex41.htm" \l "exa"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Global Note, representing MannKind Corporation’s 2.50% Convertible Senior Notes due 2026 (included as Exhibit A to the Indenture filed as Exhibit 4.15) (incorporated by reference to Exhibit 4.2 to MannKind’s Current Report on Form 8-K (File No. 000-50865), filed with the SEC on March 5, 2021).</w:t>
            </w:r>
            <w:r>
              <w:rPr>
                <w:rStyle w:val="InternetLink"/>
                <w:sz w:val="20"/>
                <w:u w:val="single"/>
                <w:rFonts w:ascii="Times New Roman" w:hAnsi="Times New Roman"/>
                <w:color w:val="0000FF"/>
              </w:rPr>
              <w:fldChar w:fldCharType="end"/>
            </w:r>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10.1***</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hyperlink w:anchor="mnkd-ex10_1.htm">
              <w:r>
                <w:rPr>
                  <w:rStyle w:val="InternetLink"/>
                  <w:rFonts w:ascii="Times New Roman" w:hAnsi="Times New Roman"/>
                  <w:color w:val="0000FF"/>
                  <w:sz w:val="20"/>
                  <w:u w:val="single"/>
                </w:rPr>
                <w:t>Second Amendment to Supply Agreement, dated November 9, 2016, by and between MannKind and Amphastar Pharmaceuticals, Inc.</w:t>
              </w:r>
            </w:hyperlink>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10.2***</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hyperlink w:anchor="mnkd-ex10_2.htm">
              <w:r>
                <w:rPr>
                  <w:rStyle w:val="InternetLink"/>
                  <w:rFonts w:ascii="Times New Roman" w:hAnsi="Times New Roman"/>
                  <w:color w:val="0000FF"/>
                  <w:sz w:val="20"/>
                  <w:u w:val="single"/>
                </w:rPr>
                <w:t>Third Amendment to Supply Agreement, dated April 11, 2018, by and between MannKind and Amphastar Pharmaceuticals, Inc.</w:t>
              </w:r>
            </w:hyperlink>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10.3***</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hyperlink w:anchor="mnkd-ex10_3.htm">
              <w:r>
                <w:rPr>
                  <w:rStyle w:val="InternetLink"/>
                  <w:rFonts w:ascii="Times New Roman" w:hAnsi="Times New Roman"/>
                  <w:color w:val="0000FF"/>
                  <w:sz w:val="20"/>
                  <w:u w:val="single"/>
                </w:rPr>
                <w:t>Research Agreement, dated September 3, 2018 by and between MannKind and United Therapeutics Corporation.</w:t>
              </w:r>
            </w:hyperlink>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31.1</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hyperlink w:anchor="mnkd-ex31_1.htm">
              <w:r>
                <w:rPr>
                  <w:rStyle w:val="InternetLink"/>
                  <w:rFonts w:ascii="Times New Roman" w:hAnsi="Times New Roman"/>
                  <w:color w:val="0000FF"/>
                  <w:sz w:val="20"/>
                  <w:u w:val="single"/>
                </w:rPr>
                <w:t>Certification of the Chief Executive Officer pursuant to Rules 13a-14(a) and 15d-14(a) of the Securities Exchange Act of 1934, as amended.</w:t>
              </w:r>
            </w:hyperlink>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31.2</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hyperlink w:anchor="mnkd-ex31_2.htm">
              <w:r>
                <w:rPr>
                  <w:rStyle w:val="InternetLink"/>
                  <w:rFonts w:ascii="Times New Roman" w:hAnsi="Times New Roman"/>
                  <w:color w:val="0000FF"/>
                  <w:sz w:val="20"/>
                  <w:u w:val="single"/>
                </w:rPr>
                <w:t>Certification of the Chief Financial Officer pursuant to Rules 13a-14(a) and 15d-14(a) of the Securities Exchange Act of 1934, as amended.</w:t>
              </w:r>
            </w:hyperlink>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32.1</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hyperlink w:anchor="mnkd-ex32_1.htm">
              <w:r>
                <w:rPr>
                  <w:rStyle w:val="InternetLink"/>
                  <w:rFonts w:ascii="Times New Roman" w:hAnsi="Times New Roman"/>
                  <w:color w:val="0000FF"/>
                  <w:sz w:val="20"/>
                  <w:u w:val="single"/>
                </w:rPr>
                <w:t>Certification of the Chief Executive Officer pursuant to Rules 13a-14(b) and 15d-14(b) of the Securities Exchange Act of 1934, as amended and Section 1350 of Chapter 63 of Title 18 of the United States Code (18 U.S.C. §1350).</w:t>
              </w:r>
            </w:hyperlink>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32.2</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hyperlink w:anchor="mnkd-ex32_2.htm">
              <w:r>
                <w:rPr>
                  <w:rStyle w:val="InternetLink"/>
                  <w:rFonts w:ascii="Times New Roman" w:hAnsi="Times New Roman"/>
                  <w:color w:val="0000FF"/>
                  <w:sz w:val="20"/>
                  <w:u w:val="single"/>
                </w:rPr>
                <w:t>Certification of the Chief Financial Officer pursuant to Rules 13a-14(b) and 15d-14(b) of the Securities Exchange Act of 1934, as amended and Section 1350 of Chapter 63 of Title 18 of the United States Code (18 U.S.C. §1350).</w:t>
              </w:r>
            </w:hyperlink>
          </w:p>
        </w:tc>
      </w:tr>
      <w:tr>
        <w:trPr/>
        <w:tc>
          <w:tcPr>
            <w:tcW w:w="928"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023"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39" w:type="dxa"/>
        <w:jc w:val="left"/>
        <w:tblInd w:w="0" w:type="dxa"/>
        <w:tblLayout w:type="fixed"/>
        <w:tblCellMar>
          <w:top w:w="28" w:type="dxa"/>
          <w:left w:w="28" w:type="dxa"/>
          <w:bottom w:w="28" w:type="dxa"/>
          <w:right w:w="28" w:type="dxa"/>
        </w:tblCellMar>
      </w:tblPr>
      <w:tblGrid>
        <w:gridCol w:w="784"/>
        <w:gridCol w:w="254"/>
        <w:gridCol w:w="5701"/>
      </w:tblGrid>
      <w:tr>
        <w:trPr/>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5701" w:type="dxa"/>
            <w:tcBorders/>
            <w:shd w:fill="FFFFFF" w:val="clear"/>
            <w:vAlign w:val="center"/>
          </w:tcPr>
          <w:p>
            <w:pPr>
              <w:pStyle w:val="TableContents"/>
              <w:bidi w:val="0"/>
              <w:spacing w:before="0" w:after="283"/>
              <w:jc w:val="left"/>
              <w:rPr>
                <w:sz w:val="4"/>
                <w:szCs w:val="4"/>
              </w:rPr>
            </w:pPr>
            <w:r>
              <w:rPr>
                <w:sz w:val="4"/>
                <w:szCs w:val="4"/>
              </w:rPr>
            </w:r>
          </w:p>
        </w:tc>
      </w:tr>
      <w:tr>
        <w:trPr/>
        <w:tc>
          <w:tcPr>
            <w:tcW w:w="784"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 of Document</w:t>
            </w:r>
            <w:r>
              <w:rPr>
                <w:rFonts w:ascii="Times New Roman" w:hAnsi="Times New Roman"/>
                <w:color w:val="000000"/>
                <w:sz w:val="16"/>
              </w:rPr>
              <w:t xml:space="preserve"> </w:t>
            </w:r>
          </w:p>
        </w:tc>
      </w:tr>
      <w:tr>
        <w:trPr/>
        <w:tc>
          <w:tcPr>
            <w:tcW w:w="78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101</w:t>
            </w:r>
          </w:p>
        </w:tc>
        <w:tc>
          <w:tcPr>
            <w:tcW w:w="254" w:type="dxa"/>
            <w:tcBorders/>
            <w:vAlign w:val="center"/>
          </w:tcPr>
          <w:p>
            <w:pPr>
              <w:pStyle w:val="TableContents"/>
              <w:bidi w:val="0"/>
              <w:spacing w:before="0" w:after="283"/>
              <w:ind w:left="108" w:right="0" w:firstLine="108"/>
              <w:jc w:val="left"/>
              <w:rPr/>
            </w:pPr>
            <w:r>
              <w:rPr/>
              <w:t> </w:t>
            </w:r>
          </w:p>
        </w:tc>
        <w:tc>
          <w:tcPr>
            <w:tcW w:w="57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Interactive Data Files pursuant to Rule 405 of Regulation S-T.</w:t>
            </w:r>
          </w:p>
        </w:tc>
      </w:tr>
      <w:tr>
        <w:trPr/>
        <w:tc>
          <w:tcPr>
            <w:tcW w:w="784"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5701" w:type="dxa"/>
            <w:tcBorders/>
            <w:vAlign w:val="center"/>
          </w:tcPr>
          <w:p>
            <w:pPr>
              <w:pStyle w:val="TableContents"/>
              <w:bidi w:val="0"/>
              <w:spacing w:before="0" w:after="283"/>
              <w:jc w:val="left"/>
              <w:rPr/>
            </w:pPr>
            <w:r>
              <w:rPr/>
              <w:t> </w:t>
            </w:r>
          </w:p>
        </w:tc>
      </w:tr>
      <w:tr>
        <w:trPr/>
        <w:tc>
          <w:tcPr>
            <w:tcW w:w="78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104</w:t>
            </w:r>
          </w:p>
        </w:tc>
        <w:tc>
          <w:tcPr>
            <w:tcW w:w="254" w:type="dxa"/>
            <w:tcBorders/>
            <w:vAlign w:val="center"/>
          </w:tcPr>
          <w:p>
            <w:pPr>
              <w:pStyle w:val="TableContents"/>
              <w:bidi w:val="0"/>
              <w:spacing w:before="0" w:after="283"/>
              <w:ind w:left="108" w:right="0" w:firstLine="108"/>
              <w:jc w:val="left"/>
              <w:rPr/>
            </w:pPr>
            <w:r>
              <w:rPr/>
              <w:t> </w:t>
            </w:r>
          </w:p>
        </w:tc>
        <w:tc>
          <w:tcPr>
            <w:tcW w:w="57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has been formatted in Inline XBRL.</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 Certain portions of this exhibit have been omitted pursuant to Item 601(b)(10)(iv)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
      <w:bookmarkEnd w:id="21"/>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9018" w:type="dxa"/>
        <w:jc w:val="left"/>
        <w:tblInd w:w="0" w:type="dxa"/>
        <w:tblLayout w:type="fixed"/>
        <w:tblCellMar>
          <w:top w:w="28" w:type="dxa"/>
          <w:left w:w="28" w:type="dxa"/>
          <w:bottom w:w="28" w:type="dxa"/>
          <w:right w:w="28" w:type="dxa"/>
        </w:tblCellMar>
      </w:tblPr>
      <w:tblGrid>
        <w:gridCol w:w="2206"/>
        <w:gridCol w:w="406"/>
        <w:gridCol w:w="640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7, 2024</w:t>
            </w:r>
          </w:p>
        </w:tc>
        <w:tc>
          <w:tcPr>
            <w:tcW w:w="681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MANNKIND CORPORATION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registrant and as the registrant’s Principal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B. PRENTISS</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b/>
          <w:color w:val="000000"/>
          <w:sz w:val="18"/>
        </w:rPr>
      </w:pPr>
      <w:bookmarkStart w:id="22" w:name="mnkd-ex10_1.htm"/>
      <w:bookmarkStart w:id="23" w:name="ksmnkdex10_1"/>
      <w:bookmarkEnd w:id="22"/>
      <w:bookmarkEnd w:id="23"/>
      <w:r>
        <w:rPr>
          <w:rFonts w:ascii="Times New Roman" w:hAnsi="Times New Roman"/>
          <w:b/>
          <w:color w:val="000000"/>
          <w:sz w:val="18"/>
        </w:rPr>
        <w:t>CERTAIN CONFIDENTIAL INFORMATION CONTAINED IN THIS DOCUMENT, MARKED BY [***], HAS BEEN OMITTED BECAUSE IT IS BOTH (I) NOT MATERIAL AND (II) IS THE TYPE THAT MANNKIND CORPORATION TREATS AS PRIVATE OR CONFIDENTIAL.</w:t>
      </w:r>
      <w:r>
        <w:br w:type="page"/>
      </w:r>
    </w:p>
    <w:p>
      <w:pPr>
        <w:pStyle w:val="TextBody"/>
        <w:bidi w:val="0"/>
        <w:spacing w:before="0" w:after="160"/>
        <w:jc w:val="right"/>
        <w:rPr>
          <w:rFonts w:ascii="Times New Roman" w:hAnsi="Times New Roman"/>
          <w:b/>
          <w:color w:val="000000"/>
          <w:sz w:val="22"/>
        </w:rPr>
      </w:pPr>
      <w:r>
        <w:rPr>
          <w:rFonts w:ascii="Times New Roman" w:hAnsi="Times New Roman"/>
          <w:b/>
          <w:color w:val="000000"/>
          <w:sz w:val="22"/>
        </w:rPr>
        <w:t>Exhibit 10.1</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SECOND AMENDMENT TO SUPPLY AGREEMENT</w:t>
      </w:r>
    </w:p>
    <w:p>
      <w:pPr>
        <w:pStyle w:val="TextBody"/>
        <w:bidi w:val="0"/>
        <w:spacing w:before="0" w:after="160"/>
        <w:jc w:val="left"/>
        <w:rPr>
          <w:rFonts w:ascii="Times New Roman" w:hAnsi="Times New Roman"/>
          <w:sz w:val="20"/>
        </w:rPr>
      </w:pPr>
      <w:r>
        <w:rPr>
          <w:rFonts w:ascii="Times New Roman" w:hAnsi="Times New Roman"/>
          <w:color w:val="000000"/>
          <w:sz w:val="22"/>
        </w:rPr>
        <w:t>This second amendment (“Second Amendment”) to the Supply Agreement by and between MannKind Corporation (“MannKind”) and Amphastar Pharmaceuticals, Inc. (“Amphastar”), originally dated July 31, 2014 and as previously amended on October 31, 2014 (collectively, the “Agreement”), is hereby made as of the 9</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November, 2016, by and between MannKind on the one hand, and on the other hand, Amphastar.</w:t>
      </w:r>
    </w:p>
    <w:p>
      <w:pPr>
        <w:pStyle w:val="TextBody"/>
        <w:bidi w:val="0"/>
        <w:spacing w:before="0" w:after="160"/>
        <w:jc w:val="center"/>
        <w:rPr>
          <w:rFonts w:ascii="Times New Roman" w:hAnsi="Times New Roman"/>
          <w:sz w:val="20"/>
        </w:rPr>
      </w:pPr>
      <w:r>
        <w:rPr>
          <w:rFonts w:ascii="Times New Roman" w:hAnsi="Times New Roman"/>
          <w:color w:val="000000"/>
          <w:sz w:val="22"/>
          <w:u w:val="single"/>
        </w:rPr>
        <w:t>RECITALS</w:t>
      </w:r>
      <w:r>
        <w:rPr>
          <w:rFonts w:ascii="Times New Roman" w:hAnsi="Times New Roman"/>
          <w:color w:val="000000"/>
          <w:sz w:val="22"/>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WHEREAS, MannKind and Amphastar entered into the Agreement pursuant to which Amphastar is to manufacture and supply the Product to MannKind, and MannKind is to purchase certain minimum quantities of the Product;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WHEREAS, MannKind and Amphastar are concurrently entering into a first amendment to the Insulin Purchase Option Agreement originally dated January 1, 2015 (the “Option Amendment”) and</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WHEREAS MannKind and Amphastar have determined it to be mutually beneficial to amend the Agreement as set forth herein.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NOW, THEREFORE, for good and valuable consideration, MannKind and Amphastar, hereby agree to amend the Agreement as follows:</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Definitions</w:t>
      </w:r>
      <w:r>
        <w:rPr>
          <w:rFonts w:ascii="Times New Roman" w:hAnsi="Times New Roman"/>
          <w:color w:val="000000"/>
          <w:sz w:val="22"/>
        </w:rPr>
        <w:t>. Unless otherwise defined herein, each of the capitalized terms used in this Second Amendment shall have the definition and meaning ascribed to it in the Agreement.</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Amendments to the Agreement</w:t>
      </w:r>
      <w:r>
        <w:rPr>
          <w:rFonts w:ascii="Times New Roman" w:hAnsi="Times New Roman"/>
          <w:color w:val="000000"/>
          <w:sz w:val="22"/>
        </w:rPr>
        <w:t>.</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2.1 The following sentence in </w:t>
      </w:r>
      <w:r>
        <w:rPr>
          <w:rFonts w:ascii="Times New Roman" w:hAnsi="Times New Roman"/>
          <w:b/>
          <w:color w:val="000000"/>
          <w:sz w:val="22"/>
        </w:rPr>
        <w:t>Section 5.1</w:t>
      </w:r>
      <w:r>
        <w:rPr>
          <w:rFonts w:ascii="Times New Roman" w:hAnsi="Times New Roman"/>
          <w:color w:val="000000"/>
          <w:sz w:val="20"/>
        </w:rPr>
        <w:t xml:space="preserve"> </w:t>
      </w:r>
      <w:r>
        <w:rPr>
          <w:rFonts w:ascii="Times New Roman" w:hAnsi="Times New Roman"/>
          <w:color w:val="000000"/>
          <w:sz w:val="22"/>
        </w:rPr>
        <w:t>of the Agreement:</w:t>
      </w:r>
    </w:p>
    <w:p>
      <w:pPr>
        <w:pStyle w:val="TextBody"/>
        <w:bidi w:val="0"/>
        <w:spacing w:before="0" w:after="160"/>
        <w:jc w:val="left"/>
        <w:rPr>
          <w:color w:val="000000"/>
        </w:rPr>
      </w:pPr>
      <w:r>
        <w:rPr>
          <w:color w:val="000000"/>
        </w:rPr>
        <w:t>“</w:t>
      </w:r>
      <w:r>
        <w:rPr>
          <w:rFonts w:ascii="Times New Roman" w:hAnsi="Times New Roman"/>
          <w:color w:val="000000"/>
          <w:sz w:val="22"/>
        </w:rPr>
        <w:t>Upon delivery to MannKind, AFP shall ensure Product will have a remaining expiry date of not less than four (4) years.”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Is amended and replaced in its entirety with the following:</w:t>
      </w:r>
    </w:p>
    <w:p>
      <w:pPr>
        <w:pStyle w:val="TextBody"/>
        <w:bidi w:val="0"/>
        <w:spacing w:before="0" w:after="160"/>
        <w:jc w:val="left"/>
        <w:rPr>
          <w:color w:val="000000"/>
        </w:rPr>
      </w:pPr>
      <w:r>
        <w:rPr>
          <w:color w:val="000000"/>
        </w:rPr>
        <w:t>“</w:t>
      </w:r>
      <w:r>
        <w:rPr>
          <w:rFonts w:ascii="Times New Roman" w:hAnsi="Times New Roman"/>
          <w:color w:val="000000"/>
          <w:sz w:val="22"/>
        </w:rPr>
        <w:t>In calendar year 2017 and 2018, upon delivery to MannKind, Amphastar shall ensure that Product will have a remaining expiry date of not less than two (2) years. In calendar year 2019 and the remainder of the term of the Agreement, Amphastar shall ensure Product will have a remaining expiry date of not less than three (3) years.”</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2.2 The following sentence in </w:t>
      </w:r>
      <w:r>
        <w:rPr>
          <w:rFonts w:ascii="Times New Roman" w:hAnsi="Times New Roman"/>
          <w:b/>
          <w:color w:val="000000"/>
          <w:sz w:val="22"/>
        </w:rPr>
        <w:t>Section 6.1</w:t>
      </w:r>
      <w:r>
        <w:rPr>
          <w:rFonts w:ascii="Times New Roman" w:hAnsi="Times New Roman"/>
          <w:color w:val="000000"/>
          <w:sz w:val="20"/>
        </w:rPr>
        <w:t xml:space="preserve"> </w:t>
      </w:r>
      <w:r>
        <w:rPr>
          <w:rFonts w:ascii="Times New Roman" w:hAnsi="Times New Roman"/>
          <w:color w:val="000000"/>
          <w:sz w:val="22"/>
        </w:rPr>
        <w:t>of the Agreement:</w:t>
      </w:r>
    </w:p>
    <w:p>
      <w:pPr>
        <w:pStyle w:val="TextBody"/>
        <w:bidi w:val="0"/>
        <w:spacing w:before="0" w:after="160"/>
        <w:jc w:val="left"/>
        <w:rPr/>
      </w:pPr>
      <w:r>
        <w:rPr>
          <w:color w:val="000000"/>
        </w:rPr>
        <w:t>“</w:t>
      </w:r>
      <w:r>
        <w:rPr>
          <w:rFonts w:ascii="Times New Roman" w:hAnsi="Times New Roman"/>
          <w:b/>
          <w:color w:val="000000"/>
          <w:sz w:val="22"/>
        </w:rPr>
        <w:t>Purchase Commitment and Purchase Price</w:t>
      </w:r>
      <w:r>
        <w:rPr>
          <w:rFonts w:ascii="Times New Roman" w:hAnsi="Times New Roman"/>
          <w:color w:val="000000"/>
          <w:sz w:val="22"/>
        </w:rPr>
        <w:t>. MannKind shall purchase from AFP the minimum quantities of Product (the “</w:t>
      </w:r>
      <w:r>
        <w:rPr>
          <w:rFonts w:ascii="Times New Roman" w:hAnsi="Times New Roman"/>
          <w:b/>
          <w:i/>
          <w:color w:val="000000"/>
          <w:sz w:val="22"/>
        </w:rPr>
        <w:t>Purchase Commitment Quantities</w:t>
      </w:r>
      <w:r>
        <w:rPr>
          <w:rFonts w:ascii="Times New Roman" w:hAnsi="Times New Roman"/>
          <w:color w:val="000000"/>
          <w:sz w:val="20"/>
        </w:rPr>
        <w:t>”</w:t>
      </w:r>
      <w:r>
        <w:rPr>
          <w:rFonts w:ascii="Times New Roman" w:hAnsi="Times New Roman"/>
          <w:color w:val="000000"/>
          <w:sz w:val="22"/>
        </w:rPr>
        <w:t>) at the purchase price per gram (the “</w:t>
      </w:r>
      <w:r>
        <w:rPr>
          <w:rFonts w:ascii="Times New Roman" w:hAnsi="Times New Roman"/>
          <w:b/>
          <w:i/>
          <w:color w:val="000000"/>
          <w:sz w:val="22"/>
        </w:rPr>
        <w:t>Purchase Price</w:t>
      </w:r>
      <w:r>
        <w:rPr>
          <w:rFonts w:ascii="Times New Roman" w:hAnsi="Times New Roman"/>
          <w:color w:val="000000"/>
          <w:sz w:val="20"/>
        </w:rPr>
        <w:t>”</w:t>
      </w:r>
      <w:r>
        <w:rPr>
          <w:rFonts w:ascii="Times New Roman" w:hAnsi="Times New Roman"/>
          <w:color w:val="000000"/>
          <w:sz w:val="22"/>
        </w:rPr>
        <w:t>) in each calendar year as provided in the table set forth below. In the event that MannKind fails to meet the Purchase Commitment Quantities in any given calendar year, MannKind shall pay AFP for the difference in the amount of the Purchase Commitment Quantities and the actual amount purchased for the corresponding calendar year (such difference, the “</w:t>
      </w:r>
      <w:r>
        <w:rPr>
          <w:rFonts w:ascii="Times New Roman" w:hAnsi="Times New Roman"/>
          <w:b/>
          <w:i/>
          <w:color w:val="000000"/>
          <w:sz w:val="22"/>
        </w:rPr>
        <w:t>Purchase Commitment Difference</w:t>
      </w:r>
      <w:r>
        <w:rPr>
          <w:rFonts w:ascii="Times New Roman" w:hAnsi="Times New Roman"/>
          <w:color w:val="000000"/>
          <w:sz w:val="20"/>
        </w:rPr>
        <w:t>”</w:t>
      </w:r>
      <w:r>
        <w:rPr>
          <w:rFonts w:ascii="Times New Roman" w:hAnsi="Times New Roman"/>
          <w:color w:val="000000"/>
          <w:sz w:val="22"/>
        </w:rPr>
        <w:t>). AFP shall issue an invoice and MannKind shall pay the Purchase Commitment Difference no later than thirty (30) days after the close of the corresponding calendar year.”</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is amended and replaced in its entirety with the following:</w:t>
      </w:r>
    </w:p>
    <w:p>
      <w:pPr>
        <w:pStyle w:val="TextBody"/>
        <w:pBdr>
          <w:bottom w:val="single" w:sz="8" w:space="1" w:color="999999"/>
        </w:pBdr>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Times New Roman" w:hAnsi="Times New Roman"/>
          <w:b/>
          <w:color w:val="000000"/>
          <w:sz w:val="22"/>
        </w:rPr>
        <w:t>Purchase Commitment and Purchase Price</w:t>
      </w:r>
      <w:r>
        <w:rPr>
          <w:rFonts w:ascii="Times New Roman" w:hAnsi="Times New Roman"/>
          <w:color w:val="000000"/>
          <w:sz w:val="22"/>
        </w:rPr>
        <w:t>. MannKind shall purchase from Amphastar the minimum quantities of Product (the “</w:t>
      </w:r>
      <w:r>
        <w:rPr>
          <w:rFonts w:ascii="Times New Roman" w:hAnsi="Times New Roman"/>
          <w:b/>
          <w:i/>
          <w:color w:val="000000"/>
          <w:sz w:val="22"/>
        </w:rPr>
        <w:t>Purchase Commitment Quantities</w:t>
      </w:r>
      <w:r>
        <w:rPr>
          <w:rFonts w:ascii="Times New Roman" w:hAnsi="Times New Roman"/>
          <w:color w:val="000000"/>
          <w:sz w:val="20"/>
        </w:rPr>
        <w:t>”</w:t>
      </w:r>
      <w:r>
        <w:rPr>
          <w:rFonts w:ascii="Times New Roman" w:hAnsi="Times New Roman"/>
          <w:color w:val="000000"/>
          <w:sz w:val="22"/>
        </w:rPr>
        <w:t>) at the purchase price per gram (the “</w:t>
      </w:r>
      <w:r>
        <w:rPr>
          <w:rFonts w:ascii="Times New Roman" w:hAnsi="Times New Roman"/>
          <w:b/>
          <w:i/>
          <w:color w:val="000000"/>
          <w:sz w:val="22"/>
        </w:rPr>
        <w:t>Purchase Price</w:t>
      </w:r>
      <w:r>
        <w:rPr>
          <w:rFonts w:ascii="Times New Roman" w:hAnsi="Times New Roman"/>
          <w:color w:val="000000"/>
          <w:sz w:val="20"/>
        </w:rPr>
        <w:t>”</w:t>
      </w:r>
      <w:r>
        <w:rPr>
          <w:rFonts w:ascii="Times New Roman" w:hAnsi="Times New Roman"/>
          <w:color w:val="000000"/>
          <w:sz w:val="22"/>
        </w:rPr>
        <w:t>) in each calendar year as provided in the table set forth below. This annual Purchase Commitment Quantities will be divided into four (4) equal quarterly commitments (the “</w:t>
      </w:r>
      <w:r>
        <w:rPr>
          <w:rFonts w:ascii="Times New Roman" w:hAnsi="Times New Roman"/>
          <w:b/>
          <w:i/>
          <w:color w:val="000000"/>
          <w:sz w:val="22"/>
        </w:rPr>
        <w:t>Quarterly Commitment</w:t>
      </w:r>
      <w:r>
        <w:rPr>
          <w:rFonts w:ascii="Times New Roman" w:hAnsi="Times New Roman"/>
          <w:color w:val="000000"/>
          <w:sz w:val="20"/>
        </w:rPr>
        <w:t>”</w:t>
      </w:r>
      <w:r>
        <w:rPr>
          <w:rFonts w:ascii="Times New Roman" w:hAnsi="Times New Roman"/>
          <w:color w:val="000000"/>
          <w:sz w:val="22"/>
        </w:rPr>
        <w:t>). In the event that MannKind fails to meet the Quarterly Commitment in any given calendar quarter, MannKind shall pay Amphastar for the difference in the amount of the Quarterly Commitment and the actual amount purchased for the corresponding calendar quarter (such difference, the “</w:t>
      </w:r>
      <w:r>
        <w:rPr>
          <w:rFonts w:ascii="Times New Roman" w:hAnsi="Times New Roman"/>
          <w:b/>
          <w:i/>
          <w:color w:val="000000"/>
          <w:sz w:val="22"/>
        </w:rPr>
        <w:t>Payment Commitment Difference</w:t>
      </w:r>
      <w:r>
        <w:rPr>
          <w:rFonts w:ascii="Times New Roman" w:hAnsi="Times New Roman"/>
          <w:color w:val="000000"/>
          <w:sz w:val="20"/>
        </w:rPr>
        <w:t>”</w:t>
      </w:r>
      <w:r>
        <w:rPr>
          <w:rFonts w:ascii="Times New Roman" w:hAnsi="Times New Roman"/>
          <w:color w:val="000000"/>
          <w:sz w:val="22"/>
        </w:rPr>
        <w:t>). Amphastar shall issue an invoice and MannKind shall pay the Payment Commitment Difference no later than thirty (30) days after the close of the corresponding calendar quarter. Notwithstanding the foregoing, the parties hereby agree that the Purchase Commitment Quantities for 2017 shall not be divided into four (4) equal quarterly payments but rather MannKind shall take receipt of the entire [***] Kgs of Product in the fourth (4</w:t>
      </w:r>
      <w:r>
        <w:rPr>
          <w:rFonts w:ascii="Times New Roman" w:hAnsi="Times New Roman"/>
          <w:color w:val="000000"/>
          <w:sz w:val="15"/>
        </w:rPr>
        <w:t>th</w:t>
      </w:r>
      <w:r>
        <w:rPr>
          <w:rFonts w:ascii="Times New Roman" w:hAnsi="Times New Roman"/>
          <w:color w:val="000000"/>
          <w:sz w:val="22"/>
        </w:rPr>
        <w:t>) quarter of 2017 but no later than November 15, 2017.</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2.3 The table in Section 6.1 of the Agreement is amended and replaced in its entirety with the following:</w:t>
      </w:r>
    </w:p>
    <w:tbl>
      <w:tblPr>
        <w:tblW w:w="10205" w:type="dxa"/>
        <w:jc w:val="left"/>
        <w:tblInd w:w="0" w:type="dxa"/>
        <w:tblLayout w:type="fixed"/>
        <w:tblCellMar>
          <w:top w:w="28" w:type="dxa"/>
          <w:left w:w="28" w:type="dxa"/>
          <w:bottom w:w="28" w:type="dxa"/>
          <w:right w:w="28" w:type="dxa"/>
        </w:tblCellMar>
      </w:tblPr>
      <w:tblGrid>
        <w:gridCol w:w="961"/>
        <w:gridCol w:w="146"/>
        <w:gridCol w:w="1800"/>
        <w:gridCol w:w="146"/>
        <w:gridCol w:w="1225"/>
        <w:gridCol w:w="146"/>
        <w:gridCol w:w="578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160"/>
              <w:jc w:val="left"/>
              <w:rPr/>
            </w:pPr>
            <w:r>
              <w:rPr/>
              <w:t> </w:t>
            </w:r>
          </w:p>
        </w:tc>
        <w:tc>
          <w:tcPr>
            <w:tcW w:w="146" w:type="dxa"/>
            <w:tcBorders/>
            <w:vAlign w:val="center"/>
          </w:tcPr>
          <w:p>
            <w:pPr>
              <w:pStyle w:val="TableContents"/>
              <w:bidi w:val="0"/>
              <w:spacing w:before="0" w:after="160"/>
              <w:jc w:val="left"/>
              <w:rPr/>
            </w:pPr>
            <w:r>
              <w:rPr/>
              <w:t> </w:t>
            </w:r>
          </w:p>
        </w:tc>
        <w:tc>
          <w:tcPr>
            <w:tcW w:w="1800" w:type="dxa"/>
            <w:tcBorders/>
            <w:vAlign w:val="center"/>
          </w:tcPr>
          <w:p>
            <w:pPr>
              <w:pStyle w:val="TableContents"/>
              <w:bidi w:val="0"/>
              <w:spacing w:before="0" w:after="160"/>
              <w:jc w:val="left"/>
              <w:rPr/>
            </w:pPr>
            <w:r>
              <w:rPr/>
              <w:t> </w:t>
            </w:r>
          </w:p>
        </w:tc>
        <w:tc>
          <w:tcPr>
            <w:tcW w:w="146" w:type="dxa"/>
            <w:tcBorders/>
            <w:vAlign w:val="center"/>
          </w:tcPr>
          <w:p>
            <w:pPr>
              <w:pStyle w:val="TableContents"/>
              <w:bidi w:val="0"/>
              <w:spacing w:before="0" w:after="160"/>
              <w:jc w:val="left"/>
              <w:rPr/>
            </w:pPr>
            <w:r>
              <w:rPr/>
              <w:t> </w:t>
            </w:r>
          </w:p>
        </w:tc>
        <w:tc>
          <w:tcPr>
            <w:tcW w:w="1225" w:type="dxa"/>
            <w:tcBorders/>
            <w:vAlign w:val="center"/>
          </w:tcPr>
          <w:p>
            <w:pPr>
              <w:pStyle w:val="TableContents"/>
              <w:bidi w:val="0"/>
              <w:spacing w:before="0" w:after="160"/>
              <w:jc w:val="left"/>
              <w:rPr/>
            </w:pPr>
            <w:r>
              <w:rPr/>
              <w:t> </w:t>
            </w:r>
          </w:p>
        </w:tc>
        <w:tc>
          <w:tcPr>
            <w:tcW w:w="146" w:type="dxa"/>
            <w:tcBorders/>
            <w:vAlign w:val="center"/>
          </w:tcPr>
          <w:p>
            <w:pPr>
              <w:pStyle w:val="TableContents"/>
              <w:bidi w:val="0"/>
              <w:spacing w:before="0" w:after="160"/>
              <w:jc w:val="left"/>
              <w:rPr/>
            </w:pPr>
            <w:r>
              <w:rPr/>
              <w:t> </w:t>
            </w:r>
          </w:p>
        </w:tc>
        <w:tc>
          <w:tcPr>
            <w:tcW w:w="5781" w:type="dxa"/>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Calendar</w:t>
              <w:br/>
              <w:t>Year</w:t>
            </w:r>
          </w:p>
        </w:tc>
        <w:tc>
          <w:tcPr>
            <w:tcW w:w="146" w:type="dxa"/>
            <w:tcBorders/>
            <w:vAlign w:val="center"/>
          </w:tcPr>
          <w:p>
            <w:pPr>
              <w:pStyle w:val="TableContents"/>
              <w:bidi w:val="0"/>
              <w:spacing w:before="0" w:after="283"/>
              <w:jc w:val="left"/>
              <w:rPr>
                <w:sz w:val="4"/>
                <w:szCs w:val="4"/>
              </w:rPr>
            </w:pPr>
            <w:r>
              <w:rPr>
                <w:sz w:val="4"/>
                <w:szCs w:val="4"/>
              </w:rPr>
            </w:r>
          </w:p>
        </w:tc>
        <w:tc>
          <w:tcPr>
            <w:tcW w:w="1800" w:type="dxa"/>
            <w:tcBorders>
              <w:bottom w:val="single" w:sz="8" w:space="0" w:color="000000"/>
            </w:tcBorders>
            <w:tcMar>
              <w:top w:w="0" w:type="dxa"/>
              <w:left w:w="0" w:type="dxa"/>
              <w:right w:w="0" w:type="dxa"/>
            </w:tcMar>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Purchase Commitment</w:t>
              <w:br/>
              <w:t>Quantities (kg)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tcBorders>
              <w:bottom w:val="single" w:sz="8" w:space="0" w:color="000000"/>
            </w:tcBorders>
            <w:tcMar>
              <w:top w:w="0" w:type="dxa"/>
              <w:left w:w="0" w:type="dxa"/>
              <w:right w:w="0" w:type="dxa"/>
            </w:tcMar>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Purchase Price</w:t>
              <w:br/>
              <w:t>(per gram)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81" w:type="dxa"/>
            <w:tcBorders>
              <w:bottom w:val="single" w:sz="8" w:space="0" w:color="000000"/>
            </w:tcBorders>
            <w:tcMar>
              <w:top w:w="0" w:type="dxa"/>
              <w:left w:w="0" w:type="dxa"/>
              <w:right w:w="0" w:type="dxa"/>
            </w:tcMar>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Delivery and Payment</w:t>
            </w:r>
          </w:p>
        </w:tc>
      </w:tr>
      <w:tr>
        <w:trPr/>
        <w:tc>
          <w:tcPr>
            <w:tcW w:w="961" w:type="dxa"/>
            <w:tcBorders/>
            <w:vAlign w:val="center"/>
          </w:tcPr>
          <w:p>
            <w:pPr>
              <w:pStyle w:val="TableContents"/>
              <w:bidi w:val="0"/>
              <w:spacing w:before="0" w:after="160"/>
              <w:jc w:val="left"/>
              <w:rPr/>
            </w:pPr>
            <w:r>
              <w:rPr/>
              <w:t> </w:t>
            </w:r>
          </w:p>
        </w:tc>
        <w:tc>
          <w:tcPr>
            <w:tcW w:w="1946" w:type="dxa"/>
            <w:gridSpan w:val="2"/>
            <w:tcBorders/>
            <w:vAlign w:val="center"/>
          </w:tcPr>
          <w:p>
            <w:pPr>
              <w:pStyle w:val="TableContents"/>
              <w:bidi w:val="0"/>
              <w:spacing w:before="0" w:after="160"/>
              <w:jc w:val="left"/>
              <w:rPr/>
            </w:pPr>
            <w:r>
              <w:rPr/>
              <w:t> </w:t>
            </w:r>
          </w:p>
        </w:tc>
        <w:tc>
          <w:tcPr>
            <w:tcW w:w="1371" w:type="dxa"/>
            <w:gridSpan w:val="2"/>
            <w:tcBorders/>
            <w:vAlign w:val="center"/>
          </w:tcPr>
          <w:p>
            <w:pPr>
              <w:pStyle w:val="TableContents"/>
              <w:bidi w:val="0"/>
              <w:spacing w:before="0" w:after="160"/>
              <w:jc w:val="left"/>
              <w:rPr/>
            </w:pPr>
            <w:r>
              <w:rPr/>
              <w:t> </w:t>
            </w:r>
          </w:p>
        </w:tc>
        <w:tc>
          <w:tcPr>
            <w:tcW w:w="5927" w:type="dxa"/>
            <w:gridSpan w:val="2"/>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2014</w:t>
            </w:r>
          </w:p>
        </w:tc>
        <w:tc>
          <w:tcPr>
            <w:tcW w:w="14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46"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pPr>
            <w:r>
              <w:rPr/>
              <w:t> </w:t>
            </w:r>
          </w:p>
        </w:tc>
        <w:tc>
          <w:tcPr>
            <w:tcW w:w="1946" w:type="dxa"/>
            <w:gridSpan w:val="2"/>
            <w:tcBorders/>
            <w:vAlign w:val="center"/>
          </w:tcPr>
          <w:p>
            <w:pPr>
              <w:pStyle w:val="TableContents"/>
              <w:bidi w:val="0"/>
              <w:spacing w:before="0" w:after="160"/>
              <w:jc w:val="left"/>
              <w:rPr/>
            </w:pPr>
            <w:r>
              <w:rPr/>
              <w:t> </w:t>
            </w:r>
          </w:p>
        </w:tc>
        <w:tc>
          <w:tcPr>
            <w:tcW w:w="1371" w:type="dxa"/>
            <w:gridSpan w:val="2"/>
            <w:tcBorders/>
            <w:vAlign w:val="center"/>
          </w:tcPr>
          <w:p>
            <w:pPr>
              <w:pStyle w:val="TableContents"/>
              <w:bidi w:val="0"/>
              <w:spacing w:before="0" w:after="160"/>
              <w:jc w:val="left"/>
              <w:rPr/>
            </w:pPr>
            <w:r>
              <w:rPr/>
              <w:t> </w:t>
            </w:r>
          </w:p>
        </w:tc>
        <w:tc>
          <w:tcPr>
            <w:tcW w:w="5927" w:type="dxa"/>
            <w:gridSpan w:val="2"/>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2015</w:t>
            </w:r>
          </w:p>
        </w:tc>
        <w:tc>
          <w:tcPr>
            <w:tcW w:w="14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46"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pPr>
            <w:r>
              <w:rPr/>
              <w:t> </w:t>
            </w:r>
          </w:p>
        </w:tc>
        <w:tc>
          <w:tcPr>
            <w:tcW w:w="1946" w:type="dxa"/>
            <w:gridSpan w:val="2"/>
            <w:tcBorders/>
            <w:vAlign w:val="center"/>
          </w:tcPr>
          <w:p>
            <w:pPr>
              <w:pStyle w:val="TableContents"/>
              <w:bidi w:val="0"/>
              <w:spacing w:before="0" w:after="160"/>
              <w:jc w:val="left"/>
              <w:rPr/>
            </w:pPr>
            <w:r>
              <w:rPr/>
              <w:t> </w:t>
            </w:r>
          </w:p>
        </w:tc>
        <w:tc>
          <w:tcPr>
            <w:tcW w:w="1371" w:type="dxa"/>
            <w:gridSpan w:val="2"/>
            <w:tcBorders/>
            <w:vAlign w:val="center"/>
          </w:tcPr>
          <w:p>
            <w:pPr>
              <w:pStyle w:val="TableContents"/>
              <w:bidi w:val="0"/>
              <w:spacing w:before="0" w:after="160"/>
              <w:jc w:val="left"/>
              <w:rPr/>
            </w:pPr>
            <w:r>
              <w:rPr/>
              <w:t> </w:t>
            </w:r>
          </w:p>
        </w:tc>
        <w:tc>
          <w:tcPr>
            <w:tcW w:w="5927" w:type="dxa"/>
            <w:gridSpan w:val="2"/>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2016</w:t>
            </w:r>
          </w:p>
        </w:tc>
        <w:tc>
          <w:tcPr>
            <w:tcW w:w="14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46"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pPr>
            <w:r>
              <w:rPr/>
              <w:t> </w:t>
            </w:r>
          </w:p>
        </w:tc>
        <w:tc>
          <w:tcPr>
            <w:tcW w:w="1946" w:type="dxa"/>
            <w:gridSpan w:val="2"/>
            <w:tcBorders/>
            <w:vAlign w:val="center"/>
          </w:tcPr>
          <w:p>
            <w:pPr>
              <w:pStyle w:val="TableContents"/>
              <w:bidi w:val="0"/>
              <w:spacing w:before="0" w:after="160"/>
              <w:jc w:val="left"/>
              <w:rPr/>
            </w:pPr>
            <w:r>
              <w:rPr/>
              <w:t> </w:t>
            </w:r>
          </w:p>
        </w:tc>
        <w:tc>
          <w:tcPr>
            <w:tcW w:w="1371" w:type="dxa"/>
            <w:gridSpan w:val="2"/>
            <w:tcBorders/>
            <w:vAlign w:val="center"/>
          </w:tcPr>
          <w:p>
            <w:pPr>
              <w:pStyle w:val="TableContents"/>
              <w:bidi w:val="0"/>
              <w:spacing w:before="0" w:after="160"/>
              <w:jc w:val="left"/>
              <w:rPr/>
            </w:pPr>
            <w:r>
              <w:rPr/>
              <w:t> </w:t>
            </w:r>
          </w:p>
        </w:tc>
        <w:tc>
          <w:tcPr>
            <w:tcW w:w="5927" w:type="dxa"/>
            <w:gridSpan w:val="2"/>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2017</w:t>
            </w:r>
          </w:p>
        </w:tc>
        <w:tc>
          <w:tcPr>
            <w:tcW w:w="14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46"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100% of the Purchase Commitment Quantities Payment shall be paid no later than November 5, 2017</w:t>
            </w:r>
          </w:p>
        </w:tc>
      </w:tr>
      <w:tr>
        <w:trPr/>
        <w:tc>
          <w:tcPr>
            <w:tcW w:w="961" w:type="dxa"/>
            <w:tcBorders/>
            <w:vAlign w:val="center"/>
          </w:tcPr>
          <w:p>
            <w:pPr>
              <w:pStyle w:val="TableContents"/>
              <w:bidi w:val="0"/>
              <w:spacing w:before="0" w:after="160"/>
              <w:jc w:val="left"/>
              <w:rPr/>
            </w:pPr>
            <w:r>
              <w:rPr/>
              <w:t> </w:t>
            </w:r>
          </w:p>
        </w:tc>
        <w:tc>
          <w:tcPr>
            <w:tcW w:w="1946" w:type="dxa"/>
            <w:gridSpan w:val="2"/>
            <w:tcBorders/>
            <w:vAlign w:val="center"/>
          </w:tcPr>
          <w:p>
            <w:pPr>
              <w:pStyle w:val="TableContents"/>
              <w:bidi w:val="0"/>
              <w:spacing w:before="0" w:after="160"/>
              <w:jc w:val="left"/>
              <w:rPr/>
            </w:pPr>
            <w:r>
              <w:rPr/>
              <w:t> </w:t>
            </w:r>
          </w:p>
        </w:tc>
        <w:tc>
          <w:tcPr>
            <w:tcW w:w="1371" w:type="dxa"/>
            <w:gridSpan w:val="2"/>
            <w:tcBorders/>
            <w:vAlign w:val="center"/>
          </w:tcPr>
          <w:p>
            <w:pPr>
              <w:pStyle w:val="TableContents"/>
              <w:bidi w:val="0"/>
              <w:spacing w:before="0" w:after="160"/>
              <w:jc w:val="left"/>
              <w:rPr/>
            </w:pPr>
            <w:r>
              <w:rPr/>
              <w:t> </w:t>
            </w:r>
          </w:p>
        </w:tc>
        <w:tc>
          <w:tcPr>
            <w:tcW w:w="5927" w:type="dxa"/>
            <w:gridSpan w:val="2"/>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2018</w:t>
            </w:r>
          </w:p>
        </w:tc>
        <w:tc>
          <w:tcPr>
            <w:tcW w:w="14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46"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25% of the Purchase Commitment Quantities shall be paid on a Quarterly basis</w:t>
            </w:r>
          </w:p>
        </w:tc>
      </w:tr>
      <w:tr>
        <w:trPr/>
        <w:tc>
          <w:tcPr>
            <w:tcW w:w="961" w:type="dxa"/>
            <w:tcBorders/>
            <w:vAlign w:val="center"/>
          </w:tcPr>
          <w:p>
            <w:pPr>
              <w:pStyle w:val="TableContents"/>
              <w:bidi w:val="0"/>
              <w:spacing w:before="0" w:after="160"/>
              <w:jc w:val="left"/>
              <w:rPr/>
            </w:pPr>
            <w:r>
              <w:rPr/>
              <w:t> </w:t>
            </w:r>
          </w:p>
        </w:tc>
        <w:tc>
          <w:tcPr>
            <w:tcW w:w="1946" w:type="dxa"/>
            <w:gridSpan w:val="2"/>
            <w:tcBorders/>
            <w:vAlign w:val="center"/>
          </w:tcPr>
          <w:p>
            <w:pPr>
              <w:pStyle w:val="TableContents"/>
              <w:bidi w:val="0"/>
              <w:spacing w:before="0" w:after="160"/>
              <w:jc w:val="left"/>
              <w:rPr/>
            </w:pPr>
            <w:r>
              <w:rPr/>
              <w:t> </w:t>
            </w:r>
          </w:p>
        </w:tc>
        <w:tc>
          <w:tcPr>
            <w:tcW w:w="1371" w:type="dxa"/>
            <w:gridSpan w:val="2"/>
            <w:tcBorders/>
            <w:vAlign w:val="center"/>
          </w:tcPr>
          <w:p>
            <w:pPr>
              <w:pStyle w:val="TableContents"/>
              <w:bidi w:val="0"/>
              <w:spacing w:before="0" w:after="160"/>
              <w:jc w:val="left"/>
              <w:rPr/>
            </w:pPr>
            <w:r>
              <w:rPr/>
              <w:t> </w:t>
            </w:r>
          </w:p>
        </w:tc>
        <w:tc>
          <w:tcPr>
            <w:tcW w:w="5927" w:type="dxa"/>
            <w:gridSpan w:val="2"/>
            <w:tcBorders/>
            <w:vAlign w:val="center"/>
          </w:tcPr>
          <w:p>
            <w:pPr>
              <w:pStyle w:val="TableContents"/>
              <w:bidi w:val="0"/>
              <w:spacing w:before="0" w:after="160"/>
              <w:jc w:val="left"/>
              <w:rPr/>
            </w:pPr>
            <w:r>
              <w:rPr/>
              <w:t> </w:t>
            </w:r>
          </w:p>
        </w:tc>
      </w:tr>
      <w:tr>
        <w:trPr/>
        <w:tc>
          <w:tcPr>
            <w:tcW w:w="96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2019</w:t>
            </w:r>
          </w:p>
        </w:tc>
        <w:tc>
          <w:tcPr>
            <w:tcW w:w="14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46"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25% of the Purchase Commitment Quantities shall be paid on a Quarterly basis</w:t>
            </w:r>
          </w:p>
        </w:tc>
      </w:tr>
      <w:tr>
        <w:trPr/>
        <w:tc>
          <w:tcPr>
            <w:tcW w:w="961" w:type="dxa"/>
            <w:tcBorders/>
            <w:vAlign w:val="center"/>
          </w:tcPr>
          <w:p>
            <w:pPr>
              <w:pStyle w:val="TableContents"/>
              <w:bidi w:val="0"/>
              <w:spacing w:before="0" w:after="160"/>
              <w:jc w:val="left"/>
              <w:rPr/>
            </w:pPr>
            <w:r>
              <w:rPr/>
              <w:t> </w:t>
            </w:r>
          </w:p>
        </w:tc>
        <w:tc>
          <w:tcPr>
            <w:tcW w:w="1946" w:type="dxa"/>
            <w:gridSpan w:val="2"/>
            <w:tcBorders/>
            <w:vAlign w:val="center"/>
          </w:tcPr>
          <w:p>
            <w:pPr>
              <w:pStyle w:val="TableContents"/>
              <w:bidi w:val="0"/>
              <w:spacing w:before="0" w:after="160"/>
              <w:jc w:val="left"/>
              <w:rPr/>
            </w:pPr>
            <w:r>
              <w:rPr/>
              <w:t> </w:t>
            </w:r>
          </w:p>
        </w:tc>
        <w:tc>
          <w:tcPr>
            <w:tcW w:w="1371" w:type="dxa"/>
            <w:gridSpan w:val="2"/>
            <w:tcBorders/>
            <w:vAlign w:val="center"/>
          </w:tcPr>
          <w:p>
            <w:pPr>
              <w:pStyle w:val="TableContents"/>
              <w:bidi w:val="0"/>
              <w:spacing w:before="0" w:after="160"/>
              <w:jc w:val="left"/>
              <w:rPr/>
            </w:pPr>
            <w:r>
              <w:rPr/>
              <w:t> </w:t>
            </w:r>
          </w:p>
        </w:tc>
        <w:tc>
          <w:tcPr>
            <w:tcW w:w="5927" w:type="dxa"/>
            <w:gridSpan w:val="2"/>
            <w:tcBorders/>
            <w:vAlign w:val="center"/>
          </w:tcPr>
          <w:p>
            <w:pPr>
              <w:pStyle w:val="TableContents"/>
              <w:bidi w:val="0"/>
              <w:spacing w:before="0" w:after="160"/>
              <w:jc w:val="left"/>
              <w:rPr/>
            </w:pPr>
            <w:r>
              <w:rPr/>
              <w:t> </w:t>
            </w:r>
          </w:p>
        </w:tc>
      </w:tr>
    </w:tbl>
    <w:p>
      <w:pPr>
        <w:pStyle w:val="HorizontalLine"/>
        <w:pBdr>
          <w:bottom w:val="double" w:sz="2" w:space="0" w:color="808080"/>
        </w:pBdr>
        <w:bidi w:val="0"/>
        <w:spacing w:before="0" w:after="283"/>
        <w:jc w:val="left"/>
        <w:rPr/>
      </w:pPr>
      <w:r>
        <w:rPr/>
      </w:r>
    </w:p>
    <w:tbl>
      <w:tblPr>
        <w:tblW w:w="10201" w:type="dxa"/>
        <w:jc w:val="left"/>
        <w:tblInd w:w="0" w:type="dxa"/>
        <w:tblLayout w:type="fixed"/>
        <w:tblCellMar>
          <w:top w:w="28" w:type="dxa"/>
          <w:left w:w="28" w:type="dxa"/>
          <w:bottom w:w="28" w:type="dxa"/>
          <w:right w:w="28" w:type="dxa"/>
        </w:tblCellMar>
      </w:tblPr>
      <w:tblGrid>
        <w:gridCol w:w="601"/>
        <w:gridCol w:w="109"/>
        <w:gridCol w:w="616"/>
        <w:gridCol w:w="109"/>
        <w:gridCol w:w="1126"/>
        <w:gridCol w:w="109"/>
        <w:gridCol w:w="7531"/>
      </w:tblGrid>
      <w:tr>
        <w:trPr/>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283"/>
              <w:jc w:val="left"/>
              <w:rPr>
                <w:sz w:val="4"/>
                <w:szCs w:val="4"/>
              </w:rPr>
            </w:pPr>
            <w:r>
              <w:rPr>
                <w:sz w:val="4"/>
                <w:szCs w:val="4"/>
              </w:rPr>
            </w:r>
          </w:p>
        </w:tc>
      </w:tr>
      <w:tr>
        <w:trPr/>
        <w:tc>
          <w:tcPr>
            <w:tcW w:w="60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2020</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09"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25% of the Purchase Commitment Quantities shall be paid on a Quarterly basis</w:t>
            </w:r>
          </w:p>
        </w:tc>
      </w:tr>
      <w:tr>
        <w:trPr/>
        <w:tc>
          <w:tcPr>
            <w:tcW w:w="601" w:type="dxa"/>
            <w:tcBorders/>
            <w:vAlign w:val="center"/>
          </w:tcPr>
          <w:p>
            <w:pPr>
              <w:pStyle w:val="TableContents"/>
              <w:bidi w:val="0"/>
              <w:spacing w:before="0" w:after="160"/>
              <w:jc w:val="left"/>
              <w:rPr/>
            </w:pPr>
            <w:r>
              <w:rPr/>
              <w:t> </w:t>
            </w:r>
          </w:p>
        </w:tc>
        <w:tc>
          <w:tcPr>
            <w:tcW w:w="725" w:type="dxa"/>
            <w:gridSpan w:val="2"/>
            <w:tcBorders/>
            <w:vAlign w:val="center"/>
          </w:tcPr>
          <w:p>
            <w:pPr>
              <w:pStyle w:val="TableContents"/>
              <w:bidi w:val="0"/>
              <w:spacing w:before="0" w:after="160"/>
              <w:jc w:val="left"/>
              <w:rPr/>
            </w:pPr>
            <w:r>
              <w:rPr/>
              <w:t> </w:t>
            </w:r>
          </w:p>
        </w:tc>
        <w:tc>
          <w:tcPr>
            <w:tcW w:w="1235" w:type="dxa"/>
            <w:gridSpan w:val="2"/>
            <w:tcBorders/>
            <w:vAlign w:val="center"/>
          </w:tcPr>
          <w:p>
            <w:pPr>
              <w:pStyle w:val="TableContents"/>
              <w:bidi w:val="0"/>
              <w:spacing w:before="0" w:after="160"/>
              <w:jc w:val="left"/>
              <w:rPr/>
            </w:pPr>
            <w:r>
              <w:rPr/>
              <w:t> </w:t>
            </w:r>
          </w:p>
        </w:tc>
        <w:tc>
          <w:tcPr>
            <w:tcW w:w="7640" w:type="dxa"/>
            <w:gridSpan w:val="2"/>
            <w:tcBorders/>
            <w:vAlign w:val="center"/>
          </w:tcPr>
          <w:p>
            <w:pPr>
              <w:pStyle w:val="TableContents"/>
              <w:bidi w:val="0"/>
              <w:spacing w:before="0" w:after="160"/>
              <w:jc w:val="left"/>
              <w:rPr/>
            </w:pPr>
            <w:r>
              <w:rPr/>
              <w:t> </w:t>
            </w:r>
          </w:p>
        </w:tc>
      </w:tr>
      <w:tr>
        <w:trPr/>
        <w:tc>
          <w:tcPr>
            <w:tcW w:w="60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2021</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09"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25% of the Purchase Commitment Quantities shall be paid on a Quarterly basis</w:t>
            </w:r>
          </w:p>
        </w:tc>
      </w:tr>
      <w:tr>
        <w:trPr/>
        <w:tc>
          <w:tcPr>
            <w:tcW w:w="601" w:type="dxa"/>
            <w:tcBorders/>
            <w:vAlign w:val="center"/>
          </w:tcPr>
          <w:p>
            <w:pPr>
              <w:pStyle w:val="TableContents"/>
              <w:bidi w:val="0"/>
              <w:spacing w:before="0" w:after="160"/>
              <w:jc w:val="left"/>
              <w:rPr/>
            </w:pPr>
            <w:r>
              <w:rPr/>
              <w:t> </w:t>
            </w:r>
          </w:p>
        </w:tc>
        <w:tc>
          <w:tcPr>
            <w:tcW w:w="725" w:type="dxa"/>
            <w:gridSpan w:val="2"/>
            <w:tcBorders/>
            <w:vAlign w:val="center"/>
          </w:tcPr>
          <w:p>
            <w:pPr>
              <w:pStyle w:val="TableContents"/>
              <w:bidi w:val="0"/>
              <w:spacing w:before="0" w:after="160"/>
              <w:jc w:val="left"/>
              <w:rPr/>
            </w:pPr>
            <w:r>
              <w:rPr/>
              <w:t> </w:t>
            </w:r>
          </w:p>
        </w:tc>
        <w:tc>
          <w:tcPr>
            <w:tcW w:w="1235" w:type="dxa"/>
            <w:gridSpan w:val="2"/>
            <w:tcBorders/>
            <w:vAlign w:val="center"/>
          </w:tcPr>
          <w:p>
            <w:pPr>
              <w:pStyle w:val="TableContents"/>
              <w:bidi w:val="0"/>
              <w:spacing w:before="0" w:after="160"/>
              <w:jc w:val="left"/>
              <w:rPr/>
            </w:pPr>
            <w:r>
              <w:rPr/>
              <w:t> </w:t>
            </w:r>
          </w:p>
        </w:tc>
        <w:tc>
          <w:tcPr>
            <w:tcW w:w="7640" w:type="dxa"/>
            <w:gridSpan w:val="2"/>
            <w:tcBorders/>
            <w:vAlign w:val="center"/>
          </w:tcPr>
          <w:p>
            <w:pPr>
              <w:pStyle w:val="TableContents"/>
              <w:bidi w:val="0"/>
              <w:spacing w:before="0" w:after="160"/>
              <w:jc w:val="left"/>
              <w:rPr/>
            </w:pPr>
            <w:r>
              <w:rPr/>
              <w:t> </w:t>
            </w:r>
          </w:p>
        </w:tc>
      </w:tr>
      <w:tr>
        <w:trPr/>
        <w:tc>
          <w:tcPr>
            <w:tcW w:w="60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2022</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09"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25% of the Purchase Commitment Quantities shall be paid on a Quarterly basis</w:t>
            </w:r>
          </w:p>
        </w:tc>
      </w:tr>
      <w:tr>
        <w:trPr/>
        <w:tc>
          <w:tcPr>
            <w:tcW w:w="601" w:type="dxa"/>
            <w:tcBorders/>
            <w:vAlign w:val="center"/>
          </w:tcPr>
          <w:p>
            <w:pPr>
              <w:pStyle w:val="TableContents"/>
              <w:bidi w:val="0"/>
              <w:spacing w:before="0" w:after="160"/>
              <w:jc w:val="left"/>
              <w:rPr/>
            </w:pPr>
            <w:r>
              <w:rPr/>
              <w:t> </w:t>
            </w:r>
          </w:p>
        </w:tc>
        <w:tc>
          <w:tcPr>
            <w:tcW w:w="725" w:type="dxa"/>
            <w:gridSpan w:val="2"/>
            <w:tcBorders/>
            <w:vAlign w:val="center"/>
          </w:tcPr>
          <w:p>
            <w:pPr>
              <w:pStyle w:val="TableContents"/>
              <w:bidi w:val="0"/>
              <w:spacing w:before="0" w:after="160"/>
              <w:jc w:val="left"/>
              <w:rPr/>
            </w:pPr>
            <w:r>
              <w:rPr/>
              <w:t> </w:t>
            </w:r>
          </w:p>
        </w:tc>
        <w:tc>
          <w:tcPr>
            <w:tcW w:w="1235" w:type="dxa"/>
            <w:gridSpan w:val="2"/>
            <w:tcBorders/>
            <w:vAlign w:val="center"/>
          </w:tcPr>
          <w:p>
            <w:pPr>
              <w:pStyle w:val="TableContents"/>
              <w:bidi w:val="0"/>
              <w:spacing w:before="0" w:after="160"/>
              <w:jc w:val="left"/>
              <w:rPr/>
            </w:pPr>
            <w:r>
              <w:rPr/>
              <w:t> </w:t>
            </w:r>
          </w:p>
        </w:tc>
        <w:tc>
          <w:tcPr>
            <w:tcW w:w="7640" w:type="dxa"/>
            <w:gridSpan w:val="2"/>
            <w:tcBorders/>
            <w:vAlign w:val="center"/>
          </w:tcPr>
          <w:p>
            <w:pPr>
              <w:pStyle w:val="TableContents"/>
              <w:bidi w:val="0"/>
              <w:spacing w:before="0" w:after="160"/>
              <w:jc w:val="left"/>
              <w:rPr/>
            </w:pPr>
            <w:r>
              <w:rPr/>
              <w:t> </w:t>
            </w:r>
          </w:p>
        </w:tc>
      </w:tr>
      <w:tr>
        <w:trPr/>
        <w:tc>
          <w:tcPr>
            <w:tcW w:w="60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2023</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EUR [***]</w:t>
            </w:r>
          </w:p>
        </w:tc>
        <w:tc>
          <w:tcPr>
            <w:tcW w:w="109"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25% of the Purchase Commitment Quantities shall be paid on a Quarterly basis</w:t>
            </w:r>
          </w:p>
        </w:tc>
      </w:tr>
    </w:tbl>
    <w:p>
      <w:pPr>
        <w:pStyle w:val="TextBody"/>
        <w:bidi w:val="0"/>
        <w:spacing w:before="0" w:after="160"/>
        <w:jc w:val="center"/>
        <w:rPr>
          <w:rFonts w:ascii="Times New Roman" w:hAnsi="Times New Roman"/>
          <w:color w:val="000000"/>
          <w:sz w:val="22"/>
        </w:rPr>
      </w:pPr>
      <w:r>
        <w:rPr>
          <w:rFonts w:ascii="Times New Roman" w:hAnsi="Times New Roman"/>
          <w:color w:val="000000"/>
          <w:sz w:val="22"/>
        </w:rPr>
        <w:t>- 2 -</w:t>
      </w:r>
    </w:p>
    <w:p>
      <w:pPr>
        <w:pStyle w:val="TextBody"/>
        <w:pBdr>
          <w:bottom w:val="single" w:sz="8" w:space="1" w:color="999999"/>
        </w:pBdr>
        <w:bidi w:val="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2.4 Section 6.2 of the Agreement shall be amended and replaced in its entirety with the following:</w:t>
      </w:r>
    </w:p>
    <w:p>
      <w:pPr>
        <w:pStyle w:val="TextBody"/>
        <w:bidi w:val="0"/>
        <w:spacing w:before="0" w:after="160"/>
        <w:jc w:val="left"/>
        <w:rPr>
          <w:rFonts w:ascii="Times New Roman" w:hAnsi="Times New Roman"/>
          <w:sz w:val="20"/>
        </w:rPr>
      </w:pPr>
      <w:r>
        <w:rPr>
          <w:rFonts w:ascii="Times New Roman" w:hAnsi="Times New Roman"/>
          <w:b/>
          <w:color w:val="000000"/>
          <w:sz w:val="22"/>
        </w:rPr>
        <w:t xml:space="preserve">6.2 Payment. </w:t>
      </w:r>
      <w:r>
        <w:rPr>
          <w:rFonts w:ascii="Times New Roman" w:hAnsi="Times New Roman"/>
          <w:color w:val="000000"/>
          <w:sz w:val="22"/>
        </w:rPr>
        <w:t xml:space="preserve">In calendar year 2017 and 2018, MannKind shall pre-pay Amphastar for the Product at least ten (10) days prior to the estimated delivery date. For the avoidance of doubt, Amphastar shall not ship the Product to MannKind until such payment is received. Beginning in 2019 and for the remainder of the term of the Agreement, MannKind shall pay Amphastar for the Product within forty-five (45) days from shipment date of the Product. Amphastar shall submit an invoice electronically to MannKind, Attention: Account Payable, </w:t>
      </w:r>
      <w:r>
        <w:rPr>
          <w:rFonts w:ascii="Times New Roman" w:hAnsi="Times New Roman"/>
          <w:color w:val="000000"/>
          <w:sz w:val="22"/>
          <w:u w:val="single"/>
        </w:rPr>
        <w:t>valenciaap@mannkindcorp.com</w:t>
      </w:r>
      <w:r>
        <w:rPr>
          <w:rFonts w:ascii="Times New Roman" w:hAnsi="Times New Roman"/>
          <w:color w:val="000000"/>
          <w:sz w:val="22"/>
        </w:rPr>
        <w:t>. If any portion of an invoice is disputed then MannKind shall pay the undisputed amount and the Parties shall use good faith efforts to reconcile the disputed amount as soon as practicable.</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2.5 A new </w:t>
      </w:r>
      <w:r>
        <w:rPr>
          <w:rFonts w:ascii="Times New Roman" w:hAnsi="Times New Roman"/>
          <w:b/>
          <w:color w:val="000000"/>
          <w:sz w:val="22"/>
        </w:rPr>
        <w:t>Section 6.5</w:t>
      </w:r>
      <w:r>
        <w:rPr>
          <w:rFonts w:ascii="Times New Roman" w:hAnsi="Times New Roman"/>
          <w:color w:val="000000"/>
          <w:sz w:val="20"/>
        </w:rPr>
        <w:t xml:space="preserve"> </w:t>
      </w:r>
      <w:r>
        <w:rPr>
          <w:rFonts w:ascii="Times New Roman" w:hAnsi="Times New Roman"/>
          <w:color w:val="000000"/>
          <w:sz w:val="22"/>
        </w:rPr>
        <w:t>shall be added to the Agreement as follows:</w:t>
      </w:r>
    </w:p>
    <w:p>
      <w:pPr>
        <w:pStyle w:val="TextBody"/>
        <w:bidi w:val="0"/>
        <w:spacing w:before="0" w:after="160"/>
        <w:jc w:val="left"/>
        <w:rPr>
          <w:rFonts w:ascii="Times New Roman" w:hAnsi="Times New Roman"/>
          <w:sz w:val="20"/>
        </w:rPr>
      </w:pPr>
      <w:r>
        <w:rPr>
          <w:rFonts w:ascii="Times New Roman" w:hAnsi="Times New Roman"/>
          <w:b/>
          <w:color w:val="000000"/>
          <w:sz w:val="22"/>
        </w:rPr>
        <w:t>6.5 Right of First Refusal in China.</w:t>
      </w:r>
      <w:r>
        <w:rPr>
          <w:rFonts w:ascii="Times New Roman" w:hAnsi="Times New Roman"/>
          <w:color w:val="000000"/>
          <w:sz w:val="20"/>
        </w:rPr>
        <w:t xml:space="preserve"> </w:t>
      </w:r>
      <w:r>
        <w:rPr>
          <w:rFonts w:ascii="Times New Roman" w:hAnsi="Times New Roman"/>
          <w:color w:val="000000"/>
          <w:sz w:val="22"/>
        </w:rPr>
        <w:t>In consideration of the amendments contained in this Second Amendment and in the Option Amendment, MannKind hereby grants Amphastar the right of first refusal to participate in the development and commercialization of Afrezza in China through a collaborative arrangement. Specifically, Amphastar and MannKind agree that MannKind will not commence the process of obtaining approval of Afrezza in China without first providing Amphastar with (i) at least ninety (90) days prior written notice of MannKind’s intention to commence the process of obtaining approval of Afrezza in China, and (ii) if Amphastar confirms its interest in collaborating in the development or commercialization of Afrezza in China in writing within thirty (30) days of receipt of MannKind’s notice, then the Parties shall reserve sixty (60) days to negotiate in good faith the terms of such a collaborative arrangement for Afrezza in China. In the event that the Parties are unable to agree on commercial terms for a collaborative agreement after the sixty (60) day negotiation period, then MannKind shall have the right to negotiate a collaborative agreement with another party (“Competing Terms”). MannKind shall present the Competing Terms to Amphastar in writing, and within sixty (60) days of receipt of the Competing Terms, Amphastar shall have the option to either (i) decline to match the Competing Terms, or (ii) agree to match the same Competing Terms and enter into a collaborative agreement with MannKind in China.</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2.6 </w:t>
      </w:r>
      <w:r>
        <w:rPr>
          <w:rFonts w:ascii="Times New Roman" w:hAnsi="Times New Roman"/>
          <w:b/>
          <w:color w:val="000000"/>
          <w:sz w:val="22"/>
        </w:rPr>
        <w:t>Section 10.1</w:t>
      </w:r>
      <w:r>
        <w:rPr>
          <w:rFonts w:ascii="Times New Roman" w:hAnsi="Times New Roman"/>
          <w:color w:val="000000"/>
          <w:sz w:val="20"/>
        </w:rPr>
        <w:t xml:space="preserve"> </w:t>
      </w:r>
      <w:r>
        <w:rPr>
          <w:rFonts w:ascii="Times New Roman" w:hAnsi="Times New Roman"/>
          <w:color w:val="000000"/>
          <w:sz w:val="22"/>
        </w:rPr>
        <w:t>of the Agreement shall be extended until December 31, 2023. All other terms and conditions in paragraph 10.1 shall remain in full force and effect.</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Final Agreement</w:t>
      </w:r>
      <w:r>
        <w:rPr>
          <w:rFonts w:ascii="Times New Roman" w:hAnsi="Times New Roman"/>
          <w:color w:val="000000"/>
          <w:sz w:val="22"/>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From and after the execution of this Second Amendment, all references in the Agreement (or in the Second Amendment) to “this Agreement,” “hereof,” “herein,” “hereto,” and similar words or phrases shall mean and refer to the Agreement as amended by this Second Amendment. The Agreement as amended by this Second Amendment constitutes the entire agreement by and between the Parties as to the subject matter hereof. Except as expressly modified by this Second Amendment, all other terms and conditions of the Agreement shall remain in full force and effect.</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- 3 -</w:t>
      </w:r>
    </w:p>
    <w:p>
      <w:pPr>
        <w:pStyle w:val="TextBody"/>
        <w:pBdr>
          <w:bottom w:val="single" w:sz="8" w:space="1" w:color="999999"/>
        </w:pBdr>
        <w:bidi w:val="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IN WITNESS WHEREOF, each of MannKind and Amphastar has caused this Second Amendment to be executed by their duly authorized officers.</w:t>
      </w:r>
    </w:p>
    <w:tbl>
      <w:tblPr>
        <w:tblW w:w="3434" w:type="dxa"/>
        <w:jc w:val="left"/>
        <w:tblInd w:w="0" w:type="dxa"/>
        <w:tblLayout w:type="fixed"/>
        <w:tblCellMar>
          <w:top w:w="28" w:type="dxa"/>
          <w:left w:w="28" w:type="dxa"/>
          <w:bottom w:w="28" w:type="dxa"/>
          <w:right w:w="28" w:type="dxa"/>
        </w:tblCellMar>
      </w:tblPr>
      <w:tblGrid>
        <w:gridCol w:w="902"/>
        <w:gridCol w:w="178"/>
        <w:gridCol w:w="2354"/>
      </w:tblGrid>
      <w:tr>
        <w:trPr/>
        <w:tc>
          <w:tcPr>
            <w:tcW w:w="9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160"/>
              <w:jc w:val="left"/>
              <w:rPr/>
            </w:pPr>
            <w:r>
              <w:rPr/>
              <w:t> </w:t>
            </w:r>
          </w:p>
        </w:tc>
        <w:tc>
          <w:tcPr>
            <w:tcW w:w="178" w:type="dxa"/>
            <w:tcBorders/>
            <w:vAlign w:val="center"/>
          </w:tcPr>
          <w:p>
            <w:pPr>
              <w:pStyle w:val="TableContents"/>
              <w:bidi w:val="0"/>
              <w:spacing w:before="0" w:after="160"/>
              <w:jc w:val="left"/>
              <w:rPr/>
            </w:pPr>
            <w:r>
              <w:rPr/>
              <w:t> </w:t>
            </w:r>
          </w:p>
        </w:tc>
        <w:tc>
          <w:tcPr>
            <w:tcW w:w="2354" w:type="dxa"/>
            <w:tcBorders/>
            <w:vAlign w:val="center"/>
          </w:tcPr>
          <w:p>
            <w:pPr>
              <w:pStyle w:val="TableContents"/>
              <w:bidi w:val="0"/>
              <w:spacing w:before="0" w:after="160"/>
              <w:jc w:val="left"/>
              <w:rPr/>
            </w:pPr>
            <w:r>
              <w:rPr/>
              <w:t> </w:t>
            </w:r>
          </w:p>
        </w:tc>
      </w:tr>
      <w:tr>
        <w:trPr/>
        <w:tc>
          <w:tcPr>
            <w:tcW w:w="3434" w:type="dxa"/>
            <w:gridSpan w:val="3"/>
            <w:tcBorders/>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MannKind Corporation</w:t>
            </w:r>
          </w:p>
        </w:tc>
      </w:tr>
      <w:tr>
        <w:trPr/>
        <w:tc>
          <w:tcPr>
            <w:tcW w:w="902" w:type="dxa"/>
            <w:tcBorders/>
            <w:vAlign w:val="center"/>
          </w:tcPr>
          <w:p>
            <w:pPr>
              <w:pStyle w:val="TableContents"/>
              <w:bidi w:val="0"/>
              <w:spacing w:before="0" w:after="160"/>
              <w:jc w:val="left"/>
              <w:rPr/>
            </w:pPr>
            <w:r>
              <w:rPr/>
              <w:t> </w:t>
            </w:r>
          </w:p>
        </w:tc>
        <w:tc>
          <w:tcPr>
            <w:tcW w:w="2532" w:type="dxa"/>
            <w:gridSpan w:val="2"/>
            <w:tcBorders/>
            <w:vAlign w:val="center"/>
          </w:tcPr>
          <w:p>
            <w:pPr>
              <w:pStyle w:val="TableContents"/>
              <w:bidi w:val="0"/>
              <w:spacing w:before="0" w:after="160"/>
              <w:jc w:val="left"/>
              <w:rPr/>
            </w:pPr>
            <w:r>
              <w:rPr/>
              <w:t> </w:t>
            </w:r>
          </w:p>
        </w:tc>
      </w:tr>
      <w:tr>
        <w:trPr/>
        <w:tc>
          <w:tcPr>
            <w:tcW w:w="902"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By:</w:t>
            </w:r>
          </w:p>
        </w:tc>
        <w:tc>
          <w:tcPr>
            <w:tcW w:w="17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160"/>
              <w:jc w:val="left"/>
              <w:rPr>
                <w:rFonts w:ascii="Times New Roman" w:hAnsi="Times New Roman"/>
                <w:color w:val="000000"/>
                <w:sz w:val="22"/>
                <w:u w:val="single"/>
              </w:rPr>
            </w:pPr>
            <w:r>
              <w:rPr>
                <w:rFonts w:ascii="Times New Roman" w:hAnsi="Times New Roman"/>
                <w:color w:val="000000"/>
                <w:sz w:val="22"/>
                <w:u w:val="single"/>
              </w:rPr>
              <w:t>/s/ Matthew Pfeffer</w:t>
            </w:r>
          </w:p>
        </w:tc>
      </w:tr>
      <w:tr>
        <w:trPr/>
        <w:tc>
          <w:tcPr>
            <w:tcW w:w="902"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Name:</w:t>
            </w:r>
          </w:p>
        </w:tc>
        <w:tc>
          <w:tcPr>
            <w:tcW w:w="17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Matthew Pfeffer</w:t>
            </w:r>
          </w:p>
        </w:tc>
      </w:tr>
      <w:tr>
        <w:trPr/>
        <w:tc>
          <w:tcPr>
            <w:tcW w:w="902"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Title:</w:t>
            </w:r>
          </w:p>
        </w:tc>
        <w:tc>
          <w:tcPr>
            <w:tcW w:w="17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CEO</w:t>
            </w:r>
          </w:p>
        </w:tc>
      </w:tr>
      <w:tr>
        <w:trPr/>
        <w:tc>
          <w:tcPr>
            <w:tcW w:w="3434" w:type="dxa"/>
            <w:gridSpan w:val="3"/>
            <w:tcBorders/>
            <w:vAlign w:val="center"/>
          </w:tcPr>
          <w:p>
            <w:pPr>
              <w:pStyle w:val="TableContents"/>
              <w:bidi w:val="0"/>
              <w:spacing w:before="0" w:after="160"/>
              <w:jc w:val="left"/>
              <w:rPr/>
            </w:pPr>
            <w:r>
              <w:rPr/>
              <w:t> </w:t>
            </w:r>
          </w:p>
        </w:tc>
      </w:tr>
      <w:tr>
        <w:trPr/>
        <w:tc>
          <w:tcPr>
            <w:tcW w:w="3434" w:type="dxa"/>
            <w:gridSpan w:val="3"/>
            <w:tcBorders/>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Amphastar Pharmaceuticals, Inc.</w:t>
            </w:r>
          </w:p>
        </w:tc>
      </w:tr>
      <w:tr>
        <w:trPr/>
        <w:tc>
          <w:tcPr>
            <w:tcW w:w="902" w:type="dxa"/>
            <w:tcBorders/>
            <w:vAlign w:val="center"/>
          </w:tcPr>
          <w:p>
            <w:pPr>
              <w:pStyle w:val="TableContents"/>
              <w:bidi w:val="0"/>
              <w:spacing w:before="0" w:after="160"/>
              <w:jc w:val="left"/>
              <w:rPr/>
            </w:pPr>
            <w:r>
              <w:rPr/>
              <w:t> </w:t>
            </w:r>
          </w:p>
        </w:tc>
        <w:tc>
          <w:tcPr>
            <w:tcW w:w="2532" w:type="dxa"/>
            <w:gridSpan w:val="2"/>
            <w:tcBorders/>
            <w:vAlign w:val="center"/>
          </w:tcPr>
          <w:p>
            <w:pPr>
              <w:pStyle w:val="TableContents"/>
              <w:bidi w:val="0"/>
              <w:spacing w:before="0" w:after="160"/>
              <w:jc w:val="left"/>
              <w:rPr/>
            </w:pPr>
            <w:r>
              <w:rPr/>
              <w:t> </w:t>
            </w:r>
          </w:p>
        </w:tc>
      </w:tr>
      <w:tr>
        <w:trPr/>
        <w:tc>
          <w:tcPr>
            <w:tcW w:w="902"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By:</w:t>
            </w:r>
          </w:p>
        </w:tc>
        <w:tc>
          <w:tcPr>
            <w:tcW w:w="17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160"/>
              <w:jc w:val="left"/>
              <w:rPr>
                <w:rFonts w:ascii="Times New Roman" w:hAnsi="Times New Roman"/>
                <w:color w:val="000000"/>
                <w:sz w:val="22"/>
                <w:u w:val="single"/>
              </w:rPr>
            </w:pPr>
            <w:r>
              <w:rPr>
                <w:rFonts w:ascii="Times New Roman" w:hAnsi="Times New Roman"/>
                <w:color w:val="000000"/>
                <w:sz w:val="22"/>
                <w:u w:val="single"/>
              </w:rPr>
              <w:t>/s/ Jason Shandell</w:t>
            </w:r>
          </w:p>
        </w:tc>
      </w:tr>
      <w:tr>
        <w:trPr/>
        <w:tc>
          <w:tcPr>
            <w:tcW w:w="902"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Name:</w:t>
            </w:r>
          </w:p>
        </w:tc>
        <w:tc>
          <w:tcPr>
            <w:tcW w:w="17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Jason Shandell</w:t>
            </w:r>
          </w:p>
        </w:tc>
      </w:tr>
      <w:tr>
        <w:trPr/>
        <w:tc>
          <w:tcPr>
            <w:tcW w:w="902"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Title:</w:t>
            </w:r>
          </w:p>
        </w:tc>
        <w:tc>
          <w:tcPr>
            <w:tcW w:w="17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160"/>
              <w:jc w:val="left"/>
              <w:rPr>
                <w:rFonts w:ascii="Times New Roman" w:hAnsi="Times New Roman"/>
                <w:color w:val="000000"/>
                <w:sz w:val="22"/>
              </w:rPr>
            </w:pPr>
            <w:r>
              <w:rPr>
                <w:rFonts w:ascii="Times New Roman" w:hAnsi="Times New Roman"/>
                <w:color w:val="000000"/>
                <w:sz w:val="22"/>
              </w:rPr>
              <w:t>President</w:t>
            </w:r>
          </w:p>
        </w:tc>
      </w:tr>
    </w:tbl>
    <w:p>
      <w:pPr>
        <w:pStyle w:val="TextBody"/>
        <w:bidi w:val="0"/>
        <w:spacing w:before="0" w:after="160"/>
        <w:jc w:val="center"/>
        <w:rPr>
          <w:rFonts w:ascii="Times New Roman" w:hAnsi="Times New Roman"/>
          <w:color w:val="000000"/>
          <w:sz w:val="22"/>
        </w:rPr>
      </w:pPr>
      <w:r>
        <w:rPr>
          <w:rFonts w:ascii="Times New Roman" w:hAnsi="Times New Roman"/>
          <w:color w:val="000000"/>
          <w:sz w:val="22"/>
        </w:rPr>
        <w:t>- 4 -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b/>
          <w:color w:val="000000"/>
          <w:sz w:val="18"/>
        </w:rPr>
      </w:pPr>
      <w:bookmarkStart w:id="24" w:name="mnkd-ex10_2.htm"/>
      <w:bookmarkStart w:id="25" w:name="ksmnkdex10_2"/>
      <w:bookmarkEnd w:id="24"/>
      <w:bookmarkEnd w:id="25"/>
      <w:r>
        <w:rPr>
          <w:rFonts w:ascii="Times New Roman" w:hAnsi="Times New Roman"/>
          <w:b/>
          <w:color w:val="000000"/>
          <w:sz w:val="18"/>
        </w:rPr>
        <w:t>CERTAIN CONFIDENTIAL INFORMATION CONTAINED IN THIS DOCUMENT, MARKED BY [***], HAS BEEN OMITTED BECAUSE IT IS BOTH (I) NOT MATERIAL AND (II) IS THE TYPE THAT MANNKIND CORPORATION TREATS AS PRIVATE OR CONFIDENTIAL.</w:t>
      </w:r>
      <w:r>
        <w:br w:type="page"/>
      </w:r>
    </w:p>
    <w:p>
      <w:pPr>
        <w:pStyle w:val="TextBody"/>
        <w:bidi w:val="0"/>
        <w:spacing w:before="0" w:after="160"/>
        <w:jc w:val="right"/>
        <w:rPr>
          <w:rFonts w:ascii="Times New Roman" w:hAnsi="Times New Roman"/>
          <w:b/>
          <w:color w:val="000000"/>
          <w:sz w:val="22"/>
        </w:rPr>
      </w:pPr>
      <w:r>
        <w:rPr>
          <w:rFonts w:ascii="Times New Roman" w:hAnsi="Times New Roman"/>
          <w:b/>
          <w:color w:val="000000"/>
          <w:sz w:val="22"/>
        </w:rPr>
        <w:t>Exhibit 10.2</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THIRD AMENDMENT TO SUPPLY AGREEMENT</w:t>
      </w:r>
    </w:p>
    <w:p>
      <w:pPr>
        <w:pStyle w:val="TextBody"/>
        <w:bidi w:val="0"/>
        <w:spacing w:before="0" w:after="160"/>
        <w:jc w:val="left"/>
        <w:rPr>
          <w:rFonts w:ascii="Times New Roman" w:hAnsi="Times New Roman"/>
          <w:sz w:val="20"/>
        </w:rPr>
      </w:pPr>
      <w:r>
        <w:rPr>
          <w:rFonts w:ascii="Times New Roman" w:hAnsi="Times New Roman"/>
          <w:color w:val="000000"/>
          <w:sz w:val="22"/>
        </w:rPr>
        <w:t>This third amendment (“Third Amendment”) to the Supply Agreement by and between MannKind Corporation (“MannKind”) and Amphastar Pharmaceuticals, Inc. (“Amphastar”), originally dated July 31, 2014 and as previously amended on October 31, 2014 and November 9, 2016 (collectively, the “Agreement”), is hereby made as of the 11th day of April, 2018, by and between MannKind on the one hand, and on the other hand, Amphastar.</w:t>
      </w:r>
      <w:r>
        <w:rPr>
          <w:rFonts w:ascii="Times New Roman" w:hAnsi="Times New Roman"/>
          <w:color w:val="000000"/>
          <w:sz w:val="20"/>
        </w:rPr>
        <w:t xml:space="preserve"> </w:t>
      </w:r>
    </w:p>
    <w:p>
      <w:pPr>
        <w:pStyle w:val="TextBody"/>
        <w:bidi w:val="0"/>
        <w:spacing w:before="0" w:after="160"/>
        <w:jc w:val="center"/>
        <w:rPr>
          <w:rFonts w:ascii="Times New Roman" w:hAnsi="Times New Roman"/>
          <w:sz w:val="20"/>
        </w:rPr>
      </w:pPr>
      <w:r>
        <w:rPr>
          <w:rFonts w:ascii="Times New Roman" w:hAnsi="Times New Roman"/>
          <w:color w:val="000000"/>
          <w:sz w:val="22"/>
          <w:u w:val="single"/>
        </w:rPr>
        <w:t>RECITALS</w:t>
      </w:r>
      <w:r>
        <w:rPr>
          <w:rFonts w:ascii="Times New Roman" w:hAnsi="Times New Roman"/>
          <w:color w:val="000000"/>
          <w:sz w:val="22"/>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WHEREAS, MannKind and Amphastar entered into the Agreement pursuant to which Amphastar is to manufacture and supply the Product to MannKind, and MannKind is to purchase certain minimum quantities of the Product;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WHEREAS, any distribution or sales by MannKind of the Product or the MannKind Product made using the Product shall be limited to the Territory; and</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WHEREAS MannKind and Amphastar have determined it to be mutually beneficial to amend the Agreement as set forth herein.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NOW, THEREFORE, for good and valuable consideration, MannKind and Amphastar, hereby agree to amend the Agreement as follows:</w:t>
      </w:r>
    </w:p>
    <w:p>
      <w:pPr>
        <w:pStyle w:val="TextBody"/>
        <w:bidi w:val="0"/>
        <w:spacing w:before="0" w:after="160"/>
        <w:jc w:val="left"/>
        <w:rPr>
          <w:rFonts w:ascii="Times New Roman" w:hAnsi="Times New Roman"/>
          <w:sz w:val="20"/>
        </w:rPr>
      </w:pPr>
      <w:r>
        <w:rPr>
          <w:rFonts w:ascii="Times New Roman" w:hAnsi="Times New Roman"/>
          <w:color w:val="000000"/>
          <w:sz w:val="22"/>
        </w:rPr>
        <w:t>1.</w:t>
      </w:r>
      <w:r>
        <w:rPr>
          <w:rFonts w:ascii="Times New Roman" w:hAnsi="Times New Roman"/>
          <w:color w:val="000000"/>
          <w:sz w:val="22"/>
          <w:u w:val="single"/>
        </w:rPr>
        <w:t>Definitions</w:t>
      </w:r>
      <w:r>
        <w:rPr>
          <w:rFonts w:ascii="Times New Roman" w:hAnsi="Times New Roman"/>
          <w:color w:val="000000"/>
          <w:sz w:val="22"/>
        </w:rPr>
        <w:t>. Unless otherwise defined herein, each of the capitalized terms used in this Third Amendment shall have the definition and meaning ascribed to it in the Agreement.</w:t>
      </w:r>
    </w:p>
    <w:p>
      <w:pPr>
        <w:pStyle w:val="TextBody"/>
        <w:bidi w:val="0"/>
        <w:spacing w:before="0" w:after="160"/>
        <w:jc w:val="left"/>
        <w:rPr>
          <w:rFonts w:ascii="Times New Roman" w:hAnsi="Times New Roman"/>
          <w:sz w:val="20"/>
        </w:rPr>
      </w:pPr>
      <w:r>
        <w:rPr>
          <w:rFonts w:ascii="Times New Roman" w:hAnsi="Times New Roman"/>
          <w:color w:val="000000"/>
          <w:sz w:val="22"/>
        </w:rPr>
        <w:t>2.</w:t>
      </w:r>
      <w:r>
        <w:rPr>
          <w:rFonts w:ascii="Times New Roman" w:hAnsi="Times New Roman"/>
          <w:color w:val="000000"/>
          <w:sz w:val="22"/>
          <w:u w:val="single"/>
        </w:rPr>
        <w:t>Amendments to the Agreement</w:t>
      </w:r>
      <w:r>
        <w:rPr>
          <w:rFonts w:ascii="Times New Roman" w:hAnsi="Times New Roman"/>
          <w:color w:val="000000"/>
          <w:sz w:val="22"/>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2.1Section 1.4 of the Agreement is amended and replaced in its entirety with the following:</w:t>
      </w:r>
    </w:p>
    <w:p>
      <w:pPr>
        <w:pStyle w:val="TextBody"/>
        <w:bidi w:val="0"/>
        <w:spacing w:before="0" w:after="160"/>
        <w:jc w:val="left"/>
        <w:rPr/>
      </w:pPr>
      <w:r>
        <w:rPr>
          <w:color w:val="000000"/>
        </w:rPr>
        <w:t>“‘</w:t>
      </w:r>
      <w:r>
        <w:rPr>
          <w:rFonts w:ascii="Times New Roman" w:hAnsi="Times New Roman"/>
          <w:b/>
          <w:color w:val="000000"/>
          <w:sz w:val="22"/>
        </w:rPr>
        <w:t>Excluded Countries’</w:t>
      </w:r>
      <w:r>
        <w:rPr>
          <w:rFonts w:ascii="Times New Roman" w:hAnsi="Times New Roman"/>
          <w:color w:val="000000"/>
          <w:sz w:val="20"/>
        </w:rPr>
        <w:t xml:space="preserve"> </w:t>
      </w:r>
      <w:r>
        <w:rPr>
          <w:rFonts w:ascii="Times New Roman" w:hAnsi="Times New Roman"/>
          <w:color w:val="000000"/>
          <w:sz w:val="22"/>
        </w:rPr>
        <w:t>means [***]”</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3.</w:t>
      </w:r>
      <w:r>
        <w:rPr>
          <w:rFonts w:ascii="Times New Roman" w:hAnsi="Times New Roman"/>
          <w:color w:val="000000"/>
          <w:sz w:val="22"/>
          <w:u w:val="single"/>
        </w:rPr>
        <w:t>Final Agreement</w:t>
      </w:r>
      <w:r>
        <w:rPr>
          <w:rFonts w:ascii="Times New Roman" w:hAnsi="Times New Roman"/>
          <w:color w:val="000000"/>
          <w:sz w:val="22"/>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From and after the execution of this Third Amendment, all references in the Agreement (or in the Third Amendment) to “this Agreement,” “hereof,” “herein,” “hereto,” and similar words or phrases shall mean and refer to the Agreement as amended by this Third Amendment. The Agreement as amended by this Third Amendment constitutes the entire agreement by and between the Parties as to the subject matter hereof. Except as expressly modified by this Third Amendment, all other terms and conditions of the Agreement shall remain in full force and effect.</w:t>
      </w:r>
    </w:p>
    <w:p>
      <w:pPr>
        <w:pStyle w:val="TextBody"/>
        <w:pBdr/>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IN WITNESS WHEREOF, each of MannKind and Amphastar has caused this Third Amendment to be executed by their duly authorized officers.</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MannKind Corporation</w:t>
      </w:r>
    </w:p>
    <w:p>
      <w:pPr>
        <w:pStyle w:val="TextBody"/>
        <w:bidi w:val="0"/>
        <w:spacing w:before="0" w:after="16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2"/>
          <w:u w:val="single"/>
        </w:rPr>
        <w:t xml:space="preserve">/s/ Michael Castagna </w:t>
      </w:r>
      <w:r>
        <w:rPr>
          <w:rFonts w:ascii="Times New Roman" w:hAnsi="Times New Roman"/>
          <w:color w:val="000000"/>
          <w:sz w:val="22"/>
        </w:rPr>
        <w:t>_____________</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Name: Michael Castagna</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Title: Chief Executive Officer</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Amphastar Pharmaceuticals, Inc.</w:t>
      </w:r>
    </w:p>
    <w:p>
      <w:pPr>
        <w:pStyle w:val="TextBody"/>
        <w:bidi w:val="0"/>
        <w:spacing w:before="0" w:after="16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2"/>
          <w:u w:val="single"/>
        </w:rPr>
        <w:t xml:space="preserve">/s/ Jason Shandell </w:t>
      </w:r>
      <w:r>
        <w:rPr>
          <w:rFonts w:ascii="Times New Roman" w:hAnsi="Times New Roman"/>
          <w:color w:val="000000"/>
          <w:sz w:val="22"/>
        </w:rPr>
        <w:t>_______________</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Name: Jason Shandell</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Title: President</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b/>
          <w:color w:val="000000"/>
          <w:sz w:val="18"/>
        </w:rPr>
      </w:pPr>
      <w:bookmarkStart w:id="26" w:name="mnkd-ex10_3.htm"/>
      <w:bookmarkStart w:id="27" w:name="ksmnkdex10_3"/>
      <w:bookmarkEnd w:id="26"/>
      <w:bookmarkEnd w:id="27"/>
      <w:r>
        <w:rPr>
          <w:rFonts w:ascii="Times New Roman" w:hAnsi="Times New Roman"/>
          <w:b/>
          <w:color w:val="000000"/>
          <w:sz w:val="18"/>
        </w:rPr>
        <w:t>CERTAIN CONFIDENTIAL INFORMATION CONTAINED IN THIS DOCUMENT, MARKED BY [***], HAS BEEN OMITTED BECAUSE IT IS BOTH (I) NOT MATERIAL AND (II) IS THE TYPE THAT MANNKIND CORPORATION TREATS AS PRIVATE OR CONFIDENTIAL.</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10.3</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before="0" w:after="283"/>
              <w:jc w:val="left"/>
              <w:rPr/>
            </w:pPr>
            <w:r>
              <w:rPr/>
              <w:t> </w:t>
            </w:r>
          </w:p>
        </w:tc>
      </w:tr>
    </w:tbl>
    <w:p>
      <w:pPr>
        <w:pStyle w:val="TextBody"/>
        <w:bidi w:val="0"/>
        <w:spacing w:before="360" w:after="240"/>
        <w:jc w:val="center"/>
        <w:rPr>
          <w:rFonts w:ascii="Times New Roman" w:hAnsi="Times New Roman"/>
          <w:b/>
          <w:smallCaps/>
          <w:color w:val="000000"/>
          <w:sz w:val="24"/>
        </w:rPr>
      </w:pPr>
      <w:r>
        <w:rPr>
          <w:rFonts w:ascii="Times New Roman" w:hAnsi="Times New Roman"/>
          <w:b/>
          <w:smallCaps/>
          <w:color w:val="000000"/>
          <w:sz w:val="24"/>
        </w:rPr>
        <w:t>Research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 xml:space="preserve">Research Agreement </w:t>
      </w:r>
      <w:r>
        <w:rPr>
          <w:rFonts w:ascii="Times New Roman" w:hAnsi="Times New Roman"/>
          <w:color w:val="000000"/>
          <w:sz w:val="24"/>
        </w:rPr>
        <w:t>(the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as of September 3, 2018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xml:space="preserve">) between </w:t>
      </w:r>
      <w:r>
        <w:rPr>
          <w:rFonts w:ascii="Times New Roman" w:hAnsi="Times New Roman"/>
          <w:b/>
          <w:smallCaps/>
          <w:color w:val="000000"/>
          <w:sz w:val="24"/>
        </w:rPr>
        <w:t>MannKind Corporation</w:t>
      </w:r>
      <w:r>
        <w:rPr>
          <w:rFonts w:ascii="Times New Roman" w:hAnsi="Times New Roman"/>
          <w:color w:val="000000"/>
          <w:sz w:val="24"/>
        </w:rPr>
        <w:t>, a Delaware corporation (“</w:t>
      </w:r>
      <w:r>
        <w:rPr>
          <w:rFonts w:ascii="Times New Roman" w:hAnsi="Times New Roman"/>
          <w:b/>
          <w:i/>
          <w:color w:val="000000"/>
          <w:sz w:val="24"/>
        </w:rPr>
        <w:t>MannKind</w:t>
      </w:r>
      <w:r>
        <w:rPr>
          <w:rFonts w:ascii="Times New Roman" w:hAnsi="Times New Roman"/>
          <w:color w:val="000000"/>
          <w:sz w:val="20"/>
        </w:rPr>
        <w:t>”</w:t>
      </w:r>
      <w:r>
        <w:rPr>
          <w:rFonts w:ascii="Times New Roman" w:hAnsi="Times New Roman"/>
          <w:color w:val="000000"/>
          <w:sz w:val="24"/>
        </w:rPr>
        <w:t xml:space="preserve">), having a principal place of business at 30930 Russell Ranch Road, Suite 301, Westlake Village, California 91362, and </w:t>
      </w:r>
      <w:r>
        <w:rPr>
          <w:rFonts w:ascii="Times New Roman" w:hAnsi="Times New Roman"/>
          <w:b/>
          <w:smallCaps/>
          <w:color w:val="000000"/>
          <w:sz w:val="24"/>
        </w:rPr>
        <w:t>United Therapeutics Corporation</w:t>
      </w:r>
      <w:r>
        <w:rPr>
          <w:rFonts w:ascii="Times New Roman" w:hAnsi="Times New Roman"/>
          <w:color w:val="000000"/>
          <w:sz w:val="24"/>
        </w:rPr>
        <w:t>, a Delaware corporation (“</w:t>
      </w:r>
      <w:r>
        <w:rPr>
          <w:rFonts w:ascii="Times New Roman" w:hAnsi="Times New Roman"/>
          <w:b/>
          <w:i/>
          <w:color w:val="000000"/>
          <w:sz w:val="24"/>
        </w:rPr>
        <w:t>United Therapeutics</w:t>
      </w:r>
      <w:r>
        <w:rPr>
          <w:rFonts w:ascii="Times New Roman" w:hAnsi="Times New Roman"/>
          <w:color w:val="000000"/>
          <w:sz w:val="20"/>
        </w:rPr>
        <w:t>”</w:t>
      </w:r>
      <w:r>
        <w:rPr>
          <w:rFonts w:ascii="Times New Roman" w:hAnsi="Times New Roman"/>
          <w:color w:val="000000"/>
          <w:sz w:val="24"/>
        </w:rPr>
        <w:t>), having a principal place of business at 1040 Spring Street, Silver Spring, Maryland 20910 (each of MannKind and United Therapeutics, a “</w:t>
      </w:r>
      <w:r>
        <w:rPr>
          <w:rFonts w:ascii="Times New Roman" w:hAnsi="Times New Roman"/>
          <w:b/>
          <w:i/>
          <w:color w:val="000000"/>
          <w:sz w:val="24"/>
        </w:rPr>
        <w:t>Party</w:t>
      </w:r>
      <w:r>
        <w:rPr>
          <w:rFonts w:ascii="Times New Roman" w:hAnsi="Times New Roman"/>
          <w:color w:val="000000"/>
          <w:sz w:val="20"/>
        </w:rPr>
        <w:t xml:space="preserve">” </w:t>
      </w:r>
      <w:r>
        <w:rPr>
          <w:rFonts w:ascii="Times New Roman" w:hAnsi="Times New Roman"/>
          <w:color w:val="000000"/>
          <w:sz w:val="24"/>
        </w:rPr>
        <w:t>and together,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MannKind possesses (i) certain proprietary technology focused on the pulmonary delivery of certain pharmaceuticals, and (ii) experience and expertise with Bluetooth and WiFi components of devices;</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United Therapeutics is engaged in the development and commercialization of pharmaceutical products;</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the Parties have entered into a License and Collaboration Agreement dated September 3, 2018 (the “</w:t>
      </w:r>
      <w:r>
        <w:rPr>
          <w:rFonts w:ascii="Times New Roman" w:hAnsi="Times New Roman"/>
          <w:b/>
          <w:i/>
          <w:color w:val="000000"/>
          <w:sz w:val="24"/>
        </w:rPr>
        <w:t>LCA</w:t>
      </w:r>
      <w:r>
        <w:rPr>
          <w:rFonts w:ascii="Times New Roman" w:hAnsi="Times New Roman"/>
          <w:color w:val="000000"/>
          <w:sz w:val="20"/>
        </w:rPr>
        <w:t>”</w:t>
      </w:r>
      <w:r>
        <w:rPr>
          <w:rFonts w:ascii="Times New Roman" w:hAnsi="Times New Roman"/>
          <w:color w:val="000000"/>
          <w:sz w:val="24"/>
        </w:rPr>
        <w:t>) pursuant to which MannKind has granted to United Therapeutics certain exclusive rights and licenses to develop a specified pharmaceutical product in collaboration with MannKind and to commercialize that product;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MannKind and United Therapeutics desire to enter into this Agreement to provide the terms and conditions upon which (i) the Parties will evaluate the feasibility of formulating a Prototype Formulation (as defined below), which may have the potential for further development and commercialization under the framework established by the LCA, and (ii) MannKind will assist United Therapeutics and its collaborators in developing the hardware, software and firmware for a Bluetooth and WiFi component for United Therapeutics product.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AGREEMENT</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4"/>
        </w:rPr>
        <w:t>, in consideration for the covenants set forth below, and for other good and valuable consideration, the receipt and sufficiency of which are hereby acknowledged, the Parties agree as set forth below.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TextBody"/>
        <w:pBdr/>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aps/>
          <w:color w:val="000000"/>
          <w:sz w:val="24"/>
        </w:rPr>
        <w:t>1.</w:t>
      </w:r>
      <w:r>
        <w:rPr>
          <w:rFonts w:ascii="Times New Roman" w:hAnsi="Times New Roman"/>
          <w:b/>
          <w:smallCaps/>
          <w:color w:val="000000"/>
          <w:sz w:val="24"/>
        </w:rPr>
        <w:t>Certain Definitions.</w:t>
      </w:r>
    </w:p>
    <w:p>
      <w:pPr>
        <w:pStyle w:val="TextBody"/>
        <w:bidi w:val="0"/>
        <w:spacing w:before="0" w:after="240"/>
        <w:jc w:val="both"/>
        <w:rPr>
          <w:rFonts w:ascii="Times New Roman" w:hAnsi="Times New Roman"/>
          <w:sz w:val="20"/>
        </w:rPr>
      </w:pPr>
      <w:r>
        <w:rPr>
          <w:rFonts w:ascii="Times New Roman" w:hAnsi="Times New Roman"/>
          <w:color w:val="000000"/>
          <w:sz w:val="24"/>
        </w:rPr>
        <w:t>Certain capitalized terms not otherwise defined in this Agreement shall have the meaning given to such terms in the LCA.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 </w:t>
      </w:r>
      <w:r>
        <w:rPr>
          <w:rFonts w:ascii="Times New Roman" w:hAnsi="Times New Roman"/>
          <w:color w:val="000000"/>
          <w:sz w:val="20"/>
        </w:rPr>
        <w:t>“</w:t>
      </w:r>
      <w:r>
        <w:rPr>
          <w:rFonts w:ascii="Times New Roman" w:hAnsi="Times New Roman"/>
          <w:b/>
          <w:i/>
          <w:color w:val="000000"/>
          <w:sz w:val="24"/>
        </w:rPr>
        <w:t>Accessory Apparatus</w:t>
      </w:r>
      <w:r>
        <w:rPr>
          <w:rFonts w:ascii="Times New Roman" w:hAnsi="Times New Roman"/>
          <w:color w:val="000000"/>
          <w:sz w:val="20"/>
        </w:rPr>
        <w:t xml:space="preserve">” </w:t>
      </w:r>
      <w:r>
        <w:rPr>
          <w:rFonts w:ascii="Times New Roman" w:hAnsi="Times New Roman"/>
          <w:color w:val="000000"/>
          <w:sz w:val="24"/>
        </w:rPr>
        <w:t>shall mean an interactive apparatus that contains one or more sensors for real-time profiling of the ([***], etc.) through a Device, such as the Bluhale® apparatus.</w:t>
      </w:r>
    </w:p>
    <w:p>
      <w:pPr>
        <w:pStyle w:val="TextBody"/>
        <w:bidi w:val="0"/>
        <w:spacing w:before="0" w:after="240"/>
        <w:jc w:val="both"/>
        <w:rPr>
          <w:rFonts w:ascii="Times New Roman" w:hAnsi="Times New Roman"/>
          <w:sz w:val="20"/>
        </w:rPr>
      </w:pPr>
      <w:r>
        <w:rPr>
          <w:rFonts w:ascii="Times New Roman" w:hAnsi="Times New Roman"/>
          <w:b/>
          <w:color w:val="000000"/>
          <w:sz w:val="24"/>
        </w:rPr>
        <w:t>1.2 “</w:t>
      </w:r>
      <w:r>
        <w:rPr>
          <w:rFonts w:ascii="Times New Roman" w:hAnsi="Times New Roman"/>
          <w:b/>
          <w:i/>
          <w:color w:val="000000"/>
          <w:sz w:val="24"/>
        </w:rPr>
        <w:t>Compound</w:t>
      </w:r>
      <w:r>
        <w:rPr>
          <w:rFonts w:ascii="Times New Roman" w:hAnsi="Times New Roman"/>
          <w:color w:val="000000"/>
          <w:sz w:val="20"/>
        </w:rPr>
        <w:t xml:space="preserve">” </w:t>
      </w:r>
      <w:r>
        <w:rPr>
          <w:rFonts w:ascii="Times New Roman" w:hAnsi="Times New Roman"/>
          <w:color w:val="000000"/>
          <w:sz w:val="24"/>
        </w:rPr>
        <w:t>shall mean any active pharmaceutical ingredient that is a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 </w:t>
      </w:r>
      <w:r>
        <w:rPr>
          <w:rFonts w:ascii="Times New Roman" w:hAnsi="Times New Roman"/>
          <w:color w:val="000000"/>
          <w:sz w:val="20"/>
        </w:rPr>
        <w:t>“</w:t>
      </w:r>
      <w:r>
        <w:rPr>
          <w:rFonts w:ascii="Times New Roman" w:hAnsi="Times New Roman"/>
          <w:b/>
          <w:i/>
          <w:color w:val="000000"/>
          <w:sz w:val="24"/>
        </w:rPr>
        <w:t>Developed Technology</w:t>
      </w:r>
      <w:r>
        <w:rPr>
          <w:rFonts w:ascii="Times New Roman" w:hAnsi="Times New Roman"/>
          <w:color w:val="000000"/>
          <w:sz w:val="20"/>
        </w:rPr>
        <w:t xml:space="preserve">” </w:t>
      </w:r>
      <w:r>
        <w:rPr>
          <w:rFonts w:ascii="Times New Roman" w:hAnsi="Times New Roman"/>
          <w:color w:val="000000"/>
          <w:sz w:val="24"/>
        </w:rPr>
        <w:t>shall mean all data, results, information, materials, ideas, inventions, techniques and other technology, whether or not patentable, that are generated, developed or discovered by or on behalf of a Party in the course of performance of the Work Plans or in the assistance of the performance of such Work Plans.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 </w:t>
      </w:r>
      <w:r>
        <w:rPr>
          <w:rFonts w:ascii="Times New Roman" w:hAnsi="Times New Roman"/>
          <w:color w:val="000000"/>
          <w:sz w:val="20"/>
        </w:rPr>
        <w:t>“</w:t>
      </w:r>
      <w:r>
        <w:rPr>
          <w:rFonts w:ascii="Times New Roman" w:hAnsi="Times New Roman"/>
          <w:b/>
          <w:i/>
          <w:color w:val="000000"/>
          <w:sz w:val="24"/>
        </w:rPr>
        <w:t>Device</w:t>
      </w:r>
      <w:r>
        <w:rPr>
          <w:rFonts w:ascii="Times New Roman" w:hAnsi="Times New Roman"/>
          <w:color w:val="000000"/>
          <w:sz w:val="20"/>
        </w:rPr>
        <w:t xml:space="preserve">” </w:t>
      </w:r>
      <w:r>
        <w:rPr>
          <w:rFonts w:ascii="Times New Roman" w:hAnsi="Times New Roman"/>
          <w:color w:val="000000"/>
          <w:sz w:val="24"/>
        </w:rPr>
        <w:t>shall mean any device Controlled by MannKind through which a Formulation may be administered by inhalation, such as the Dreamboat</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24"/>
        </w:rPr>
        <w:t>inhaler and Cricket</w:t>
      </w:r>
      <w:r>
        <w:rPr>
          <w:rFonts w:ascii="Times New Roman" w:hAnsi="Times New Roman"/>
          <w:color w:val="000000"/>
          <w:sz w:val="16"/>
        </w:rPr>
        <w:t xml:space="preserve">® </w:t>
      </w:r>
      <w:r>
        <w:rPr>
          <w:rFonts w:ascii="Times New Roman" w:hAnsi="Times New Roman"/>
          <w:color w:val="000000"/>
          <w:sz w:val="24"/>
        </w:rPr>
        <w:t>inhaler.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 </w:t>
      </w:r>
      <w:r>
        <w:rPr>
          <w:rFonts w:ascii="Times New Roman" w:hAnsi="Times New Roman"/>
          <w:color w:val="000000"/>
          <w:sz w:val="20"/>
        </w:rPr>
        <w:t>“</w:t>
      </w:r>
      <w:r>
        <w:rPr>
          <w:rFonts w:ascii="Times New Roman" w:hAnsi="Times New Roman"/>
          <w:b/>
          <w:i/>
          <w:color w:val="000000"/>
          <w:sz w:val="24"/>
        </w:rPr>
        <w:t>Formulation</w:t>
      </w:r>
      <w:r>
        <w:rPr>
          <w:rFonts w:ascii="Times New Roman" w:hAnsi="Times New Roman"/>
          <w:color w:val="000000"/>
          <w:sz w:val="20"/>
        </w:rPr>
        <w:t xml:space="preserve">” </w:t>
      </w:r>
      <w:r>
        <w:rPr>
          <w:rFonts w:ascii="Times New Roman" w:hAnsi="Times New Roman"/>
          <w:color w:val="000000"/>
          <w:sz w:val="24"/>
        </w:rPr>
        <w:t>shall mean a formulation of an active pharmaceutical ingredient suitable for pulmonary administration based upon or incorporating the drug delivery technology Controlled by MannKind involving diketopiperazine as a carrier.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1.6 “</w:t>
      </w:r>
      <w:r>
        <w:rPr>
          <w:rFonts w:ascii="Times New Roman" w:hAnsi="Times New Roman"/>
          <w:b/>
          <w:i/>
          <w:color w:val="000000"/>
          <w:sz w:val="24"/>
        </w:rPr>
        <w:t>Intellectual Property Rights</w:t>
      </w:r>
      <w:r>
        <w:rPr>
          <w:rFonts w:ascii="Times New Roman" w:hAnsi="Times New Roman"/>
          <w:color w:val="000000"/>
          <w:sz w:val="20"/>
        </w:rPr>
        <w:t xml:space="preserve">” </w:t>
      </w:r>
      <w:r>
        <w:rPr>
          <w:rFonts w:ascii="Times New Roman" w:hAnsi="Times New Roman"/>
          <w:color w:val="000000"/>
          <w:sz w:val="24"/>
        </w:rPr>
        <w:t>shall mean any and all rights in and to discoveries, concepts, ideas, technical information, developments, specifications, methods, drawings, designs, flow charts, diagrams, models, formulae, procedures, processes, schematics, specifications, algorithms, apparatus, inventions, ideas, know</w:t>
        <w:noBreakHyphen/>
        <w:t>how, materials, techniques, methodologies, modifications, improvements, works of authorship and data (whether or not protectable under patent, copyright, trade secrecy or similar laws), including patents, utility models, and registered and unregistered designs, including mask works, copyrights, trade secrets designated in writing at the time of disclosure, design history, manufacturing documentation, and any other form of protection afforded by law to inventions, models, designs, works of authorship, databases or technical information and applications and registrations with respect thereto.</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 </w:t>
      </w:r>
      <w:r>
        <w:rPr>
          <w:rFonts w:ascii="Times New Roman" w:hAnsi="Times New Roman"/>
          <w:color w:val="000000"/>
          <w:sz w:val="20"/>
        </w:rPr>
        <w:t>“</w:t>
      </w:r>
      <w:r>
        <w:rPr>
          <w:rFonts w:ascii="Times New Roman" w:hAnsi="Times New Roman"/>
          <w:b/>
          <w:i/>
          <w:color w:val="000000"/>
          <w:sz w:val="24"/>
        </w:rPr>
        <w:t>Product</w:t>
      </w:r>
      <w:r>
        <w:rPr>
          <w:rFonts w:ascii="Times New Roman" w:hAnsi="Times New Roman"/>
          <w:color w:val="000000"/>
          <w:sz w:val="20"/>
        </w:rPr>
        <w:t xml:space="preserve">” </w:t>
      </w:r>
      <w:r>
        <w:rPr>
          <w:rFonts w:ascii="Times New Roman" w:hAnsi="Times New Roman"/>
          <w:color w:val="000000"/>
          <w:sz w:val="24"/>
        </w:rPr>
        <w:t>shall mean a product in a form suitable for human applications consisting of (a) a Formulation that contains Compound for use in an inhalation device or a Device, (b) a Device, but only to the extent that it is sold (or intended to be sold) for use with such a Formulation described in clause (a), (c) both a Device and such a Formulation described in clause (a) for use together, or (d) an Accessory Apparatus for use with the Product configuration described in (c), in each case, including all improvements incorporated therein.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 </w:t>
      </w:r>
      <w:r>
        <w:rPr>
          <w:rFonts w:ascii="Times New Roman" w:hAnsi="Times New Roman"/>
          <w:color w:val="000000"/>
          <w:sz w:val="20"/>
        </w:rPr>
        <w:t>“</w:t>
      </w:r>
      <w:r>
        <w:rPr>
          <w:rFonts w:ascii="Times New Roman" w:hAnsi="Times New Roman"/>
          <w:b/>
          <w:i/>
          <w:color w:val="000000"/>
          <w:sz w:val="24"/>
        </w:rPr>
        <w:t>Option Deadline</w:t>
      </w:r>
      <w:r>
        <w:rPr>
          <w:rFonts w:ascii="Times New Roman" w:hAnsi="Times New Roman"/>
          <w:color w:val="000000"/>
          <w:sz w:val="20"/>
        </w:rPr>
        <w:t xml:space="preserve">” </w:t>
      </w:r>
      <w:r>
        <w:rPr>
          <w:rFonts w:ascii="Times New Roman" w:hAnsi="Times New Roman"/>
          <w:color w:val="000000"/>
          <w:sz w:val="24"/>
        </w:rPr>
        <w:t>shall mean the date that is [***] years after the Effective Date of this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TextBody"/>
        <w:pBdr/>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1.9 “Prototype</w:t>
      </w:r>
      <w:r>
        <w:rPr>
          <w:rFonts w:ascii="Times New Roman" w:hAnsi="Times New Roman"/>
          <w:color w:val="000000"/>
          <w:sz w:val="20"/>
        </w:rPr>
        <w:t xml:space="preserve"> </w:t>
      </w:r>
      <w:r>
        <w:rPr>
          <w:rFonts w:ascii="Times New Roman" w:hAnsi="Times New Roman"/>
          <w:b/>
          <w:i/>
          <w:color w:val="000000"/>
          <w:sz w:val="24"/>
        </w:rPr>
        <w:t>Formulation</w:t>
      </w:r>
      <w:r>
        <w:rPr>
          <w:rFonts w:ascii="Times New Roman" w:hAnsi="Times New Roman"/>
          <w:color w:val="000000"/>
          <w:sz w:val="20"/>
        </w:rPr>
        <w:t xml:space="preserve">” </w:t>
      </w:r>
      <w:r>
        <w:rPr>
          <w:rFonts w:ascii="Times New Roman" w:hAnsi="Times New Roman"/>
          <w:color w:val="000000"/>
          <w:sz w:val="24"/>
        </w:rPr>
        <w:t xml:space="preserve">shall mean a Formulation of a Compound prepared in accordance with a Work Plan to evaluate a dosage form comprising a cartridge containing a dry powder Formulation of a Compound, which cartridge would be inserted into, or contained within, a pulmonary delivery device (including a Device) for administration </w:t>
      </w:r>
      <w:r>
        <w:rPr>
          <w:rFonts w:ascii="Times New Roman" w:hAnsi="Times New Roman"/>
          <w:i/>
          <w:color w:val="000000"/>
          <w:sz w:val="24"/>
        </w:rPr>
        <w:t>in vivo</w:t>
      </w: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1.10 </w:t>
      </w:r>
      <w:r>
        <w:rPr>
          <w:rFonts w:ascii="Times New Roman" w:hAnsi="Times New Roman"/>
          <w:color w:val="000000"/>
          <w:sz w:val="20"/>
        </w:rPr>
        <w:t>“</w:t>
      </w:r>
      <w:r>
        <w:rPr>
          <w:rFonts w:ascii="Times New Roman" w:hAnsi="Times New Roman"/>
          <w:b/>
          <w:i/>
          <w:color w:val="000000"/>
          <w:sz w:val="24"/>
        </w:rPr>
        <w:t>Work Plan</w:t>
      </w:r>
      <w:r>
        <w:rPr>
          <w:rFonts w:ascii="Times New Roman" w:hAnsi="Times New Roman"/>
          <w:color w:val="000000"/>
          <w:sz w:val="20"/>
        </w:rPr>
        <w:t xml:space="preserve">” </w:t>
      </w:r>
      <w:r>
        <w:rPr>
          <w:rFonts w:ascii="Times New Roman" w:hAnsi="Times New Roman"/>
          <w:color w:val="000000"/>
          <w:sz w:val="24"/>
        </w:rPr>
        <w:t>means any written work plan(s) mutually agreed by MannKind to United Therapeutics in writing as of the Effective Date or during the term of this Agreement, which set(s) forth the activities to be conducted under this Agreement, as may be amended in accordance with Section 2.4, including the work plans set forth as exhibits attached to a separate letter delivered by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MannKind to United Therapeutics and agreed to in writing by United Therapeutics as of the Effective Date.</w:t>
      </w:r>
    </w:p>
    <w:p>
      <w:pPr>
        <w:pStyle w:val="TextBody"/>
        <w:bidi w:val="0"/>
        <w:spacing w:before="0" w:after="240"/>
        <w:jc w:val="both"/>
        <w:rPr>
          <w:rFonts w:ascii="Times New Roman" w:hAnsi="Times New Roman"/>
          <w:sz w:val="20"/>
        </w:rPr>
      </w:pPr>
      <w:r>
        <w:rPr>
          <w:rFonts w:ascii="Times New Roman" w:hAnsi="Times New Roman"/>
          <w:b/>
          <w:caps/>
          <w:color w:val="000000"/>
          <w:sz w:val="24"/>
        </w:rPr>
        <w:t xml:space="preserve">2. </w:t>
      </w:r>
      <w:r>
        <w:rPr>
          <w:rFonts w:ascii="Times New Roman" w:hAnsi="Times New Roman"/>
          <w:b/>
          <w:smallCaps/>
          <w:color w:val="000000"/>
          <w:sz w:val="24"/>
        </w:rPr>
        <w:t>Study Obligations</w:t>
      </w:r>
    </w:p>
    <w:p>
      <w:pPr>
        <w:pStyle w:val="TextBody"/>
        <w:bidi w:val="0"/>
        <w:spacing w:before="0" w:after="240"/>
        <w:jc w:val="both"/>
        <w:rPr>
          <w:rFonts w:ascii="Times New Roman" w:hAnsi="Times New Roman"/>
          <w:sz w:val="20"/>
        </w:rPr>
      </w:pPr>
      <w:r>
        <w:rPr>
          <w:rFonts w:ascii="Times New Roman" w:hAnsi="Times New Roman"/>
          <w:b/>
          <w:color w:val="000000"/>
          <w:sz w:val="24"/>
        </w:rPr>
        <w:t>2.1 Feasibility Activities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2.1.1 Performance. </w:t>
      </w:r>
      <w:r>
        <w:rPr>
          <w:rFonts w:ascii="Times New Roman" w:hAnsi="Times New Roman"/>
          <w:color w:val="000000"/>
          <w:sz w:val="24"/>
        </w:rPr>
        <w:t>MannKind agrees to use commercially reasonable efforts to (i) undertake the responsibilities assigned to it in the Work Plans, (ii) perform its obligations under the Work Plans in good faith in a commercially reasonable and workmanlike manner; (iii) as appropriate, make available to United Therapeutics those resources set forth in the Work Plans; and (iv) carry out all work done in the course of the Work Plans in material compliance with all Applicable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2.1.2 Records</w:t>
      </w:r>
      <w:r>
        <w:rPr>
          <w:rFonts w:ascii="Times New Roman" w:hAnsi="Times New Roman"/>
          <w:color w:val="000000"/>
          <w:sz w:val="24"/>
        </w:rPr>
        <w:t>. MannKind shall keep complete and accurate records of the results of the Work Plans under this Agreement. These records, including any electronic files where such information may also be contained, shall fully and properly reflect all work done and results achieved in the performance of the Work Plans in sufficient detail and in good scientific manner appropriate for patent, compliance and regulatory purposes. During the term of this Agreement, United Therapeutics shall have the right to review and copy such records maintained by MannKind at reasonable times and upon reasonable notice.</w:t>
      </w:r>
    </w:p>
    <w:p>
      <w:pPr>
        <w:pStyle w:val="TextBody"/>
        <w:bidi w:val="0"/>
        <w:spacing w:before="0" w:after="240"/>
        <w:jc w:val="both"/>
        <w:rPr>
          <w:rFonts w:ascii="Times New Roman" w:hAnsi="Times New Roman"/>
          <w:sz w:val="20"/>
        </w:rPr>
      </w:pPr>
      <w:r>
        <w:rPr>
          <w:rFonts w:ascii="Times New Roman" w:hAnsi="Times New Roman"/>
          <w:b/>
          <w:color w:val="000000"/>
          <w:sz w:val="24"/>
        </w:rPr>
        <w:t>(a) Report</w:t>
      </w:r>
      <w:r>
        <w:rPr>
          <w:rFonts w:ascii="Times New Roman" w:hAnsi="Times New Roman"/>
          <w:color w:val="000000"/>
          <w:sz w:val="24"/>
        </w:rPr>
        <w:t>. Within 30 days of the completion of the Work Plans, MannKind shall submit to United Therapeutics a comprehensive written report of MannKind’s activities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 Project Liaison.</w:t>
      </w:r>
    </w:p>
    <w:p>
      <w:pPr>
        <w:pStyle w:val="TextBody"/>
        <w:bidi w:val="0"/>
        <w:spacing w:before="0" w:after="240"/>
        <w:jc w:val="both"/>
        <w:rPr>
          <w:rFonts w:ascii="Times New Roman" w:hAnsi="Times New Roman"/>
          <w:sz w:val="20"/>
        </w:rPr>
      </w:pPr>
      <w:r>
        <w:rPr>
          <w:rFonts w:ascii="Times New Roman" w:hAnsi="Times New Roman"/>
          <w:b/>
          <w:color w:val="000000"/>
          <w:sz w:val="24"/>
        </w:rPr>
        <w:t>2.2.1 Formation; Composition.</w:t>
      </w:r>
      <w:r>
        <w:rPr>
          <w:rFonts w:ascii="Times New Roman" w:hAnsi="Times New Roman"/>
          <w:color w:val="000000"/>
          <w:sz w:val="20"/>
        </w:rPr>
        <w:t xml:space="preserve"> </w:t>
      </w:r>
      <w:r>
        <w:rPr>
          <w:rFonts w:ascii="Times New Roman" w:hAnsi="Times New Roman"/>
          <w:color w:val="000000"/>
          <w:sz w:val="24"/>
        </w:rPr>
        <w:t>The Parties shall designate one individual (“</w:t>
      </w:r>
      <w:r>
        <w:rPr>
          <w:rFonts w:ascii="Times New Roman" w:hAnsi="Times New Roman"/>
          <w:b/>
          <w:color w:val="000000"/>
          <w:sz w:val="24"/>
        </w:rPr>
        <w:t>Project Liaison</w:t>
      </w:r>
      <w:r>
        <w:rPr>
          <w:rFonts w:ascii="Times New Roman" w:hAnsi="Times New Roman"/>
          <w:color w:val="000000"/>
          <w:sz w:val="20"/>
        </w:rPr>
        <w:t>”</w:t>
      </w:r>
      <w:r>
        <w:rPr>
          <w:rFonts w:ascii="Times New Roman" w:hAnsi="Times New Roman"/>
          <w:color w:val="000000"/>
          <w:sz w:val="24"/>
        </w:rPr>
        <w:t>) to serve as the primary point of contact between the Parties with regard to activities contemplated by this Agreement. The United Therapeutics Project Liaison shall have the requisite skills in the discipline(s) necessary to provide such reasonable assistance to MannKind as may be required for MannKind to conduct the Work Plans. The MannKind Project Liaison shall provide the United Therapeutics Project Liaison with regular updates as necessary.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2.2.2 Meetings.</w:t>
      </w:r>
      <w:r>
        <w:rPr>
          <w:rFonts w:ascii="Times New Roman" w:hAnsi="Times New Roman"/>
          <w:color w:val="000000"/>
          <w:sz w:val="20"/>
        </w:rPr>
        <w:t xml:space="preserve"> </w:t>
      </w:r>
      <w:r>
        <w:rPr>
          <w:rFonts w:ascii="Times New Roman" w:hAnsi="Times New Roman"/>
          <w:color w:val="000000"/>
          <w:sz w:val="24"/>
        </w:rPr>
        <w:t>The Project Liaisons shall meet at such times and locations, either in person or through video or telephone communications, as are necessary to accomplish the Work Plans. As necessary written minutes shall be kept of all material decisions made at such meetings.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TextBody"/>
        <w:pBdr/>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2.3 Regular Communication. </w:t>
      </w:r>
      <w:r>
        <w:rPr>
          <w:rFonts w:ascii="Times New Roman" w:hAnsi="Times New Roman"/>
          <w:color w:val="000000"/>
          <w:sz w:val="24"/>
        </w:rPr>
        <w:t>Each Party shall be available for a reasonable number of telephone and written consultations regarding activities contemplated by this Agreement on a schedule to be determined by mutual arrangement between the Parties.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2.4 Decision-Making.</w:t>
      </w:r>
      <w:r>
        <w:rPr>
          <w:rFonts w:ascii="Times New Roman" w:hAnsi="Times New Roman"/>
          <w:color w:val="000000"/>
          <w:sz w:val="20"/>
        </w:rPr>
        <w:t xml:space="preserve"> </w:t>
      </w:r>
      <w:r>
        <w:rPr>
          <w:rFonts w:ascii="Times New Roman" w:hAnsi="Times New Roman"/>
          <w:color w:val="000000"/>
          <w:sz w:val="24"/>
        </w:rPr>
        <w:t>The Project Liaisons shall discuss in good faith any issues that arise with regard to activities conducted during the course of this Agreement. Any changes to a Work Plan shall require the mutual written approval of the Parties’ Project Liaisons. In the event of a dispute 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matter within the responsibilities of the Project Liaisons, then the matter shall be referred to the Parties’ Senior Executives as provided in Section 11.8.</w:t>
      </w:r>
    </w:p>
    <w:p>
      <w:pPr>
        <w:pStyle w:val="TextBody"/>
        <w:bidi w:val="0"/>
        <w:spacing w:before="0" w:after="240"/>
        <w:jc w:val="both"/>
        <w:rPr>
          <w:rFonts w:ascii="Times New Roman" w:hAnsi="Times New Roman"/>
          <w:sz w:val="20"/>
        </w:rPr>
      </w:pPr>
      <w:r>
        <w:rPr>
          <w:rFonts w:ascii="Times New Roman" w:hAnsi="Times New Roman"/>
          <w:b/>
          <w:caps/>
          <w:color w:val="000000"/>
          <w:sz w:val="24"/>
        </w:rPr>
        <w:t xml:space="preserve">3. </w:t>
      </w:r>
      <w:r>
        <w:rPr>
          <w:rFonts w:ascii="Times New Roman" w:hAnsi="Times New Roman"/>
          <w:b/>
          <w:smallCaps/>
          <w:color w:val="000000"/>
          <w:sz w:val="24"/>
        </w:rPr>
        <w:t>Ownership Rights</w:t>
      </w:r>
    </w:p>
    <w:p>
      <w:pPr>
        <w:pStyle w:val="TextBody"/>
        <w:bidi w:val="0"/>
        <w:spacing w:before="0" w:after="240"/>
        <w:jc w:val="both"/>
        <w:rPr>
          <w:rFonts w:ascii="Times New Roman" w:hAnsi="Times New Roman"/>
          <w:sz w:val="20"/>
        </w:rPr>
      </w:pPr>
      <w:r>
        <w:rPr>
          <w:rFonts w:ascii="Times New Roman" w:hAnsi="Times New Roman"/>
          <w:b/>
          <w:color w:val="000000"/>
          <w:sz w:val="24"/>
        </w:rPr>
        <w:t>3.1 Ownership Rights.</w:t>
      </w:r>
      <w:r>
        <w:rPr>
          <w:rFonts w:ascii="Times New Roman" w:hAnsi="Times New Roman"/>
          <w:color w:val="000000"/>
          <w:sz w:val="20"/>
        </w:rPr>
        <w:t xml:space="preserve"> </w:t>
      </w:r>
      <w:r>
        <w:rPr>
          <w:rFonts w:ascii="Times New Roman" w:hAnsi="Times New Roman"/>
          <w:color w:val="000000"/>
          <w:sz w:val="24"/>
        </w:rPr>
        <w:t>This Agreement does not convey any ownership or other rights in any Prototype Formulation or MannKind Intellectual Property Rights embodied therein by implication, estoppel or otherwise except for the rights expressly granted in Article 4. MannKind shall retain ownership and control of the Prototype Formulation and all of MannKind’s Intellectual Property Rights therein that were in existence as of the Effective Date or are later generated by MannKind whether inside or outside of scope of the performance by MannKind of its obligations under this Agreement. Similarly, this Agreement does not convey any ownership or other rights in any Intellectual Property Rights of United Therapeutics by implication, estoppel or otherwise. United Therapeutics shall retain ownership and control of United Therapeutics’ Intellectual Property Rights that were in existence as of the Effective Date or are later generated by United Therapeutics whether inside or outside of scope of the performance by United Therapeutics of its obligations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3.2 Results of Work Plans</w:t>
      </w:r>
      <w:r>
        <w:rPr>
          <w:rFonts w:ascii="Times New Roman" w:hAnsi="Times New Roman"/>
          <w:color w:val="000000"/>
          <w:sz w:val="24"/>
        </w:rPr>
        <w:t>. All Developed Technology and all associated Intellectual Property Rights, that are generated, developed or discovered by or on behalf of MannKind shall be deemed MannKind Intellectual Property Rights. All Developed Technology and all associated Intellectual Property Rights, that are generated, developed or discovered by or on behalf of United Therapeutics shall be deemed United Therapeutics Intellectual Property Rights.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3.3 Developed [</w:t>
      </w:r>
      <w:r>
        <w:rPr>
          <w:rFonts w:ascii="Times New Roman" w:hAnsi="Times New Roman"/>
          <w:color w:val="000000"/>
          <w:sz w:val="24"/>
        </w:rPr>
        <w:t>***</w:t>
      </w:r>
      <w:r>
        <w:rPr>
          <w:rFonts w:ascii="Times New Roman" w:hAnsi="Times New Roman"/>
          <w:b/>
          <w:color w:val="000000"/>
          <w:sz w:val="24"/>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3.3.1 </w:t>
      </w:r>
      <w:r>
        <w:rPr>
          <w:rFonts w:ascii="Times New Roman" w:hAnsi="Times New Roman"/>
          <w:color w:val="000000"/>
          <w:sz w:val="24"/>
        </w:rPr>
        <w:t>Notwithstanding the foregoing provisions of this Article 3, as between the parties, United Therapeutics owns all right, title, and interest in any and all Developed Technology that MannKind develops in the course of performing under this Agreement that constitutes or relates [***] for United Therapeutics’ products, and all Intellectual Property Rights therein (collectively, [***]), but excluding Developed IP of General Application. MannKind hereby assigns, and shall continue to assign to United Therapeutics, all of its right, title and interest in any [***] that is not Developed IP of General Application.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3.3.2 </w:t>
      </w:r>
      <w:r>
        <w:rPr>
          <w:rFonts w:ascii="Times New Roman" w:hAnsi="Times New Roman"/>
          <w:color w:val="000000"/>
          <w:sz w:val="20"/>
        </w:rPr>
        <w:t>“</w:t>
      </w:r>
      <w:r>
        <w:rPr>
          <w:rFonts w:ascii="Times New Roman" w:hAnsi="Times New Roman"/>
          <w:b/>
          <w:i/>
          <w:color w:val="000000"/>
          <w:sz w:val="24"/>
        </w:rPr>
        <w:t>Developed IP of General Application</w:t>
      </w:r>
      <w:r>
        <w:rPr>
          <w:rFonts w:ascii="Times New Roman" w:hAnsi="Times New Roman"/>
          <w:color w:val="000000"/>
          <w:sz w:val="20"/>
        </w:rPr>
        <w:t xml:space="preserve">” </w:t>
      </w:r>
      <w:r>
        <w:rPr>
          <w:rFonts w:ascii="Times New Roman" w:hAnsi="Times New Roman"/>
          <w:color w:val="000000"/>
          <w:sz w:val="24"/>
        </w:rPr>
        <w:t>means Developed Technology that MannKind develops in the course of performing under this Agreement that (i) consists of subject matter of general applicability; and (ii) is reasonably necessary or useful for MannKind’s use in its products, and all Intellectual Property Rights therein.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TextBody"/>
        <w:pBdr/>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3.3.3 </w:t>
      </w:r>
      <w:r>
        <w:rPr>
          <w:rFonts w:ascii="Times New Roman" w:hAnsi="Times New Roman"/>
          <w:color w:val="000000"/>
          <w:sz w:val="24"/>
        </w:rPr>
        <w:t>MannKind hereby grants to United Therapeutics a non-exclusive, fully paid-up, irrevocable license, with the right to grant and authorize sublicenses, under all [***] that is Developed IP of General Application, to make, have made, use, sell, have sold, offer for sale, import and distribute any and all products, components and services for any and all applications.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3.4 Reservation of Rights.</w:t>
      </w:r>
      <w:r>
        <w:rPr>
          <w:rFonts w:ascii="Times New Roman" w:hAnsi="Times New Roman"/>
          <w:color w:val="000000"/>
          <w:sz w:val="20"/>
        </w:rPr>
        <w:t xml:space="preserve"> </w:t>
      </w:r>
      <w:r>
        <w:rPr>
          <w:rFonts w:ascii="Times New Roman" w:hAnsi="Times New Roman"/>
          <w:color w:val="000000"/>
          <w:sz w:val="24"/>
        </w:rPr>
        <w:t>Except for the rights expressly provided in this Agreement or any other written agreement of the Parties, no other rights are granted by either Party to the other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Party. Notwithstanding anything to the contrary, no rights or licenses are granted under this Agreement by either Party to the other for the use of any trade names, trademarks, and service marks.</w:t>
      </w:r>
    </w:p>
    <w:p>
      <w:pPr>
        <w:pStyle w:val="TextBody"/>
        <w:bidi w:val="0"/>
        <w:spacing w:before="0" w:after="240"/>
        <w:jc w:val="both"/>
        <w:rPr>
          <w:rFonts w:ascii="Times New Roman" w:hAnsi="Times New Roman"/>
          <w:sz w:val="20"/>
        </w:rPr>
      </w:pPr>
      <w:r>
        <w:rPr>
          <w:rFonts w:ascii="Times New Roman" w:hAnsi="Times New Roman"/>
          <w:b/>
          <w:caps/>
          <w:color w:val="000000"/>
          <w:sz w:val="24"/>
        </w:rPr>
        <w:t xml:space="preserve">4. </w:t>
      </w:r>
      <w:r>
        <w:rPr>
          <w:rFonts w:ascii="Times New Roman" w:hAnsi="Times New Roman"/>
          <w:b/>
          <w:smallCaps/>
          <w:color w:val="000000"/>
          <w:sz w:val="24"/>
        </w:rPr>
        <w:t>Research Agreement Option</w:t>
      </w:r>
    </w:p>
    <w:p>
      <w:pPr>
        <w:pStyle w:val="TextBody"/>
        <w:bidi w:val="0"/>
        <w:spacing w:before="0" w:after="240"/>
        <w:jc w:val="both"/>
        <w:rPr>
          <w:rFonts w:ascii="Times New Roman" w:hAnsi="Times New Roman"/>
          <w:sz w:val="20"/>
        </w:rPr>
      </w:pPr>
      <w:r>
        <w:rPr>
          <w:rFonts w:ascii="Times New Roman" w:hAnsi="Times New Roman"/>
          <w:b/>
          <w:color w:val="000000"/>
          <w:sz w:val="24"/>
        </w:rPr>
        <w:t>4.1 Option.</w:t>
      </w:r>
      <w:r>
        <w:rPr>
          <w:rFonts w:ascii="Times New Roman" w:hAnsi="Times New Roman"/>
          <w:color w:val="000000"/>
          <w:sz w:val="20"/>
        </w:rPr>
        <w:t xml:space="preserve"> </w:t>
      </w:r>
      <w:r>
        <w:rPr>
          <w:rFonts w:ascii="Times New Roman" w:hAnsi="Times New Roman"/>
          <w:color w:val="000000"/>
          <w:sz w:val="24"/>
        </w:rPr>
        <w:t xml:space="preserve">Subject to the terms and conditions of this Agreement, including payment of the amount set forth in Article 5, MannKind hereby grants to United Therapeutics an exclusive option (the </w:t>
      </w:r>
      <w:r>
        <w:rPr>
          <w:rFonts w:ascii="Times New Roman" w:hAnsi="Times New Roman"/>
          <w:color w:val="000000"/>
          <w:sz w:val="20"/>
        </w:rPr>
        <w:t>“</w:t>
      </w:r>
      <w:r>
        <w:rPr>
          <w:rFonts w:ascii="Times New Roman" w:hAnsi="Times New Roman"/>
          <w:b/>
          <w:i/>
          <w:color w:val="000000"/>
          <w:sz w:val="24"/>
        </w:rPr>
        <w:t>Research Agreement Option</w:t>
      </w:r>
      <w:r>
        <w:rPr>
          <w:rFonts w:ascii="Times New Roman" w:hAnsi="Times New Roman"/>
          <w:color w:val="000000"/>
          <w:sz w:val="20"/>
        </w:rPr>
        <w:t>”</w:t>
      </w:r>
      <w:r>
        <w:rPr>
          <w:rFonts w:ascii="Times New Roman" w:hAnsi="Times New Roman"/>
          <w:color w:val="000000"/>
          <w:sz w:val="24"/>
        </w:rPr>
        <w:t>) to obtain from MannKind exclusive rights and licenses to develop Products in collaboration with MannKind and to commercialize Products, all on terms substantially the same as those provided in the LCA.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4.2 Option Exercise.</w:t>
      </w:r>
      <w:r>
        <w:rPr>
          <w:rFonts w:ascii="Times New Roman" w:hAnsi="Times New Roman"/>
          <w:color w:val="000000"/>
          <w:sz w:val="20"/>
        </w:rPr>
        <w:t xml:space="preserve"> </w:t>
      </w:r>
      <w:r>
        <w:rPr>
          <w:rFonts w:ascii="Times New Roman" w:hAnsi="Times New Roman"/>
          <w:color w:val="000000"/>
          <w:sz w:val="24"/>
        </w:rPr>
        <w:t>In order to exercise the Research Agreement Option, United Therapeutics must deliver to MannKind a written exercise notice no later than 5:00 p.m. (Pacific Time) on the Option Deadline. In its notice to MannKind, United Therapeutics shall specify the particular Compound for which it wishes to exercise the Research Agreement Option (the “</w:t>
      </w:r>
      <w:r>
        <w:rPr>
          <w:rFonts w:ascii="Times New Roman" w:hAnsi="Times New Roman"/>
          <w:b/>
          <w:i/>
          <w:color w:val="000000"/>
          <w:sz w:val="24"/>
        </w:rPr>
        <w:t>Specified Compound</w:t>
      </w:r>
      <w:r>
        <w:rPr>
          <w:rFonts w:ascii="Times New Roman" w:hAnsi="Times New Roman"/>
          <w:color w:val="000000"/>
          <w:sz w:val="20"/>
        </w:rPr>
        <w:t>”</w:t>
      </w:r>
      <w:r>
        <w:rPr>
          <w:rFonts w:ascii="Times New Roman" w:hAnsi="Times New Roman"/>
          <w:color w:val="000000"/>
          <w:sz w:val="24"/>
        </w:rPr>
        <w:t>). In the event that the Research Agreement Option is not timely exercised, this Agreement shall terminate and United Therapeutics shall have no further rights under this Article 4 with respect to the Compounds.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4.3 Effect of Option Exercise.</w:t>
      </w:r>
      <w:r>
        <w:rPr>
          <w:rFonts w:ascii="Times New Roman" w:hAnsi="Times New Roman"/>
          <w:color w:val="000000"/>
          <w:sz w:val="20"/>
        </w:rPr>
        <w:t xml:space="preserve"> </w:t>
      </w:r>
      <w:r>
        <w:rPr>
          <w:rFonts w:ascii="Times New Roman" w:hAnsi="Times New Roman"/>
          <w:color w:val="000000"/>
          <w:sz w:val="24"/>
        </w:rPr>
        <w:t>As soon as practicable (and in any event within 30 days) of the timely exercise of the Research Agreement Option in accordance with Section 4.2, United Therapeutics and MannKind shall use best efforts to agree upon and execute a new royalty-bearing license and collaboration agreement (additional to and separate from the existing LCA) (“</w:t>
      </w:r>
      <w:r>
        <w:rPr>
          <w:rFonts w:ascii="Times New Roman" w:hAnsi="Times New Roman"/>
          <w:b/>
          <w:color w:val="000000"/>
          <w:sz w:val="24"/>
        </w:rPr>
        <w:t>Second LCA</w:t>
      </w:r>
      <w:r>
        <w:rPr>
          <w:rFonts w:ascii="Times New Roman" w:hAnsi="Times New Roman"/>
          <w:color w:val="000000"/>
          <w:sz w:val="20"/>
        </w:rPr>
        <w:t>”</w:t>
      </w:r>
      <w:r>
        <w:rPr>
          <w:rFonts w:ascii="Times New Roman" w:hAnsi="Times New Roman"/>
          <w:color w:val="000000"/>
          <w:sz w:val="24"/>
        </w:rPr>
        <w:t>) on substantially the same terms and the existing LCA (including, for clarity the additional option to add additional Products as provided in Section 2.6 of the LCA), except that: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4.3.1 </w:t>
      </w:r>
      <w:r>
        <w:rPr>
          <w:rFonts w:ascii="Times New Roman" w:hAnsi="Times New Roman"/>
          <w:color w:val="000000"/>
          <w:sz w:val="24"/>
        </w:rPr>
        <w:t>As used in the Second LCA, the following terms shall have the following meanings and not the meanings provided in the LCA:</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0"/>
        </w:rPr>
        <w:t>“</w:t>
      </w:r>
      <w:r>
        <w:rPr>
          <w:rFonts w:ascii="Times New Roman" w:hAnsi="Times New Roman"/>
          <w:b/>
          <w:i/>
          <w:color w:val="000000"/>
          <w:sz w:val="24"/>
        </w:rPr>
        <w:t>API</w:t>
      </w:r>
      <w:r>
        <w:rPr>
          <w:rFonts w:ascii="Times New Roman" w:hAnsi="Times New Roman"/>
          <w:color w:val="000000"/>
          <w:sz w:val="20"/>
        </w:rPr>
        <w:t xml:space="preserve">” </w:t>
      </w:r>
      <w:r>
        <w:rPr>
          <w:rFonts w:ascii="Times New Roman" w:hAnsi="Times New Roman"/>
          <w:color w:val="000000"/>
          <w:sz w:val="24"/>
        </w:rPr>
        <w:t>shall mean the Specified Compound (as defined above in Section 4.2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0"/>
        </w:rPr>
        <w:t>“</w:t>
      </w:r>
      <w:r>
        <w:rPr>
          <w:rFonts w:ascii="Times New Roman" w:hAnsi="Times New Roman"/>
          <w:b/>
          <w:i/>
          <w:color w:val="000000"/>
          <w:sz w:val="24"/>
        </w:rPr>
        <w:t>Field</w:t>
      </w:r>
      <w:r>
        <w:rPr>
          <w:rFonts w:ascii="Times New Roman" w:hAnsi="Times New Roman"/>
          <w:color w:val="000000"/>
          <w:sz w:val="20"/>
        </w:rPr>
        <w:t xml:space="preserve">” </w:t>
      </w:r>
      <w:r>
        <w:rPr>
          <w:rFonts w:ascii="Times New Roman" w:hAnsi="Times New Roman"/>
          <w:color w:val="000000"/>
          <w:sz w:val="24"/>
        </w:rPr>
        <w:t>shall mean the administration of Compounds to human beings for the prevention or treatment of Pulmonary Hypertension.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TextBody"/>
        <w:pBdr/>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0"/>
        </w:rPr>
        <w:t>“</w:t>
      </w:r>
      <w:r>
        <w:rPr>
          <w:rFonts w:ascii="Times New Roman" w:hAnsi="Times New Roman"/>
          <w:b/>
          <w:i/>
          <w:color w:val="000000"/>
          <w:sz w:val="24"/>
        </w:rPr>
        <w:t>Milestones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Milestone Payments</w:t>
      </w:r>
      <w:r>
        <w:rPr>
          <w:rFonts w:ascii="Times New Roman" w:hAnsi="Times New Roman"/>
          <w:color w:val="000000"/>
          <w:sz w:val="20"/>
        </w:rPr>
        <w:t xml:space="preserve">” </w:t>
      </w:r>
      <w:r>
        <w:rPr>
          <w:rFonts w:ascii="Times New Roman" w:hAnsi="Times New Roman"/>
          <w:color w:val="000000"/>
          <w:sz w:val="24"/>
        </w:rPr>
        <w:t>shall refer to the following:</w:t>
      </w:r>
    </w:p>
    <w:tbl>
      <w:tblPr>
        <w:tblW w:w="4292" w:type="dxa"/>
        <w:jc w:val="left"/>
        <w:tblInd w:w="0" w:type="dxa"/>
        <w:tblLayout w:type="fixed"/>
        <w:tblCellMar>
          <w:top w:w="28" w:type="dxa"/>
          <w:left w:w="28" w:type="dxa"/>
          <w:bottom w:w="28" w:type="dxa"/>
          <w:right w:w="28" w:type="dxa"/>
        </w:tblCellMar>
      </w:tblPr>
      <w:tblGrid>
        <w:gridCol w:w="2206"/>
        <w:gridCol w:w="2086"/>
      </w:tblGrid>
      <w:tr>
        <w:trPr/>
        <w:tc>
          <w:tcPr>
            <w:tcW w:w="220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ind w:left="0" w:right="0" w:firstLine="450"/>
              <w:jc w:val="left"/>
              <w:rPr/>
            </w:pPr>
            <w:r>
              <w:rPr/>
              <w:t> </w:t>
            </w:r>
          </w:p>
        </w:tc>
      </w:tr>
      <w:tr>
        <w:trPr/>
        <w:tc>
          <w:tcPr>
            <w:tcW w:w="22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450"/>
              <w:jc w:val="center"/>
              <w:rPr>
                <w:rFonts w:ascii="Times New Roman" w:hAnsi="Times New Roman"/>
                <w:b/>
                <w:color w:val="000000"/>
                <w:sz w:val="24"/>
              </w:rPr>
            </w:pPr>
            <w:r>
              <w:rPr>
                <w:rFonts w:ascii="Times New Roman" w:hAnsi="Times New Roman"/>
                <w:b/>
                <w:color w:val="000000"/>
                <w:sz w:val="24"/>
              </w:rPr>
              <w:t>Milestone Event</w:t>
            </w:r>
          </w:p>
        </w:tc>
        <w:tc>
          <w:tcPr>
            <w:tcW w:w="208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Milestone Payment</w:t>
            </w:r>
          </w:p>
        </w:tc>
      </w:tr>
      <w:tr>
        <w:trPr/>
        <w:tc>
          <w:tcPr>
            <w:tcW w:w="220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240" w:after="283"/>
              <w:jc w:val="both"/>
              <w:rPr>
                <w:rFonts w:ascii="Times New Roman" w:hAnsi="Times New Roman"/>
                <w:sz w:val="24"/>
              </w:rPr>
            </w:pPr>
            <w:r>
              <w:rPr>
                <w:rFonts w:ascii="Times New Roman" w:hAnsi="Times New Roman"/>
                <w:b/>
                <w:color w:val="000000"/>
                <w:sz w:val="24"/>
              </w:rPr>
              <w:t>(A)</w:t>
            </w:r>
            <w:r>
              <w:rPr>
                <w:rFonts w:ascii="Times New Roman" w:hAnsi="Times New Roman"/>
                <w:color w:val="000000"/>
                <w:sz w:val="24"/>
              </w:rPr>
              <w:t>      [***]</w:t>
            </w:r>
          </w:p>
        </w:tc>
        <w:tc>
          <w:tcPr>
            <w:tcW w:w="2086" w:type="dxa"/>
            <w:tcBorders>
              <w:bottom w:val="single" w:sz="6" w:space="0" w:color="000000"/>
              <w:right w:val="single" w:sz="6" w:space="0" w:color="000000"/>
            </w:tcBorders>
            <w:tcMar>
              <w:top w:w="0" w:type="dxa"/>
              <w:left w:w="0" w:type="dxa"/>
            </w:tcMar>
            <w:vAlign w:val="center"/>
          </w:tcPr>
          <w:p>
            <w:pPr>
              <w:pStyle w:val="TableContents"/>
              <w:bidi w:val="0"/>
              <w:spacing w:before="240" w:after="283"/>
              <w:jc w:val="right"/>
              <w:rPr>
                <w:rFonts w:ascii="Times New Roman" w:hAnsi="Times New Roman"/>
                <w:color w:val="000000"/>
                <w:sz w:val="24"/>
              </w:rPr>
            </w:pPr>
            <w:r>
              <w:rPr>
                <w:rFonts w:ascii="Times New Roman" w:hAnsi="Times New Roman"/>
                <w:color w:val="000000"/>
                <w:sz w:val="24"/>
              </w:rPr>
              <w:t>$15,000,000</w:t>
            </w:r>
          </w:p>
        </w:tc>
      </w:tr>
      <w:tr>
        <w:trPr/>
        <w:tc>
          <w:tcPr>
            <w:tcW w:w="220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240" w:after="283"/>
              <w:jc w:val="both"/>
              <w:rPr>
                <w:rFonts w:ascii="Times New Roman" w:hAnsi="Times New Roman"/>
                <w:b/>
                <w:color w:val="000000"/>
                <w:sz w:val="24"/>
              </w:rPr>
            </w:pPr>
            <w:r>
              <w:rPr>
                <w:rFonts w:ascii="Times New Roman" w:hAnsi="Times New Roman"/>
                <w:b/>
                <w:color w:val="000000"/>
                <w:sz w:val="24"/>
              </w:rPr>
              <w:t>(B) [***]</w:t>
            </w:r>
          </w:p>
        </w:tc>
        <w:tc>
          <w:tcPr>
            <w:tcW w:w="2086" w:type="dxa"/>
            <w:tcBorders>
              <w:bottom w:val="single" w:sz="6" w:space="0" w:color="000000"/>
              <w:right w:val="single" w:sz="6" w:space="0" w:color="000000"/>
            </w:tcBorders>
            <w:tcMar>
              <w:top w:w="0" w:type="dxa"/>
              <w:left w:w="0" w:type="dxa"/>
            </w:tcMar>
            <w:vAlign w:val="center"/>
          </w:tcPr>
          <w:p>
            <w:pPr>
              <w:pStyle w:val="TableContents"/>
              <w:bidi w:val="0"/>
              <w:spacing w:before="240" w:after="283"/>
              <w:jc w:val="right"/>
              <w:rPr>
                <w:rFonts w:ascii="Times New Roman" w:hAnsi="Times New Roman"/>
                <w:color w:val="000000"/>
                <w:sz w:val="24"/>
              </w:rPr>
            </w:pPr>
            <w:r>
              <w:rPr>
                <w:rFonts w:ascii="Times New Roman" w:hAnsi="Times New Roman"/>
                <w:color w:val="000000"/>
                <w:sz w:val="24"/>
              </w:rPr>
              <w:t>$15,000,000</w:t>
            </w:r>
          </w:p>
        </w:tc>
      </w:tr>
      <w:tr>
        <w:trPr/>
        <w:tc>
          <w:tcPr>
            <w:tcW w:w="220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240" w:after="283"/>
              <w:jc w:val="both"/>
              <w:rPr>
                <w:rFonts w:ascii="Times New Roman" w:hAnsi="Times New Roman"/>
                <w:sz w:val="24"/>
              </w:rPr>
            </w:pPr>
            <w:r>
              <w:rPr>
                <w:rFonts w:ascii="Times New Roman" w:hAnsi="Times New Roman"/>
                <w:b/>
                <w:color w:val="000000"/>
                <w:sz w:val="24"/>
              </w:rPr>
              <w:t>(C)</w:t>
            </w:r>
            <w:r>
              <w:rPr>
                <w:rFonts w:ascii="Times New Roman" w:hAnsi="Times New Roman"/>
                <w:color w:val="000000"/>
                <w:sz w:val="24"/>
              </w:rPr>
              <w:t>      [***]</w:t>
            </w:r>
          </w:p>
        </w:tc>
        <w:tc>
          <w:tcPr>
            <w:tcW w:w="2086" w:type="dxa"/>
            <w:tcBorders>
              <w:bottom w:val="single" w:sz="6" w:space="0" w:color="000000"/>
              <w:right w:val="single" w:sz="6" w:space="0" w:color="000000"/>
            </w:tcBorders>
            <w:tcMar>
              <w:top w:w="0" w:type="dxa"/>
              <w:left w:w="0" w:type="dxa"/>
            </w:tcMar>
            <w:vAlign w:val="center"/>
          </w:tcPr>
          <w:p>
            <w:pPr>
              <w:pStyle w:val="TableContents"/>
              <w:bidi w:val="0"/>
              <w:spacing w:before="240" w:after="283"/>
              <w:jc w:val="right"/>
              <w:rPr>
                <w:rFonts w:ascii="Times New Roman" w:hAnsi="Times New Roman"/>
                <w:color w:val="000000"/>
                <w:sz w:val="24"/>
              </w:rPr>
            </w:pPr>
            <w:r>
              <w:rPr>
                <w:rFonts w:ascii="Times New Roman" w:hAnsi="Times New Roman"/>
                <w:color w:val="000000"/>
                <w:sz w:val="24"/>
              </w:rPr>
              <w:t>$15,000,000</w:t>
            </w:r>
          </w:p>
        </w:tc>
      </w:tr>
      <w:tr>
        <w:trPr/>
        <w:tc>
          <w:tcPr>
            <w:tcW w:w="220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240" w:after="283"/>
              <w:jc w:val="both"/>
              <w:rPr>
                <w:rFonts w:ascii="Times New Roman" w:hAnsi="Times New Roman"/>
                <w:sz w:val="24"/>
              </w:rPr>
            </w:pPr>
            <w:r>
              <w:rPr>
                <w:rFonts w:ascii="Times New Roman" w:hAnsi="Times New Roman"/>
                <w:b/>
                <w:color w:val="000000"/>
                <w:sz w:val="24"/>
              </w:rPr>
              <w:t xml:space="preserve">(D) </w:t>
            </w:r>
            <w:r>
              <w:rPr>
                <w:rFonts w:ascii="Times New Roman" w:hAnsi="Times New Roman"/>
                <w:color w:val="000000"/>
                <w:sz w:val="24"/>
              </w:rPr>
              <w:t>[***]</w:t>
            </w:r>
          </w:p>
        </w:tc>
        <w:tc>
          <w:tcPr>
            <w:tcW w:w="2086" w:type="dxa"/>
            <w:tcBorders>
              <w:bottom w:val="single" w:sz="6" w:space="0" w:color="000000"/>
              <w:right w:val="single" w:sz="6" w:space="0" w:color="000000"/>
            </w:tcBorders>
            <w:tcMar>
              <w:top w:w="0" w:type="dxa"/>
              <w:left w:w="0" w:type="dxa"/>
            </w:tcMar>
            <w:vAlign w:val="center"/>
          </w:tcPr>
          <w:p>
            <w:pPr>
              <w:pStyle w:val="TableContents"/>
              <w:bidi w:val="0"/>
              <w:spacing w:before="240" w:after="283"/>
              <w:jc w:val="right"/>
              <w:rPr>
                <w:rFonts w:ascii="Times New Roman" w:hAnsi="Times New Roman"/>
                <w:color w:val="000000"/>
                <w:sz w:val="24"/>
              </w:rPr>
            </w:pPr>
            <w:r>
              <w:rPr>
                <w:rFonts w:ascii="Times New Roman" w:hAnsi="Times New Roman"/>
                <w:color w:val="000000"/>
                <w:sz w:val="24"/>
              </w:rPr>
              <w:t>$15,000,000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(d) </w:t>
      </w:r>
      <w:r>
        <w:rPr>
          <w:rFonts w:ascii="Times New Roman" w:hAnsi="Times New Roman"/>
          <w:color w:val="000000"/>
          <w:sz w:val="20"/>
        </w:rPr>
        <w:t>“</w:t>
      </w:r>
      <w:r>
        <w:rPr>
          <w:rFonts w:ascii="Times New Roman" w:hAnsi="Times New Roman"/>
          <w:b/>
          <w:i/>
          <w:color w:val="000000"/>
          <w:sz w:val="24"/>
        </w:rPr>
        <w:t>Optioned Agent</w:t>
      </w:r>
      <w:r>
        <w:rPr>
          <w:rFonts w:ascii="Times New Roman" w:hAnsi="Times New Roman"/>
          <w:color w:val="000000"/>
          <w:sz w:val="20"/>
        </w:rPr>
        <w:t xml:space="preserve">” </w:t>
      </w:r>
      <w:r>
        <w:rPr>
          <w:rFonts w:ascii="Times New Roman" w:hAnsi="Times New Roman"/>
          <w:color w:val="000000"/>
          <w:sz w:val="24"/>
        </w:rPr>
        <w:t>shall mean any Compound (as defined above in Section 1.1 of this Agreement), other than API.</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(e) </w:t>
      </w:r>
      <w:r>
        <w:rPr>
          <w:rFonts w:ascii="Times New Roman" w:hAnsi="Times New Roman"/>
          <w:color w:val="000000"/>
          <w:sz w:val="20"/>
        </w:rPr>
        <w:t>“</w:t>
      </w:r>
      <w:r>
        <w:rPr>
          <w:rFonts w:ascii="Times New Roman" w:hAnsi="Times New Roman"/>
          <w:b/>
          <w:i/>
          <w:color w:val="000000"/>
          <w:sz w:val="24"/>
        </w:rPr>
        <w:t>Other Agent</w:t>
      </w:r>
      <w:r>
        <w:rPr>
          <w:rFonts w:ascii="Times New Roman" w:hAnsi="Times New Roman"/>
          <w:color w:val="000000"/>
          <w:sz w:val="20"/>
        </w:rPr>
        <w:t xml:space="preserve">” </w:t>
      </w:r>
      <w:r>
        <w:rPr>
          <w:rFonts w:ascii="Times New Roman" w:hAnsi="Times New Roman"/>
          <w:color w:val="000000"/>
          <w:sz w:val="24"/>
        </w:rPr>
        <w:t>shall be deleted.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4.3.2 </w:t>
      </w:r>
      <w:r>
        <w:rPr>
          <w:rFonts w:ascii="Times New Roman" w:hAnsi="Times New Roman"/>
          <w:color w:val="000000"/>
          <w:sz w:val="24"/>
        </w:rPr>
        <w:t>All provisions of the LCA that are specific to the Initial Device, Initial Development Plan and Initial Product (as defined in the LCA) shall be deleted or amended as appropriate to effect the intent of the Research Agreement Option with respect to Product based on the Specified Compound for which the Research Agreement Option is exercised.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4.3.3 </w:t>
      </w:r>
      <w:r>
        <w:rPr>
          <w:rFonts w:ascii="Times New Roman" w:hAnsi="Times New Roman"/>
          <w:color w:val="000000"/>
          <w:sz w:val="24"/>
        </w:rPr>
        <w:t xml:space="preserve">Corresponding changes from the LCA shall be made in the Second LCA, </w:t>
      </w:r>
      <w:r>
        <w:rPr>
          <w:rFonts w:ascii="Times New Roman" w:hAnsi="Times New Roman"/>
          <w:i/>
          <w:color w:val="000000"/>
          <w:sz w:val="24"/>
        </w:rPr>
        <w:t>mutatis mutandis</w:t>
      </w:r>
      <w:r>
        <w:rPr>
          <w:rFonts w:ascii="Times New Roman" w:hAnsi="Times New Roman"/>
          <w:color w:val="000000"/>
          <w:sz w:val="24"/>
        </w:rPr>
        <w:t>, as appropriate to effect the intent of the Research Agreement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clarity, no Option Exercise Fee shall be payable pursuant to this Agreement, the LCA or the Second LCA in order to exercise the Research Agreement Option or effect the Second LCA or the rights of United Therapeutics with respect to Product based on the Specified Compound for which the Research Agreement Option is exercised. In addition, the Parties shall discuss and agree on a Development Plan for such Product, allocating operational and financial responsibilities to each Party as appropriate for the different indications and therapeutic areas being pursued by each Party for such Product.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4.4 </w:t>
      </w:r>
      <w:r>
        <w:rPr>
          <w:rFonts w:ascii="Times New Roman" w:hAnsi="Times New Roman"/>
          <w:color w:val="000000"/>
          <w:sz w:val="24"/>
        </w:rPr>
        <w:t>If the Parties are unable to agree on the terms of the Second LCA (a “</w:t>
      </w:r>
      <w:r>
        <w:rPr>
          <w:rFonts w:ascii="Times New Roman" w:hAnsi="Times New Roman"/>
          <w:b/>
          <w:i/>
          <w:color w:val="000000"/>
          <w:sz w:val="24"/>
        </w:rPr>
        <w:t>Negotiation Dispute</w:t>
      </w:r>
      <w:r>
        <w:rPr>
          <w:rFonts w:ascii="Times New Roman" w:hAnsi="Times New Roman"/>
          <w:color w:val="000000"/>
          <w:sz w:val="20"/>
        </w:rPr>
        <w:t>”</w:t>
      </w:r>
      <w:r>
        <w:rPr>
          <w:rFonts w:ascii="Times New Roman" w:hAnsi="Times New Roman"/>
          <w:color w:val="000000"/>
          <w:sz w:val="24"/>
        </w:rPr>
        <w:t>) either Party may submit the matter for resolution by a transactional lawyer (the “</w:t>
      </w:r>
      <w:r>
        <w:rPr>
          <w:rFonts w:ascii="Times New Roman" w:hAnsi="Times New Roman"/>
          <w:b/>
          <w:i/>
          <w:color w:val="000000"/>
          <w:sz w:val="24"/>
        </w:rPr>
        <w:t>Neutral Lawyer</w:t>
      </w:r>
      <w:r>
        <w:rPr>
          <w:rFonts w:ascii="Times New Roman" w:hAnsi="Times New Roman"/>
          <w:color w:val="000000"/>
          <w:sz w:val="20"/>
        </w:rPr>
        <w:t>”</w:t>
      </w:r>
      <w:r>
        <w:rPr>
          <w:rFonts w:ascii="Times New Roman" w:hAnsi="Times New Roman"/>
          <w:color w:val="000000"/>
          <w:sz w:val="24"/>
        </w:rPr>
        <w:t>) with at least fifteen years of experience and a background in biotechnology or agreements of the development, licensing and commercialization of pharmaceuticals. The Neutral Lawyer shall be selected by mutual agreement of the Parties; provided, however, that if the Parties cannot agree on a Neutral Lawyer within five days of a party’s request for a Neutral Lawyer under this provision, the Neutral Lawyer shall be selected by the American Arbitration Association in Washington, D.C. Each Party shall submit its position as to the Negotiation Dispute to the Neutral Lawyer, who shall resolve the dispute by agreeing to one of the submitted positions of the Parties without any changes to such position. The Parties agree that the position agreed to by the Neutral Lawyer shall be reflected in the Second LCA. The costs of the Neutral Lawyer shall be shared equally by the Parties. The decision of the Neutral Lawyer shall be final and binding on the Parties. The Parties shall cooperate in all respects to resolve any Negotiation Dispute promptly.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TextBody"/>
        <w:pBdr/>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aps/>
          <w:color w:val="000000"/>
          <w:sz w:val="24"/>
        </w:rPr>
        <w:t xml:space="preserve">5. </w:t>
      </w:r>
      <w:r>
        <w:rPr>
          <w:rFonts w:ascii="Times New Roman" w:hAnsi="Times New Roman"/>
          <w:b/>
          <w:smallCaps/>
          <w:color w:val="000000"/>
          <w:sz w:val="24"/>
        </w:rPr>
        <w:t>Financial Obligations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consideration for the activities to be performed by MannKind under the Work Plans and for other rights granted to United Therapeutics under this Agreement, United Therapeutics shall pay to MannKind a one-time, non-refundable fee of $10,000,000 within five business days of the Effective Date via wire transfer as instructed by MannKind. Except as otherwise set forth herein, each Party shall bear its own costs and expenses in connection with performance of this Agreement and the Work Plans.</w:t>
      </w:r>
    </w:p>
    <w:p>
      <w:pPr>
        <w:pStyle w:val="TextBody"/>
        <w:bidi w:val="0"/>
        <w:jc w:val="both"/>
        <w:rPr>
          <w:rFonts w:ascii="Times New Roman" w:hAnsi="Times New Roman"/>
          <w:sz w:val="20"/>
        </w:rPr>
      </w:pPr>
      <w:r>
        <w:rPr>
          <w:rFonts w:ascii="Times New Roman" w:hAnsi="Times New Roman"/>
          <w:b/>
          <w:caps/>
          <w:color w:val="000000"/>
          <w:sz w:val="24"/>
        </w:rPr>
        <w:t>6</w:t>
      </w:r>
      <w:r>
        <w:rPr>
          <w:rFonts w:ascii="Times New Roman" w:hAnsi="Times New Roman"/>
          <w:b/>
          <w:smallCaps/>
          <w:color w:val="000000"/>
          <w:sz w:val="24"/>
        </w:rPr>
        <w:t>. Representations And Warranties; Covenants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smallCaps/>
          <w:color w:val="000000"/>
          <w:sz w:val="24"/>
        </w:rPr>
        <w:t>6.1 General</w:t>
      </w:r>
      <w:r>
        <w:rPr>
          <w:rFonts w:ascii="Times New Roman" w:hAnsi="Times New Roman"/>
          <w:color w:val="000000"/>
          <w:sz w:val="20"/>
        </w:rPr>
        <w:t xml:space="preserve"> </w:t>
      </w:r>
      <w:r>
        <w:rPr>
          <w:rFonts w:ascii="Times New Roman" w:hAnsi="Times New Roman"/>
          <w:b/>
          <w:color w:val="000000"/>
          <w:sz w:val="24"/>
        </w:rPr>
        <w:t>Representations and Warranties.</w:t>
      </w:r>
      <w:r>
        <w:rPr>
          <w:rFonts w:ascii="Times New Roman" w:hAnsi="Times New Roman"/>
          <w:color w:val="000000"/>
          <w:sz w:val="20"/>
        </w:rPr>
        <w:t xml:space="preserve"> </w:t>
      </w:r>
      <w:r>
        <w:rPr>
          <w:rFonts w:ascii="Times New Roman" w:hAnsi="Times New Roman"/>
          <w:color w:val="000000"/>
          <w:sz w:val="24"/>
        </w:rPr>
        <w:t>Each Party represents and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6.1.1 Corporate Power and Authorization.</w:t>
      </w:r>
      <w:r>
        <w:rPr>
          <w:rFonts w:ascii="Times New Roman" w:hAnsi="Times New Roman"/>
          <w:color w:val="000000"/>
          <w:sz w:val="20"/>
        </w:rPr>
        <w:t xml:space="preserve"> </w:t>
      </w:r>
      <w:r>
        <w:rPr>
          <w:rFonts w:ascii="Times New Roman" w:hAnsi="Times New Roman"/>
          <w:color w:val="000000"/>
          <w:sz w:val="24"/>
        </w:rPr>
        <w:t>It is duly organized and validly existing under the laws of the state of its incorporation, and has full corporate power and authority to execute and deliver this Agreement and to perform all of its obligations hereunder;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smallCaps/>
          <w:color w:val="000000"/>
          <w:sz w:val="24"/>
        </w:rPr>
        <w:t>6.1.</w:t>
      </w:r>
      <w:r>
        <w:rPr>
          <w:rFonts w:ascii="Times New Roman" w:hAnsi="Times New Roman"/>
          <w:b/>
          <w:color w:val="000000"/>
          <w:sz w:val="24"/>
        </w:rPr>
        <w:t>2 Binding Agreement.</w:t>
      </w:r>
      <w:r>
        <w:rPr>
          <w:rFonts w:ascii="Times New Roman" w:hAnsi="Times New Roman"/>
          <w:color w:val="000000"/>
          <w:sz w:val="20"/>
        </w:rPr>
        <w:t xml:space="preserve"> </w:t>
      </w:r>
      <w:r>
        <w:rPr>
          <w:rFonts w:ascii="Times New Roman" w:hAnsi="Times New Roman"/>
          <w:color w:val="000000"/>
          <w:sz w:val="24"/>
        </w:rPr>
        <w:t>This Agreement is a legal and valid obligation binding upon it and enforceable in accordance with its terms;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6.1.3 No Conflict.</w:t>
      </w:r>
      <w:r>
        <w:rPr>
          <w:rFonts w:ascii="Times New Roman" w:hAnsi="Times New Roman"/>
          <w:color w:val="000000"/>
          <w:sz w:val="20"/>
        </w:rPr>
        <w:t xml:space="preserve"> </w:t>
      </w:r>
      <w:r>
        <w:rPr>
          <w:rFonts w:ascii="Times New Roman" w:hAnsi="Times New Roman"/>
          <w:color w:val="000000"/>
          <w:sz w:val="24"/>
        </w:rPr>
        <w:t>The execution, delivery and performance of this Agreement by such Party does not conflict with any agreement, instrument or understanding, oral or written, to which it is a Party or by which it may be bound, nor violate any law or regulation of any court, governmental body, or administrative or other agency having jurisdiction over it;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6.1.4 Resources. </w:t>
      </w:r>
      <w:r>
        <w:rPr>
          <w:rFonts w:ascii="Times New Roman" w:hAnsi="Times New Roman"/>
          <w:color w:val="000000"/>
          <w:sz w:val="24"/>
        </w:rPr>
        <w:t>It has adequate resources, both financial and otherwise, to perform its duties hereunder.</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6.2 Warranty</w:t>
      </w:r>
      <w:r>
        <w:rPr>
          <w:rFonts w:ascii="Times New Roman" w:hAnsi="Times New Roman"/>
          <w:color w:val="000000"/>
          <w:sz w:val="24"/>
        </w:rPr>
        <w:t>. MannKind represents and warrants to United Therapeutics that it has and shall at all times throughout the term of this Agreement maintain, whether by ownership, by license or otherwise, the Intellectual Property Rights that are required to use, manufacture, market, offer to sell, sell, import and export the Prototype Formulation.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6.3 Disclaimer</w:t>
      </w:r>
      <w:r>
        <w:rPr>
          <w:rFonts w:ascii="Times New Roman" w:hAnsi="Times New Roman"/>
          <w:color w:val="000000"/>
          <w:sz w:val="24"/>
        </w:rPr>
        <w:t>. Except as expressly set forth in this Agreement, MannKind makes no representations nor extends any warranties of any kind, either express or implied, and expressly disclaims all implied warranties of merchantability and of fitness for a particular purpose or use, non-infringement, validity and enforceability of patents, or the prospects or likelihood of development or commercial success of the Prototype Formulation. Except as expressly stated in this Agreement, all representations and warranties, whether arising by operation of law or otherwise, are expressly excluded.</w:t>
      </w:r>
      <w:r>
        <w:rPr>
          <w:rFonts w:ascii="Times New Roman" w:hAnsi="Times New Roman"/>
          <w:color w:val="000000"/>
          <w:sz w:val="20"/>
        </w:rPr>
        <w:t xml:space="preserve"> </w:t>
      </w:r>
    </w:p>
    <w:p>
      <w:pPr>
        <w:pStyle w:val="TextBody"/>
        <w:bidi w:val="0"/>
        <w:jc w:val="both"/>
        <w:rPr>
          <w:rFonts w:ascii="Times New Roman" w:hAnsi="Times New Roman"/>
          <w:b/>
          <w:color w:val="000000"/>
          <w:sz w:val="24"/>
        </w:rPr>
      </w:pPr>
      <w:r>
        <w:rPr>
          <w:rFonts w:ascii="Times New Roman" w:hAnsi="Times New Roman"/>
          <w:b/>
          <w:color w:val="000000"/>
          <w:sz w:val="24"/>
        </w:rPr>
        <w:t>7. Indemnification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Each Party (the “</w:t>
      </w:r>
      <w:r>
        <w:rPr>
          <w:rFonts w:ascii="Times New Roman" w:hAnsi="Times New Roman"/>
          <w:b/>
          <w:color w:val="000000"/>
          <w:sz w:val="24"/>
        </w:rPr>
        <w:t>Indemnifying Party</w:t>
      </w:r>
      <w:r>
        <w:rPr>
          <w:rFonts w:ascii="Times New Roman" w:hAnsi="Times New Roman"/>
          <w:color w:val="000000"/>
          <w:sz w:val="20"/>
        </w:rPr>
        <w:t>”</w:t>
      </w:r>
      <w:r>
        <w:rPr>
          <w:rFonts w:ascii="Times New Roman" w:hAnsi="Times New Roman"/>
          <w:color w:val="000000"/>
          <w:sz w:val="24"/>
        </w:rPr>
        <w:t>) shall indemnify and hold harmless the other Party and its Affiliates, and their respective directors, employees, consultants and agents (the “</w:t>
      </w:r>
      <w:r>
        <w:rPr>
          <w:rFonts w:ascii="Times New Roman" w:hAnsi="Times New Roman"/>
          <w:b/>
          <w:color w:val="000000"/>
          <w:sz w:val="24"/>
        </w:rPr>
        <w:t>Indemnified Parties</w:t>
      </w:r>
      <w:r>
        <w:rPr>
          <w:rFonts w:ascii="Times New Roman" w:hAnsi="Times New Roman"/>
          <w:color w:val="000000"/>
          <w:sz w:val="20"/>
        </w:rPr>
        <w:t>”</w:t>
      </w:r>
      <w:r>
        <w:rPr>
          <w:rFonts w:ascii="Times New Roman" w:hAnsi="Times New Roman"/>
          <w:color w:val="000000"/>
          <w:sz w:val="24"/>
        </w:rPr>
        <w:t>) from and against any and all Losses from any Third Party Claims incurred by the Indemnified Parties arising from, or occurring as a result of any breach of any representation, warranty, covenant, or obligation of the Indemnifying Party under this Agreement or any intentional misconduct or negligence by the Indemnifying Party or any of its employees, agents, or subcontractors, except, in each case, to the extent such Losses result from the intentional misconduct or negligence of any of the Indemnified Parties.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TextBody"/>
        <w:pBdr/>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aps/>
          <w:color w:val="000000"/>
          <w:sz w:val="24"/>
        </w:rPr>
        <w:t xml:space="preserve">8. </w:t>
      </w:r>
      <w:r>
        <w:rPr>
          <w:rFonts w:ascii="Times New Roman" w:hAnsi="Times New Roman"/>
          <w:b/>
          <w:smallCaps/>
          <w:color w:val="000000"/>
          <w:sz w:val="24"/>
        </w:rPr>
        <w:t>Insurance Protection</w:t>
      </w:r>
    </w:p>
    <w:p>
      <w:pPr>
        <w:pStyle w:val="TextBody"/>
        <w:bidi w:val="0"/>
        <w:spacing w:before="0" w:after="240"/>
        <w:jc w:val="both"/>
        <w:rPr>
          <w:rFonts w:ascii="Times New Roman" w:hAnsi="Times New Roman"/>
          <w:sz w:val="20"/>
        </w:rPr>
      </w:pPr>
      <w:r>
        <w:rPr>
          <w:rFonts w:ascii="Times New Roman" w:hAnsi="Times New Roman"/>
          <w:color w:val="000000"/>
          <w:sz w:val="24"/>
        </w:rPr>
        <w:t>Each Party shall obtain and maintain during the term of this Agreement insurance to support its obligations under this Agreement, which may include self-insurance.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aps/>
          <w:color w:val="000000"/>
          <w:sz w:val="24"/>
        </w:rPr>
        <w:t xml:space="preserve">9. </w:t>
      </w:r>
      <w:r>
        <w:rPr>
          <w:rFonts w:ascii="Times New Roman" w:hAnsi="Times New Roman"/>
          <w:b/>
          <w:smallCaps/>
          <w:color w:val="000000"/>
          <w:sz w:val="24"/>
        </w:rPr>
        <w:t>Term; Termination</w:t>
      </w:r>
    </w:p>
    <w:p>
      <w:pPr>
        <w:pStyle w:val="TextBody"/>
        <w:bidi w:val="0"/>
        <w:spacing w:before="0" w:after="240"/>
        <w:jc w:val="both"/>
        <w:rPr>
          <w:rFonts w:ascii="Times New Roman" w:hAnsi="Times New Roman"/>
          <w:sz w:val="20"/>
        </w:rPr>
      </w:pPr>
      <w:r>
        <w:rPr>
          <w:rFonts w:ascii="Times New Roman" w:hAnsi="Times New Roman"/>
          <w:b/>
          <w:color w:val="000000"/>
          <w:sz w:val="24"/>
        </w:rPr>
        <w:t>9.1 Term.</w:t>
      </w:r>
      <w:r>
        <w:rPr>
          <w:rFonts w:ascii="Times New Roman" w:hAnsi="Times New Roman"/>
          <w:color w:val="000000"/>
          <w:sz w:val="20"/>
        </w:rPr>
        <w:t xml:space="preserve"> </w:t>
      </w:r>
      <w:r>
        <w:rPr>
          <w:rFonts w:ascii="Times New Roman" w:hAnsi="Times New Roman"/>
          <w:color w:val="000000"/>
          <w:sz w:val="24"/>
        </w:rPr>
        <w:t>This Agreement shall begin on the Effective Date and, unless terminated sooner as provided in Section 9.2, shall terminate (a) at 5:00 p.m. (Pacific Time) on the Option Deadline if the Research Agreement Option is not exercised prior to that time in accordance with Section 4.2, or (b) if the Research Agreement Option is timely exercised in accordance with Section 4.2, upon execution by the Parties of the Second LCA as contemplated by Section 4.3.</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 Termination Events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Without Cause. </w:t>
      </w:r>
      <w:r>
        <w:rPr>
          <w:rFonts w:ascii="Times New Roman" w:hAnsi="Times New Roman"/>
          <w:color w:val="000000"/>
          <w:sz w:val="24"/>
        </w:rPr>
        <w:t>United Therapeutics shall have the right to terminate this Agreement without cause upon 30 days’ written notice to MannKind.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 Business Circumstances.</w:t>
      </w:r>
      <w:r>
        <w:rPr>
          <w:rFonts w:ascii="Times New Roman" w:hAnsi="Times New Roman"/>
          <w:color w:val="000000"/>
          <w:sz w:val="20"/>
        </w:rPr>
        <w:t xml:space="preserve"> </w:t>
      </w:r>
      <w:r>
        <w:rPr>
          <w:rFonts w:ascii="Times New Roman" w:hAnsi="Times New Roman"/>
          <w:color w:val="000000"/>
          <w:sz w:val="24"/>
        </w:rPr>
        <w:t>A Party shall have the right to terminate this Agreement in the event of the other Party’s liquidation, bankruptcy or state of insolvency.</w:t>
      </w:r>
    </w:p>
    <w:p>
      <w:pPr>
        <w:pStyle w:val="TextBody"/>
        <w:bidi w:val="0"/>
        <w:spacing w:before="0" w:after="240"/>
        <w:jc w:val="both"/>
        <w:rPr>
          <w:rFonts w:ascii="Times New Roman" w:hAnsi="Times New Roman"/>
          <w:sz w:val="20"/>
        </w:rPr>
      </w:pPr>
      <w:r>
        <w:rPr>
          <w:rFonts w:ascii="Times New Roman" w:hAnsi="Times New Roman"/>
          <w:b/>
          <w:color w:val="000000"/>
          <w:sz w:val="24"/>
        </w:rPr>
        <w:t>9.3 Effects of Termination</w:t>
      </w:r>
      <w:r>
        <w:rPr>
          <w:rFonts w:ascii="Times New Roman" w:hAnsi="Times New Roman"/>
          <w:color w:val="000000"/>
          <w:sz w:val="24"/>
        </w:rPr>
        <w:t>. Upon the expiration or earlier termination of this Agreement, each Party shall return to the other Party, upon the other Party’s request, all tangible items of the other Party in its possession or under its control evidencing the Confidential Information of the other Party unless the Research Option is timely exercised in accordance with Section 4.2, in which case the terms of the Second LCA shall apply to such information. The expiration or earlier termination of this Agreement shall not affect any rights or claims of a Party hereunder that accrued prior to the date of such expiration or earlier termination.</w:t>
      </w:r>
    </w:p>
    <w:p>
      <w:pPr>
        <w:pStyle w:val="TextBody"/>
        <w:bidi w:val="0"/>
        <w:spacing w:before="0" w:after="240"/>
        <w:jc w:val="both"/>
        <w:rPr>
          <w:rFonts w:ascii="Times New Roman" w:hAnsi="Times New Roman"/>
          <w:sz w:val="20"/>
        </w:rPr>
      </w:pPr>
      <w:r>
        <w:rPr>
          <w:rFonts w:ascii="Times New Roman" w:hAnsi="Times New Roman"/>
          <w:b/>
          <w:color w:val="000000"/>
          <w:sz w:val="24"/>
        </w:rPr>
        <w:t>9.4 Survival.</w:t>
      </w:r>
      <w:r>
        <w:rPr>
          <w:rFonts w:ascii="Times New Roman" w:hAnsi="Times New Roman"/>
          <w:color w:val="000000"/>
          <w:sz w:val="20"/>
        </w:rPr>
        <w:t xml:space="preserve"> </w:t>
      </w:r>
      <w:r>
        <w:rPr>
          <w:rFonts w:ascii="Times New Roman" w:hAnsi="Times New Roman"/>
          <w:color w:val="000000"/>
          <w:sz w:val="24"/>
        </w:rPr>
        <w:t>Sections 3, 6.3, 7, 9.3, 9.4, 10 and 11 shall survive the expiration or termination of this Agreement.</w:t>
      </w:r>
    </w:p>
    <w:p>
      <w:pPr>
        <w:pStyle w:val="TextBody"/>
        <w:bidi w:val="0"/>
        <w:spacing w:before="0" w:after="240"/>
        <w:jc w:val="both"/>
        <w:rPr>
          <w:rFonts w:ascii="Times New Roman" w:hAnsi="Times New Roman"/>
          <w:sz w:val="20"/>
        </w:rPr>
      </w:pPr>
      <w:r>
        <w:rPr>
          <w:rFonts w:ascii="Times New Roman" w:hAnsi="Times New Roman"/>
          <w:b/>
          <w:caps/>
          <w:color w:val="000000"/>
          <w:sz w:val="24"/>
        </w:rPr>
        <w:t xml:space="preserve">10. </w:t>
      </w:r>
      <w:r>
        <w:rPr>
          <w:rFonts w:ascii="Times New Roman" w:hAnsi="Times New Roman"/>
          <w:b/>
          <w:smallCaps/>
          <w:color w:val="000000"/>
          <w:sz w:val="24"/>
        </w:rPr>
        <w:t>Confidential Information</w:t>
      </w:r>
    </w:p>
    <w:p>
      <w:pPr>
        <w:pStyle w:val="TextBody"/>
        <w:bidi w:val="0"/>
        <w:spacing w:before="0" w:after="240"/>
        <w:jc w:val="both"/>
        <w:rPr>
          <w:rFonts w:ascii="Times New Roman" w:hAnsi="Times New Roman"/>
          <w:sz w:val="20"/>
        </w:rPr>
      </w:pPr>
      <w:r>
        <w:rPr>
          <w:rFonts w:ascii="Times New Roman" w:hAnsi="Times New Roman"/>
          <w:color w:val="000000"/>
          <w:sz w:val="24"/>
        </w:rPr>
        <w:t>All confidential or proprietary information of a Party disclosed to the other Party or generated in the course of this Agreement, including the identity of Compound, shall be deemed to be Confidential Information as such term is used in the LCA and shall be subject to the secrecy and non-use terms for such information set forth in the LCA.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TextBody"/>
        <w:pBdr/>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aps/>
          <w:color w:val="000000"/>
          <w:sz w:val="24"/>
        </w:rPr>
        <w:t xml:space="preserve">11. </w:t>
      </w:r>
      <w:r>
        <w:rPr>
          <w:rFonts w:ascii="Times New Roman" w:hAnsi="Times New Roman"/>
          <w:b/>
          <w:smallCaps/>
          <w:color w:val="000000"/>
          <w:sz w:val="24"/>
        </w:rPr>
        <w:t>Miscellaneous</w:t>
      </w:r>
    </w:p>
    <w:p>
      <w:pPr>
        <w:pStyle w:val="TextBody"/>
        <w:bidi w:val="0"/>
        <w:spacing w:before="0" w:after="240"/>
        <w:jc w:val="both"/>
        <w:rPr>
          <w:rFonts w:ascii="Times New Roman" w:hAnsi="Times New Roman"/>
          <w:sz w:val="20"/>
        </w:rPr>
      </w:pPr>
      <w:r>
        <w:rPr>
          <w:rFonts w:ascii="Times New Roman" w:hAnsi="Times New Roman"/>
          <w:b/>
          <w:color w:val="000000"/>
          <w:sz w:val="24"/>
        </w:rPr>
        <w:t>11.1 Assignment.</w:t>
      </w:r>
      <w:r>
        <w:rPr>
          <w:rFonts w:ascii="Times New Roman" w:hAnsi="Times New Roman"/>
          <w:color w:val="000000"/>
          <w:sz w:val="20"/>
        </w:rPr>
        <w:t xml:space="preserve"> </w:t>
      </w:r>
      <w:r>
        <w:rPr>
          <w:rFonts w:ascii="Times New Roman" w:hAnsi="Times New Roman"/>
          <w:color w:val="000000"/>
          <w:sz w:val="24"/>
        </w:rPr>
        <w:t>Except as expressly provided hereunder, neither this Agreement nor any rights or obligations hereunder may be assigned or otherwise transferred by either Party without the prior written consent of the other Party (which consent shall not be unreasonably withheld); provided, however, that either Party may assign this Agreement and its rights and obligations hereunder (including, for clarity, with respect to the Research Agreement Option) without the other Party’s consent (a) in connection with the transfer or sale of all or substantially all of the business of such Party to which this Agreement relates to a Third Party, whether by merger, sale of stock, sale of assets or otherwise, or (b) to any Affiliate. Notwithstanding the foregoing, any such assignment to an Affiliate shall not relieve the assigning Party of its responsibilities for performance of its obligations under this Agreement. The rights and obligations of the Parties under this Agreement shall be binding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and inure to the benefit of the successors and permitted assigns of the Parties. Any assignment not in accordance with this Agreement shall be void.</w:t>
      </w:r>
    </w:p>
    <w:p>
      <w:pPr>
        <w:pStyle w:val="TextBody"/>
        <w:bidi w:val="0"/>
        <w:spacing w:before="0" w:after="240"/>
        <w:jc w:val="both"/>
        <w:rPr>
          <w:rFonts w:ascii="Times New Roman" w:hAnsi="Times New Roman"/>
          <w:sz w:val="20"/>
        </w:rPr>
      </w:pPr>
      <w:r>
        <w:rPr>
          <w:rFonts w:ascii="Times New Roman" w:hAnsi="Times New Roman"/>
          <w:b/>
          <w:color w:val="000000"/>
          <w:sz w:val="24"/>
        </w:rPr>
        <w:t>11.2 Relationship of the Parties.</w:t>
      </w:r>
      <w:r>
        <w:rPr>
          <w:rFonts w:ascii="Times New Roman" w:hAnsi="Times New Roman"/>
          <w:color w:val="000000"/>
          <w:sz w:val="20"/>
        </w:rPr>
        <w:t xml:space="preserve"> </w:t>
      </w:r>
      <w:r>
        <w:rPr>
          <w:rFonts w:ascii="Times New Roman" w:hAnsi="Times New Roman"/>
          <w:color w:val="000000"/>
          <w:sz w:val="24"/>
        </w:rPr>
        <w:t>It is expressly agreed that United Therapeutics and MannKind shall be independent contractors and that the relationship between the Parties shall not constitute a partnership, joint venture or agency of any kind. Neither Party shall have the authority to make any statements, representations or commitments of any kind, or to take any action, which shall be binding on the other Party, without the prior written consent of the other Party.</w:t>
      </w:r>
    </w:p>
    <w:p>
      <w:pPr>
        <w:pStyle w:val="TextBody"/>
        <w:bidi w:val="0"/>
        <w:spacing w:before="0" w:after="240"/>
        <w:jc w:val="both"/>
        <w:rPr>
          <w:rFonts w:ascii="Times New Roman" w:hAnsi="Times New Roman"/>
          <w:sz w:val="20"/>
        </w:rPr>
      </w:pPr>
      <w:r>
        <w:rPr>
          <w:rFonts w:ascii="Times New Roman" w:hAnsi="Times New Roman"/>
          <w:b/>
          <w:color w:val="000000"/>
          <w:sz w:val="24"/>
        </w:rPr>
        <w:t>11.3 Amendment.</w:t>
      </w:r>
      <w:r>
        <w:rPr>
          <w:rFonts w:ascii="Times New Roman" w:hAnsi="Times New Roman"/>
          <w:color w:val="000000"/>
          <w:sz w:val="20"/>
        </w:rPr>
        <w:t xml:space="preserve"> </w:t>
      </w:r>
      <w:r>
        <w:rPr>
          <w:rFonts w:ascii="Times New Roman" w:hAnsi="Times New Roman"/>
          <w:color w:val="000000"/>
          <w:sz w:val="24"/>
        </w:rPr>
        <w:t>Unless otherwise provided herein, this Agreement may not be changed, waived, discharged, or terminated orally, but instead only by a written document that is signed by the duly authorized representatives of both Parties.</w:t>
      </w:r>
    </w:p>
    <w:p>
      <w:pPr>
        <w:pStyle w:val="TextBody"/>
        <w:bidi w:val="0"/>
        <w:spacing w:before="0" w:after="240"/>
        <w:jc w:val="both"/>
        <w:rPr>
          <w:rFonts w:ascii="Times New Roman" w:hAnsi="Times New Roman"/>
          <w:sz w:val="20"/>
        </w:rPr>
      </w:pPr>
      <w:r>
        <w:rPr>
          <w:rFonts w:ascii="Times New Roman" w:hAnsi="Times New Roman"/>
          <w:b/>
          <w:color w:val="000000"/>
          <w:sz w:val="24"/>
        </w:rPr>
        <w:t>11.4 Waiver.</w:t>
      </w:r>
      <w:r>
        <w:rPr>
          <w:rFonts w:ascii="Times New Roman" w:hAnsi="Times New Roman"/>
          <w:color w:val="000000"/>
          <w:sz w:val="20"/>
        </w:rPr>
        <w:t xml:space="preserve"> </w:t>
      </w:r>
      <w:r>
        <w:rPr>
          <w:rFonts w:ascii="Times New Roman" w:hAnsi="Times New Roman"/>
          <w:color w:val="000000"/>
          <w:sz w:val="24"/>
        </w:rPr>
        <w:t>No failure or delay by either Party in exercising any right, power, or privilege under this Agreement shall operate as a waiver thereof, nor shall any single or partial waiver thereof include any other or further exercise thereof or the exercise of any other right, power, or privilege.</w:t>
      </w:r>
    </w:p>
    <w:p>
      <w:pPr>
        <w:pStyle w:val="TextBody"/>
        <w:bidi w:val="0"/>
        <w:spacing w:before="0" w:after="240"/>
        <w:jc w:val="both"/>
        <w:rPr>
          <w:rFonts w:ascii="Times New Roman" w:hAnsi="Times New Roman"/>
          <w:sz w:val="20"/>
        </w:rPr>
      </w:pPr>
      <w:r>
        <w:rPr>
          <w:rFonts w:ascii="Times New Roman" w:hAnsi="Times New Roman"/>
          <w:b/>
          <w:color w:val="000000"/>
          <w:sz w:val="24"/>
        </w:rPr>
        <w:t>11.5 Severability.</w:t>
      </w:r>
      <w:r>
        <w:rPr>
          <w:rFonts w:ascii="Times New Roman" w:hAnsi="Times New Roman"/>
          <w:color w:val="000000"/>
          <w:sz w:val="20"/>
        </w:rPr>
        <w:t xml:space="preserve"> </w:t>
      </w:r>
      <w:r>
        <w:rPr>
          <w:rFonts w:ascii="Times New Roman" w:hAnsi="Times New Roman"/>
          <w:color w:val="000000"/>
          <w:sz w:val="24"/>
        </w:rPr>
        <w:t>Whenever possible, each provision of the Agreement shall be interpreted in such manner as to be effective and valid under applicable law, but if any term or provision of this Agreement is held to be prohibited by or invalid under applicable law, such provision shall be ineffective only to the extent of such prohibition or invalidity, without invalidating the remainder of the Agreement and this Agreement shall be interpreted and construed as if such provision had never been contained herein.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TextBody"/>
        <w:pBdr/>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11.6 Notices</w:t>
      </w:r>
      <w:r>
        <w:rPr>
          <w:rFonts w:ascii="Times New Roman" w:hAnsi="Times New Roman"/>
          <w:color w:val="000000"/>
          <w:sz w:val="24"/>
        </w:rPr>
        <w:t>. Any notice or communication required or permitted under this Agreement shall be in writing in the English language, delivered personally, sent by facsimile (and promptly confirmed by personal delivery, registered or certified mail or overnight courier), sent by internationally-recognized courier or sent by registered or certified mail, postage prepaid to the following addresses of the Parties (or such other address for a Party as may be at any time thereafter specified by like notice):</w:t>
      </w:r>
    </w:p>
    <w:tbl>
      <w:tblPr>
        <w:tblW w:w="8582" w:type="dxa"/>
        <w:jc w:val="left"/>
        <w:tblInd w:w="0" w:type="dxa"/>
        <w:tblLayout w:type="fixed"/>
        <w:tblCellMar>
          <w:top w:w="28" w:type="dxa"/>
          <w:left w:w="28" w:type="dxa"/>
          <w:bottom w:w="28" w:type="dxa"/>
          <w:right w:w="28" w:type="dxa"/>
        </w:tblCellMar>
      </w:tblPr>
      <w:tblGrid>
        <w:gridCol w:w="3676"/>
        <w:gridCol w:w="4906"/>
      </w:tblGrid>
      <w:tr>
        <w:trPr/>
        <w:tc>
          <w:tcPr>
            <w:tcW w:w="3676"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jc w:val="both"/>
              <w:rPr>
                <w:rFonts w:ascii="Times New Roman" w:hAnsi="Times New Roman"/>
                <w:color w:val="000000"/>
                <w:sz w:val="22"/>
              </w:rPr>
            </w:pPr>
            <w:r>
              <w:rPr>
                <w:rFonts w:ascii="Times New Roman" w:hAnsi="Times New Roman"/>
                <w:color w:val="000000"/>
                <w:sz w:val="22"/>
              </w:rPr>
              <w:t>To MannKind:</w:t>
            </w:r>
          </w:p>
          <w:p>
            <w:pPr>
              <w:pStyle w:val="TableContents"/>
              <w:bidi w:val="0"/>
              <w:jc w:val="both"/>
              <w:rPr>
                <w:rFonts w:ascii="Times New Roman" w:hAnsi="Times New Roman"/>
                <w:color w:val="000000"/>
                <w:sz w:val="22"/>
              </w:rPr>
            </w:pPr>
            <w:r>
              <w:rPr>
                <w:rFonts w:ascii="Times New Roman" w:hAnsi="Times New Roman"/>
                <w:color w:val="000000"/>
                <w:sz w:val="22"/>
              </w:rPr>
              <w:t>MannKind Corporation</w:t>
            </w:r>
          </w:p>
          <w:p>
            <w:pPr>
              <w:pStyle w:val="TableContents"/>
              <w:bidi w:val="0"/>
              <w:jc w:val="both"/>
              <w:rPr>
                <w:rFonts w:ascii="Times New Roman" w:hAnsi="Times New Roman"/>
                <w:color w:val="000000"/>
                <w:sz w:val="22"/>
              </w:rPr>
            </w:pPr>
            <w:r>
              <w:rPr>
                <w:rFonts w:ascii="Times New Roman" w:hAnsi="Times New Roman"/>
                <w:color w:val="000000"/>
                <w:sz w:val="22"/>
              </w:rPr>
              <w:t>30930 Russell Ranch Road, Suite 301</w:t>
            </w:r>
          </w:p>
          <w:p>
            <w:pPr>
              <w:pStyle w:val="TableContents"/>
              <w:bidi w:val="0"/>
              <w:jc w:val="both"/>
              <w:rPr>
                <w:rFonts w:ascii="Times New Roman" w:hAnsi="Times New Roman"/>
                <w:color w:val="000000"/>
                <w:sz w:val="22"/>
              </w:rPr>
            </w:pPr>
            <w:r>
              <w:rPr>
                <w:rFonts w:ascii="Times New Roman" w:hAnsi="Times New Roman"/>
                <w:color w:val="000000"/>
                <w:sz w:val="22"/>
              </w:rPr>
              <w:t>Westlake Village, California 91362</w:t>
            </w:r>
          </w:p>
          <w:p>
            <w:pPr>
              <w:pStyle w:val="TableContents"/>
              <w:bidi w:val="0"/>
              <w:jc w:val="both"/>
              <w:rPr>
                <w:rFonts w:ascii="Times New Roman" w:hAnsi="Times New Roman"/>
                <w:color w:val="000000"/>
                <w:sz w:val="22"/>
              </w:rPr>
            </w:pPr>
            <w:r>
              <w:rPr>
                <w:rFonts w:ascii="Times New Roman" w:hAnsi="Times New Roman"/>
                <w:color w:val="000000"/>
                <w:sz w:val="22"/>
              </w:rPr>
              <w:t>Telephone: (818) 661-5000</w:t>
            </w:r>
          </w:p>
          <w:p>
            <w:pPr>
              <w:pStyle w:val="TableContents"/>
              <w:bidi w:val="0"/>
              <w:jc w:val="both"/>
              <w:rPr>
                <w:rFonts w:ascii="Times New Roman" w:hAnsi="Times New Roman"/>
                <w:color w:val="000000"/>
                <w:sz w:val="22"/>
              </w:rPr>
            </w:pPr>
            <w:r>
              <w:rPr>
                <w:rFonts w:ascii="Times New Roman" w:hAnsi="Times New Roman"/>
                <w:color w:val="000000"/>
                <w:sz w:val="22"/>
              </w:rPr>
              <w:t>Facsimile: (818) 661-5098</w:t>
            </w:r>
          </w:p>
          <w:p>
            <w:pPr>
              <w:pStyle w:val="TableContents"/>
              <w:bidi w:val="0"/>
              <w:jc w:val="both"/>
              <w:rPr>
                <w:rFonts w:ascii="Times New Roman" w:hAnsi="Times New Roman"/>
                <w:color w:val="000000"/>
                <w:sz w:val="22"/>
              </w:rPr>
            </w:pPr>
            <w:r>
              <w:rPr>
                <w:rFonts w:ascii="Times New Roman" w:hAnsi="Times New Roman"/>
                <w:color w:val="000000"/>
                <w:sz w:val="22"/>
              </w:rPr>
              <w:t>Attention: General Counsel</w:t>
            </w:r>
          </w:p>
          <w:p>
            <w:pPr>
              <w:pStyle w:val="TableContents"/>
              <w:bidi w:val="0"/>
              <w:jc w:val="both"/>
              <w:rPr>
                <w:rFonts w:ascii="Times New Roman" w:hAnsi="Times New Roman"/>
                <w:color w:val="000000"/>
                <w:sz w:val="22"/>
              </w:rPr>
            </w:pPr>
            <w:r>
              <w:rPr>
                <w:rFonts w:ascii="Times New Roman" w:hAnsi="Times New Roman"/>
                <w:color w:val="000000"/>
                <w:sz w:val="22"/>
              </w:rPr>
              <w:t>with a copy to:</w:t>
            </w:r>
          </w:p>
          <w:p>
            <w:pPr>
              <w:pStyle w:val="TableContents"/>
              <w:bidi w:val="0"/>
              <w:jc w:val="both"/>
              <w:rPr>
                <w:rFonts w:ascii="Times New Roman" w:hAnsi="Times New Roman"/>
                <w:color w:val="000000"/>
                <w:sz w:val="22"/>
              </w:rPr>
            </w:pPr>
            <w:r>
              <w:rPr>
                <w:rFonts w:ascii="Times New Roman" w:hAnsi="Times New Roman"/>
                <w:color w:val="000000"/>
                <w:sz w:val="22"/>
              </w:rPr>
              <w:t>Cooley LLP</w:t>
            </w:r>
          </w:p>
          <w:p>
            <w:pPr>
              <w:pStyle w:val="TableContents"/>
              <w:bidi w:val="0"/>
              <w:jc w:val="both"/>
              <w:rPr>
                <w:rFonts w:ascii="Times New Roman" w:hAnsi="Times New Roman"/>
                <w:color w:val="000000"/>
                <w:sz w:val="22"/>
              </w:rPr>
            </w:pPr>
            <w:r>
              <w:rPr>
                <w:rFonts w:ascii="Times New Roman" w:hAnsi="Times New Roman"/>
                <w:color w:val="000000"/>
                <w:sz w:val="22"/>
              </w:rPr>
              <w:t>4401 Eastgate Mall</w:t>
            </w:r>
          </w:p>
          <w:p>
            <w:pPr>
              <w:pStyle w:val="TableContents"/>
              <w:bidi w:val="0"/>
              <w:jc w:val="both"/>
              <w:rPr>
                <w:rFonts w:ascii="Times New Roman" w:hAnsi="Times New Roman"/>
                <w:color w:val="000000"/>
                <w:sz w:val="22"/>
              </w:rPr>
            </w:pPr>
            <w:r>
              <w:rPr>
                <w:rFonts w:ascii="Times New Roman" w:hAnsi="Times New Roman"/>
                <w:color w:val="000000"/>
                <w:sz w:val="22"/>
              </w:rPr>
              <w:t>San Diego, CA 92121</w:t>
            </w:r>
          </w:p>
          <w:p>
            <w:pPr>
              <w:pStyle w:val="TableContents"/>
              <w:bidi w:val="0"/>
              <w:jc w:val="both"/>
              <w:rPr>
                <w:rFonts w:ascii="Times New Roman" w:hAnsi="Times New Roman"/>
                <w:color w:val="000000"/>
                <w:sz w:val="22"/>
              </w:rPr>
            </w:pPr>
            <w:r>
              <w:rPr>
                <w:rFonts w:ascii="Times New Roman" w:hAnsi="Times New Roman"/>
                <w:color w:val="000000"/>
                <w:sz w:val="22"/>
              </w:rPr>
              <w:t>Telephone: (858) 550-6000</w:t>
            </w:r>
          </w:p>
          <w:p>
            <w:pPr>
              <w:pStyle w:val="TableContents"/>
              <w:bidi w:val="0"/>
              <w:jc w:val="both"/>
              <w:rPr>
                <w:rFonts w:ascii="Times New Roman" w:hAnsi="Times New Roman"/>
                <w:color w:val="000000"/>
                <w:sz w:val="22"/>
              </w:rPr>
            </w:pPr>
            <w:r>
              <w:rPr>
                <w:rFonts w:ascii="Times New Roman" w:hAnsi="Times New Roman"/>
                <w:color w:val="000000"/>
                <w:sz w:val="22"/>
              </w:rPr>
              <w:t>Facsimile: (858) 550-6420</w:t>
            </w:r>
          </w:p>
          <w:p>
            <w:pPr>
              <w:pStyle w:val="TableContents"/>
              <w:bidi w:val="0"/>
              <w:jc w:val="both"/>
              <w:rPr>
                <w:rFonts w:ascii="Times New Roman" w:hAnsi="Times New Roman"/>
                <w:color w:val="000000"/>
                <w:sz w:val="22"/>
              </w:rPr>
            </w:pPr>
            <w:r>
              <w:rPr>
                <w:rFonts w:ascii="Times New Roman" w:hAnsi="Times New Roman"/>
                <w:color w:val="000000"/>
                <w:sz w:val="22"/>
              </w:rPr>
              <w:t>Attention: L. Kay Chandler, Esq.</w:t>
            </w:r>
          </w:p>
          <w:p>
            <w:pPr>
              <w:pStyle w:val="TableContents"/>
              <w:bidi w:val="0"/>
              <w:spacing w:before="0" w:after="283"/>
              <w:jc w:val="both"/>
              <w:rPr/>
            </w:pPr>
            <w:r>
              <w:rPr/>
              <w:t> </w:t>
            </w:r>
          </w:p>
        </w:tc>
        <w:tc>
          <w:tcPr>
            <w:tcW w:w="4906" w:type="dxa"/>
            <w:tcBorders/>
            <w:vAlign w:val="center"/>
          </w:tcPr>
          <w:p>
            <w:pPr>
              <w:pStyle w:val="TableContents"/>
              <w:bidi w:val="0"/>
              <w:jc w:val="both"/>
              <w:rPr>
                <w:rFonts w:ascii="Times New Roman" w:hAnsi="Times New Roman"/>
                <w:color w:val="000000"/>
                <w:sz w:val="22"/>
              </w:rPr>
            </w:pPr>
            <w:r>
              <w:rPr>
                <w:rFonts w:ascii="Times New Roman" w:hAnsi="Times New Roman"/>
                <w:color w:val="000000"/>
                <w:sz w:val="22"/>
              </w:rPr>
              <w:t>To United Therapeutics:</w:t>
            </w:r>
          </w:p>
          <w:p>
            <w:pPr>
              <w:pStyle w:val="TableContents"/>
              <w:bidi w:val="0"/>
              <w:jc w:val="both"/>
              <w:rPr>
                <w:rFonts w:ascii="Times New Roman" w:hAnsi="Times New Roman"/>
                <w:color w:val="000000"/>
                <w:sz w:val="22"/>
              </w:rPr>
            </w:pPr>
            <w:r>
              <w:rPr>
                <w:rFonts w:ascii="Times New Roman" w:hAnsi="Times New Roman"/>
                <w:color w:val="000000"/>
                <w:sz w:val="22"/>
              </w:rPr>
              <w:t>United Therapeutics Corporation</w:t>
            </w:r>
          </w:p>
          <w:p>
            <w:pPr>
              <w:pStyle w:val="TableContents"/>
              <w:bidi w:val="0"/>
              <w:jc w:val="both"/>
              <w:rPr>
                <w:rFonts w:ascii="Times New Roman" w:hAnsi="Times New Roman"/>
                <w:color w:val="000000"/>
                <w:sz w:val="22"/>
              </w:rPr>
            </w:pPr>
            <w:r>
              <w:rPr>
                <w:rFonts w:ascii="Times New Roman" w:hAnsi="Times New Roman"/>
                <w:color w:val="000000"/>
                <w:sz w:val="22"/>
              </w:rPr>
              <w:t>1040 Spring Street, Silver Spring, Maryland 20910</w:t>
            </w:r>
          </w:p>
          <w:p>
            <w:pPr>
              <w:pStyle w:val="TableContents"/>
              <w:bidi w:val="0"/>
              <w:jc w:val="both"/>
              <w:rPr>
                <w:rFonts w:ascii="Times New Roman" w:hAnsi="Times New Roman"/>
                <w:color w:val="000000"/>
                <w:sz w:val="22"/>
              </w:rPr>
            </w:pPr>
            <w:r>
              <w:rPr>
                <w:rFonts w:ascii="Times New Roman" w:hAnsi="Times New Roman"/>
                <w:color w:val="000000"/>
                <w:sz w:val="22"/>
              </w:rPr>
              <w:t>Attention: General Counsel</w:t>
            </w:r>
          </w:p>
          <w:p>
            <w:pPr>
              <w:pStyle w:val="TableContents"/>
              <w:bidi w:val="0"/>
              <w:jc w:val="both"/>
              <w:rPr>
                <w:rFonts w:ascii="Times New Roman" w:hAnsi="Times New Roman"/>
                <w:color w:val="000000"/>
                <w:sz w:val="22"/>
              </w:rPr>
            </w:pPr>
            <w:r>
              <w:rPr>
                <w:rFonts w:ascii="Times New Roman" w:hAnsi="Times New Roman"/>
                <w:color w:val="000000"/>
                <w:sz w:val="22"/>
              </w:rPr>
              <w:t>with a copy to:</w:t>
            </w:r>
          </w:p>
          <w:p>
            <w:pPr>
              <w:pStyle w:val="TableContents"/>
              <w:bidi w:val="0"/>
              <w:jc w:val="left"/>
              <w:rPr>
                <w:rFonts w:ascii="Times New Roman" w:hAnsi="Times New Roman"/>
                <w:color w:val="000000"/>
                <w:sz w:val="22"/>
              </w:rPr>
            </w:pPr>
            <w:r>
              <w:rPr>
                <w:rFonts w:ascii="Times New Roman" w:hAnsi="Times New Roman"/>
                <w:color w:val="000000"/>
                <w:sz w:val="22"/>
              </w:rPr>
              <w:t>Wilson Sonsini Goodrich &amp; Rosati</w:t>
            </w:r>
          </w:p>
          <w:p>
            <w:pPr>
              <w:pStyle w:val="TableContents"/>
              <w:bidi w:val="0"/>
              <w:jc w:val="left"/>
              <w:rPr>
                <w:rFonts w:ascii="Times New Roman" w:hAnsi="Times New Roman"/>
                <w:color w:val="000000"/>
                <w:sz w:val="22"/>
              </w:rPr>
            </w:pPr>
            <w:r>
              <w:rPr>
                <w:rFonts w:ascii="Times New Roman" w:hAnsi="Times New Roman"/>
                <w:color w:val="000000"/>
                <w:sz w:val="22"/>
              </w:rPr>
              <w:t>1700 K Street, NW, Suite 500</w:t>
            </w:r>
          </w:p>
          <w:p>
            <w:pPr>
              <w:pStyle w:val="TableContents"/>
              <w:bidi w:val="0"/>
              <w:jc w:val="left"/>
              <w:rPr>
                <w:rFonts w:ascii="Times New Roman" w:hAnsi="Times New Roman"/>
                <w:color w:val="000000"/>
                <w:sz w:val="22"/>
              </w:rPr>
            </w:pPr>
            <w:r>
              <w:rPr>
                <w:rFonts w:ascii="Times New Roman" w:hAnsi="Times New Roman"/>
                <w:color w:val="000000"/>
                <w:sz w:val="22"/>
              </w:rPr>
              <w:t>Washington, DC 20006</w:t>
            </w:r>
          </w:p>
          <w:p>
            <w:pPr>
              <w:pStyle w:val="TableContents"/>
              <w:bidi w:val="0"/>
              <w:spacing w:before="0" w:after="120"/>
              <w:jc w:val="left"/>
              <w:rPr>
                <w:rFonts w:ascii="Times New Roman" w:hAnsi="Times New Roman"/>
                <w:sz w:val="22"/>
              </w:rPr>
            </w:pPr>
            <w:r>
              <w:rPr>
                <w:rFonts w:ascii="Times New Roman" w:hAnsi="Times New Roman"/>
                <w:color w:val="000000"/>
                <w:sz w:val="22"/>
              </w:rPr>
              <w:t>Telephone: (202) 973-8830</w:t>
            </w:r>
            <w:r>
              <w:rPr>
                <w:rFonts w:ascii="Times New Roman" w:hAnsi="Times New Roman"/>
                <w:color w:val="000000"/>
                <w:sz w:val="22"/>
                <w:u w:val="single"/>
              </w:rPr>
              <w:br/>
            </w:r>
            <w:r>
              <w:rPr>
                <w:rFonts w:ascii="Times New Roman" w:hAnsi="Times New Roman"/>
                <w:color w:val="000000"/>
                <w:sz w:val="22"/>
              </w:rPr>
              <w:t>Facsimile: (202) 973-8899</w:t>
            </w:r>
            <w:r>
              <w:rPr>
                <w:rFonts w:ascii="Times New Roman" w:hAnsi="Times New Roman"/>
                <w:color w:val="000000"/>
                <w:sz w:val="22"/>
                <w:u w:val="single"/>
              </w:rPr>
              <w:br/>
            </w:r>
            <w:r>
              <w:rPr>
                <w:rFonts w:ascii="Times New Roman" w:hAnsi="Times New Roman"/>
                <w:color w:val="000000"/>
                <w:sz w:val="22"/>
              </w:rPr>
              <w:t>Attention: James G. Clessuras, Esq.</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Any such notice shall be deemed to have been given: (a) when delivered if personally delivered; (b) on the next Business Day after dispatch if sent by confirmed facsimile or by internationally-recognized overnight courier; and/or (c) on the third Business Day following the date of mailing if sent by mail or nationally recognized courier.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11.7 Dispute Resolution.</w:t>
      </w:r>
      <w:r>
        <w:rPr>
          <w:rFonts w:ascii="Times New Roman" w:hAnsi="Times New Roman"/>
          <w:color w:val="000000"/>
          <w:sz w:val="20"/>
        </w:rPr>
        <w:t xml:space="preserve"> </w:t>
      </w:r>
      <w:r>
        <w:rPr>
          <w:rFonts w:ascii="Times New Roman" w:hAnsi="Times New Roman"/>
          <w:color w:val="000000"/>
          <w:sz w:val="24"/>
        </w:rPr>
        <w:t>If a dispute arises under this Agreement, including a dispute between the Project Liaisons, then the Parties shall use reasonable efforts to attempt to resolve such dispute, including escalation of discussions to the appropriate level of management, as provided in Section 11.8,</w:t>
      </w:r>
      <w:r>
        <w:rPr>
          <w:rFonts w:ascii="Times New Roman" w:hAnsi="Times New Roman"/>
          <w:color w:val="000000"/>
          <w:sz w:val="20"/>
        </w:rPr>
        <w:t xml:space="preserve"> </w:t>
      </w:r>
      <w:r>
        <w:rPr>
          <w:rFonts w:ascii="Times New Roman" w:hAnsi="Times New Roman"/>
          <w:color w:val="000000"/>
          <w:sz w:val="24"/>
        </w:rPr>
        <w:t>prior to exercising any remedies that may exist by commencing an action against the other Party.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11.8 Escalation.</w:t>
      </w:r>
      <w:r>
        <w:rPr>
          <w:rFonts w:ascii="Times New Roman" w:hAnsi="Times New Roman"/>
          <w:color w:val="000000"/>
          <w:sz w:val="20"/>
        </w:rPr>
        <w:t xml:space="preserve"> </w:t>
      </w:r>
      <w:r>
        <w:rPr>
          <w:rFonts w:ascii="Times New Roman" w:hAnsi="Times New Roman"/>
          <w:color w:val="000000"/>
          <w:sz w:val="24"/>
        </w:rPr>
        <w:t>Prior to taking action as provided in Section 11.9 below, and at the request of any Party if there is a dispute, the Parties shall first submit such dispute to their respective chief executive officers, or the representative designated by such individual (provided that such representative is a senior executive officer of such Party with authority to settle the applicable issue or dispute submitted for resolution under this Section 11.8) (“</w:t>
      </w:r>
      <w:r>
        <w:rPr>
          <w:rFonts w:ascii="Times New Roman" w:hAnsi="Times New Roman"/>
          <w:b/>
          <w:i/>
          <w:color w:val="000000"/>
          <w:sz w:val="24"/>
        </w:rPr>
        <w:t>Senior Executives</w:t>
      </w:r>
      <w:r>
        <w:rPr>
          <w:rFonts w:ascii="Times New Roman" w:hAnsi="Times New Roman"/>
          <w:color w:val="000000"/>
          <w:sz w:val="20"/>
        </w:rPr>
        <w:t>”</w:t>
      </w:r>
      <w:r>
        <w:rPr>
          <w:rFonts w:ascii="Times New Roman" w:hAnsi="Times New Roman"/>
          <w:color w:val="000000"/>
          <w:sz w:val="24"/>
        </w:rPr>
        <w:t>) for good faith discussion and attempted resolution. The Senior Executives to whom any dispute is submitted shall attempt to resolve the dispute through good faith negotiations over a reasonable period, not to exceed 10 Business Days, unless the Senior Executives mutually agree in writing to extend such period of negotiation. Such 10 Business Day period shall be deemed to commence on the date the dispute was submitted by a Party to the Senior Executives. The Senior Executives shall, if mutually agreed by the Senior Executives, submit the dispute to voluntary mediation at such place and following such procedures as the Parties shall reasonably agree. All negotiations and discussions pursuant to this Section 11.8 shall be confidential, and the Parties agree that all information concerning or disclosed as part of such negotiations and discussions are and such shall be treated as compromise and settlement negotiations for purposes of applicable rules of evidence.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pBdr/>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11.9 Court Actions</w:t>
      </w:r>
      <w:r>
        <w:rPr>
          <w:rFonts w:ascii="Times New Roman" w:hAnsi="Times New Roman"/>
          <w:color w:val="000000"/>
          <w:sz w:val="24"/>
        </w:rPr>
        <w:t>. If the Senior Executives of the Parties are unable to resolve a given dispute within the time limits set forth in Section 11.8, either Party may file suit to resolve such matter (including bringing an action for injunctive relief (or any other provisional remedy) as described below. Unless otherwise agreed, by the Parties, all actions and proceedings relating to this Agreement shall be heard and determined in any New York State or federal court sitting in the City of New York, County of Manhattan, and the Parties hereby irrevocably submit to exclusive jurisdiction of such courts in any such action or proceeding and irrevocably waive any defense of inconvenient forum to the maintenance of any such action or proceeding and waive any right to request transfer venue outside any New York State or federal court sitting in the City of New York, County of Manhattan.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11.10 Governing Law. </w:t>
      </w:r>
      <w:r>
        <w:rPr>
          <w:rFonts w:ascii="Times New Roman" w:hAnsi="Times New Roman"/>
          <w:color w:val="000000"/>
          <w:sz w:val="24"/>
        </w:rPr>
        <w:t>This Agreement, and all questions regarding the existence, validity, interpretation, breach or performance of this Agreement, shall be governed by, and construed and enforced in accordance with, the laws of the State of New York, United States, without reference to its conflicts of law principles with the exception of sections 5-1401 and 5-1402 of New York General Obligations Law.</w:t>
      </w:r>
    </w:p>
    <w:p>
      <w:pPr>
        <w:pStyle w:val="TextBody"/>
        <w:bidi w:val="0"/>
        <w:spacing w:before="0" w:after="240"/>
        <w:jc w:val="both"/>
        <w:rPr>
          <w:rFonts w:ascii="Times New Roman" w:hAnsi="Times New Roman"/>
          <w:sz w:val="20"/>
        </w:rPr>
      </w:pPr>
      <w:r>
        <w:rPr>
          <w:rFonts w:ascii="Times New Roman" w:hAnsi="Times New Roman"/>
          <w:b/>
          <w:color w:val="000000"/>
          <w:sz w:val="24"/>
        </w:rPr>
        <w:t>11.11 Entire Agreement</w:t>
      </w:r>
      <w:r>
        <w:rPr>
          <w:rFonts w:ascii="Times New Roman" w:hAnsi="Times New Roman"/>
          <w:color w:val="000000"/>
          <w:sz w:val="24"/>
        </w:rPr>
        <w:t>. This Agreement includes all exhibits attached hereto and any specifications that are executed by authorized representatives of the Parties, and constitutes the entire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Agreement by and between the Parties with respect to the formulation prototyping activities described in the Work Plans.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11.12 Counterparts; Electronic or Facsimile Signatures.</w:t>
      </w:r>
      <w:r>
        <w:rPr>
          <w:rFonts w:ascii="Times New Roman" w:hAnsi="Times New Roman"/>
          <w:color w:val="000000"/>
          <w:sz w:val="20"/>
        </w:rPr>
        <w:t xml:space="preserve"> </w:t>
      </w:r>
      <w:r>
        <w:rPr>
          <w:rFonts w:ascii="Times New Roman" w:hAnsi="Times New Roman"/>
          <w:color w:val="000000"/>
          <w:sz w:val="24"/>
        </w:rPr>
        <w:t>This Agreement may be executed in any number of 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pStyle w:val="TextBody"/>
        <w:bidi w:val="0"/>
        <w:spacing w:before="0" w:after="240"/>
        <w:jc w:val="both"/>
        <w:rPr>
          <w:rFonts w:ascii="Times New Roman" w:hAnsi="Times New Roman"/>
          <w:sz w:val="20"/>
        </w:rPr>
      </w:pPr>
      <w:r>
        <w:rPr>
          <w:rFonts w:ascii="Times New Roman" w:hAnsi="Times New Roman"/>
          <w:b/>
          <w:color w:val="000000"/>
          <w:sz w:val="24"/>
        </w:rPr>
        <w:t>11.13 Limitation of Liability.</w:t>
      </w:r>
      <w:r>
        <w:rPr>
          <w:rFonts w:ascii="Times New Roman" w:hAnsi="Times New Roman"/>
          <w:color w:val="000000"/>
          <w:sz w:val="20"/>
        </w:rPr>
        <w:t xml:space="preserve"> </w:t>
      </w:r>
      <w:r>
        <w:rPr>
          <w:rFonts w:ascii="Times New Roman" w:hAnsi="Times New Roman"/>
          <w:color w:val="000000"/>
          <w:sz w:val="24"/>
        </w:rPr>
        <w:t xml:space="preserve">EXCEPT FOR LIABILITY FOR BREACH OF ARTICLE 10, NEITHER PARTY SHALL BE ENTITLED TO RECOVER FROM THE OTHER PARTY ANY SPECIAL, INCIDENTAL, CONSEQUENTIAL OR PUNITIVE DAMAGES IN CONNECTION WITH THIS AGREEMENT OR ANY LICENSE OR RIGHT GRANTED HEREUNDER;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this Section 11.13 shall not be construed to limit either Party’s indemnification obligations with respect to Third Party Claims under Article 7.</w:t>
      </w:r>
    </w:p>
    <w:p>
      <w:pPr>
        <w:pStyle w:val="TextBody"/>
        <w:bidi w:val="0"/>
        <w:spacing w:before="0" w:after="240"/>
        <w:jc w:val="both"/>
        <w:rPr>
          <w:rFonts w:ascii="Times New Roman" w:hAnsi="Times New Roman"/>
          <w:sz w:val="20"/>
        </w:rPr>
      </w:pPr>
      <w:r>
        <w:rPr>
          <w:rFonts w:ascii="Times New Roman" w:hAnsi="Times New Roman"/>
          <w:b/>
          <w:color w:val="000000"/>
          <w:sz w:val="24"/>
        </w:rPr>
        <w:t>11.14 Separate Agreements</w:t>
      </w:r>
      <w:r>
        <w:rPr>
          <w:rFonts w:ascii="Times New Roman" w:hAnsi="Times New Roman"/>
          <w:color w:val="000000"/>
          <w:sz w:val="24"/>
        </w:rPr>
        <w:t>. For the avoidance of any doubt, this Agreement and the Second LCA (if executed) are entirely separate from, and its effectiveness is not conditioned in any way on the effectiveness of, the LCA.</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[Signature Page Follows]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TextBody"/>
        <w:pBdr/>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hereto have this day caused this Agreement to be executed by their duly authorized officers.</w:t>
      </w:r>
    </w:p>
    <w:tbl>
      <w:tblPr>
        <w:tblW w:w="8055" w:type="dxa"/>
        <w:jc w:val="left"/>
        <w:tblInd w:w="0" w:type="dxa"/>
        <w:tblLayout w:type="fixed"/>
        <w:tblCellMar>
          <w:top w:w="28" w:type="dxa"/>
          <w:left w:w="28" w:type="dxa"/>
          <w:bottom w:w="28" w:type="dxa"/>
          <w:right w:w="28" w:type="dxa"/>
        </w:tblCellMar>
      </w:tblPr>
      <w:tblGrid>
        <w:gridCol w:w="835"/>
        <w:gridCol w:w="2303"/>
        <w:gridCol w:w="162"/>
        <w:gridCol w:w="1110"/>
        <w:gridCol w:w="3645"/>
      </w:tblGrid>
      <w:tr>
        <w:trPr/>
        <w:tc>
          <w:tcPr>
            <w:tcW w:w="83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MANNKIND CORPORATION</w:t>
            </w:r>
          </w:p>
        </w:tc>
        <w:tc>
          <w:tcPr>
            <w:tcW w:w="47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UNITED THERAPEUTICS CORPORATION</w:t>
            </w:r>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2303"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tcMar>
              <w:top w:w="0" w:type="dxa"/>
              <w:left w:w="0" w:type="dxa"/>
              <w:bottom w:w="0" w:type="dxa"/>
              <w:right w:w="0" w:type="dxa"/>
            </w:tcMar>
            <w:vAlign w:val="center"/>
          </w:tcPr>
          <w:p>
            <w:pPr>
              <w:pStyle w:val="TableContents"/>
              <w:bidi w:val="0"/>
              <w:spacing w:before="0" w:after="283"/>
              <w:jc w:val="left"/>
              <w:rPr/>
            </w:pPr>
            <w:r>
              <w:rPr/>
              <w:t> </w:t>
            </w:r>
          </w:p>
        </w:tc>
        <w:tc>
          <w:tcPr>
            <w:tcW w:w="36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30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Castagna</w:t>
            </w:r>
          </w:p>
        </w:tc>
        <w:tc>
          <w:tcPr>
            <w:tcW w:w="16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6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Martine Rothblatt</w:t>
            </w:r>
          </w:p>
        </w:tc>
      </w:tr>
      <w:tr>
        <w:trPr/>
        <w:tc>
          <w:tcPr>
            <w:tcW w:w="8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Michael Castagna</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Martine Rothblatt</w:t>
            </w:r>
          </w:p>
        </w:tc>
      </w:tr>
      <w:tr>
        <w:trPr/>
        <w:tc>
          <w:tcPr>
            <w:tcW w:w="8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4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w:t>
            </w:r>
          </w:p>
        </w:tc>
        <w:tc>
          <w:tcPr>
            <w:tcW w:w="11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w:t>
            </w:r>
          </w:p>
        </w:tc>
      </w:tr>
    </w:tbl>
    <w:p>
      <w:pPr>
        <w:pStyle w:val="HorizontalLine"/>
        <w:pBdr>
          <w:bottom w:val="double" w:sz="2" w:space="0" w:color="808080"/>
        </w:pBdr>
        <w:bidi w:val="0"/>
        <w:spacing w:before="0" w:after="283"/>
        <w:jc w:val="left"/>
        <w:rPr/>
      </w:pPr>
      <w:r>
        <w:rPr/>
      </w:r>
    </w:p>
    <w:p>
      <w:pPr>
        <w:pStyle w:val="TextBody"/>
        <w:bidi w:val="0"/>
        <w:jc w:val="left"/>
        <w:rPr/>
      </w:pPr>
      <w:bookmarkStart w:id="28" w:name="mnkd-ex31_1.htm"/>
      <w:bookmarkStart w:id="29" w:name="ksmnkdex31_1"/>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CERTIFICATION OF CHIEF EXECUTIVE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 13a-14(a) OR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E. Castagna,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quarterly period ended September 30, 2024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pPr>
            <w:r>
              <w:rPr/>
              <w:t> </w:t>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Michael E. Castagna</w:t>
            </w:r>
          </w:p>
        </w:tc>
      </w:tr>
      <w:tr>
        <w:trPr/>
        <w:tc>
          <w:tcPr>
            <w:tcW w:w="318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E. Castagna</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and Director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7, 2024</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nkd-ex31_2.htm"/>
      <w:bookmarkStart w:id="31" w:name="ksmnkdex31_2"/>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CERTIFICATION OF CHIEF FINANCIAL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 13a-14(a) OR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Christopher B. Prentiss,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quarterly period ended September 30, 2024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pPr>
            <w:r>
              <w:rPr/>
              <w:t> </w:t>
            </w:r>
          </w:p>
        </w:tc>
      </w:tr>
      <w:tr>
        <w:trPr/>
        <w:tc>
          <w:tcPr>
            <w:tcW w:w="226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Christopher B. Prentiss</w:t>
            </w:r>
          </w:p>
        </w:tc>
      </w:tr>
      <w:tr>
        <w:trPr/>
        <w:tc>
          <w:tcPr>
            <w:tcW w:w="22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Christopher B. Prentiss</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7, 2024</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mnkd-ex32_1.htm"/>
      <w:bookmarkStart w:id="33" w:name="ksmnkdex32_1"/>
      <w:bookmarkEnd w:id="32"/>
      <w:bookmarkEnd w:id="3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w:t>
      </w:r>
    </w:p>
    <w:p>
      <w:pPr>
        <w:pStyle w:val="TextBody"/>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RULE 13a-14(b) OR 15d-14(b) OF THE SECURITIES EXCHANGE ACT OF 1934, AS AMENDED, AND SECTION 1350 OF </w:t>
      </w:r>
    </w:p>
    <w:p>
      <w:pPr>
        <w:pStyle w:val="TextBody"/>
        <w:bidi w:val="0"/>
        <w:spacing w:before="240" w:after="283"/>
        <w:jc w:val="center"/>
        <w:rPr>
          <w:rFonts w:ascii="Times New Roman" w:hAnsi="Times New Roman"/>
          <w:sz w:val="20"/>
        </w:rPr>
      </w:pPr>
      <w:r>
        <w:rPr>
          <w:rFonts w:ascii="Times New Roman" w:hAnsi="Times New Roman"/>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filing of the quarterly report of MannKind Corporation (the “Company”) on Form 10-Q for the quarterly period ended September 30, 2024,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7th day of November, 2024. </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p>
        </w:tc>
        <w:tc>
          <w:tcPr>
            <w:tcW w:w="99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mnkd-ex32_2.htm"/>
      <w:bookmarkStart w:id="35" w:name="ksmnkdex32_2"/>
      <w:bookmarkEnd w:id="34"/>
      <w:bookmarkEnd w:id="3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w:t>
      </w:r>
    </w:p>
    <w:p>
      <w:pPr>
        <w:pStyle w:val="TextBody"/>
        <w:bidi w:val="0"/>
        <w:jc w:val="center"/>
        <w:rPr>
          <w:rFonts w:ascii="Times New Roman" w:hAnsi="Times New Roman"/>
          <w:color w:val="000000"/>
          <w:sz w:val="20"/>
        </w:rPr>
      </w:pPr>
      <w:r>
        <w:rPr>
          <w:rFonts w:ascii="Times New Roman" w:hAnsi="Times New Roman"/>
          <w:color w:val="000000"/>
          <w:sz w:val="20"/>
        </w:rPr>
        <w:t xml:space="preserve">CHIEF FINANCIAL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RULE 13a-14(b) OR 15d-14(b) OF THE SECURITIES EXCHANGE ACT OF 1934, AS AMENDED, AND SECTION 1350 OF </w:t>
      </w:r>
    </w:p>
    <w:p>
      <w:pPr>
        <w:pStyle w:val="TextBody"/>
        <w:bidi w:val="0"/>
        <w:spacing w:before="240" w:after="283"/>
        <w:jc w:val="center"/>
        <w:rPr>
          <w:rFonts w:ascii="Times New Roman" w:hAnsi="Times New Roman"/>
          <w:sz w:val="20"/>
        </w:rPr>
      </w:pPr>
      <w:r>
        <w:rPr>
          <w:rFonts w:ascii="Times New Roman" w:hAnsi="Times New Roman"/>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filing of the quarterly report of MannKind Corporation (the “Company”) on Form 10-Q for the quarterly period ended September 30, 2024,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7th day of November, 2024. </w:t>
      </w:r>
    </w:p>
    <w:p>
      <w:pPr>
        <w:pStyle w:val="TextBody"/>
        <w:bidi w:val="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pPr>
            <w:r>
              <w:rPr/>
              <w:t> </w:t>
            </w:r>
          </w:p>
        </w:tc>
      </w:tr>
      <w:tr>
        <w:trPr/>
        <w:tc>
          <w:tcPr>
            <w:tcW w:w="2266"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Christopher B. Prentiss</w:t>
            </w:r>
          </w:p>
        </w:tc>
      </w:tr>
      <w:tr>
        <w:trPr/>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r>
      <w:tr>
        <w:trPr/>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p>
        </w:tc>
        <w:tc>
          <w:tcPr>
            <w:tcW w:w="99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99460/000119312516676980/d225552dex31.htm" TargetMode="External"/><Relationship Id="rId3" Type="http://schemas.openxmlformats.org/officeDocument/2006/relationships/hyperlink" Target="https://www.sec.gov/Archives/edgar/data/899460/000119312517066630/d313758dex31.htm" TargetMode="External"/><Relationship Id="rId4" Type="http://schemas.openxmlformats.org/officeDocument/2006/relationships/hyperlink" Target="https://www.sec.gov/Archives/edgar/data/899460/000119312517368329/d511527dex31.htm" TargetMode="External"/><Relationship Id="rId5" Type="http://schemas.openxmlformats.org/officeDocument/2006/relationships/hyperlink" Target="https://www.sec.gov/Archives/edgar/data/899460/000119312520153051/d936164dex31.htm" TargetMode="External"/><Relationship Id="rId6" Type="http://schemas.openxmlformats.org/officeDocument/2006/relationships/hyperlink" Target="https://www.sec.gov/Archives/edgar/data/899460/000119312523156575/d473553dex31.htm" TargetMode="External"/><Relationship Id="rId7" Type="http://schemas.openxmlformats.org/officeDocument/2006/relationships/hyperlink" Target="https://www.sec.gov/Archives/edgar/data/899460/000119312520153051/d936164dex32.htm" TargetMode="External"/><Relationship Id="rId8" Type="http://schemas.openxmlformats.org/officeDocument/2006/relationships/hyperlink" Target="https://www.sec.gov/Archives/edgar/data/899460/000119312516676980/d225552dex31.htm" TargetMode="External"/><Relationship Id="rId9" Type="http://schemas.openxmlformats.org/officeDocument/2006/relationships/hyperlink" Target="https://www.sec.gov/Archives/edgar/data/899460/000119312517066630/d313758dex31.htm" TargetMode="External"/><Relationship Id="rId10" Type="http://schemas.openxmlformats.org/officeDocument/2006/relationships/hyperlink" Target="https://www.sec.gov/Archives/edgar/data/899460/000119312517368329/d511527dex31.htm" TargetMode="External"/><Relationship Id="rId11" Type="http://schemas.openxmlformats.org/officeDocument/2006/relationships/hyperlink" Target="https://www.sec.gov/Archives/edgar/data/899460/000119312520153051/d936164dex31.htm" TargetMode="External"/><Relationship Id="rId12" Type="http://schemas.openxmlformats.org/officeDocument/2006/relationships/hyperlink" Target="https://www.sec.gov/Archives/edgar/data/899460/000119312523156575/d473553dex31.htm" TargetMode="External"/><Relationship Id="rId13" Type="http://schemas.openxmlformats.org/officeDocument/2006/relationships/hyperlink" Target="https://www.sec.gov/Archives/edgar/data/899460/000119312520153051/d936164dex32.htm" TargetMode="External"/><Relationship Id="rId14" Type="http://schemas.openxmlformats.org/officeDocument/2006/relationships/hyperlink" Target="https://www.sec.gov/Archives/edgar/data/899460/000119312517085519/d305327dex42.htm" TargetMode="External"/><Relationship Id="rId15" Type="http://schemas.openxmlformats.org/officeDocument/2006/relationships/hyperlink" Target="https://www.sec.gov/Archives/edgar/data/899460/000119312513279522/d562665dex993.htm" TargetMode="External"/><Relationship Id="rId16" Type="http://schemas.openxmlformats.org/officeDocument/2006/relationships/hyperlink" Target="https://www.sec.gov/Archives/edgar/data/899460/000119312519215305/d757696dex41.htm" TargetMode="External"/><Relationship Id="rId17" Type="http://schemas.openxmlformats.org/officeDocument/2006/relationships/hyperlink" Target="https://www.sec.gov/Archives/edgar/data/899460/000119312521070265/d45565dex4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63891</Words>
  <Characters>353561</Characters>
  <CharactersWithSpaces>419069</CharactersWithSpaces>
  <Paragraphs>8809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