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4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28903 North Avenue Paine</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Valencia, California</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91355</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(661) 775-5300</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240" w:space="160"/>
            <w:col w:w="260" w:space="100"/>
            <w:col w:w="140" w:space="180"/>
            <w:col w:w="334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April 27, 2012, there were 167,821,957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0"/>
            <w:vMerge w:val="restart"/>
          </w:tcPr>
          <w:p>
            <w:pPr>
              <w:spacing w:after="0"/>
              <w:rPr>
                <w:sz w:val="20"/>
                <w:szCs w:val="20"/>
                <w:color w:val="auto"/>
              </w:rPr>
            </w:pPr>
            <w:r>
              <w:rPr>
                <w:rFonts w:ascii="Arial" w:cs="Arial" w:eastAsia="Arial" w:hAnsi="Arial"/>
                <w:sz w:val="18"/>
                <w:szCs w:val="18"/>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20"/>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40" w:type="dxa"/>
            <w:vAlign w:val="bottom"/>
            <w:gridSpan w:val="20"/>
          </w:tcPr>
          <w:p>
            <w:pPr>
              <w:spacing w:after="0"/>
              <w:rPr>
                <w:sz w:val="20"/>
                <w:szCs w:val="20"/>
                <w:color w:val="auto"/>
              </w:rPr>
            </w:pPr>
            <w:r>
              <w:rPr>
                <w:rFonts w:ascii="Arial" w:cs="Arial" w:eastAsia="Arial" w:hAnsi="Arial"/>
                <w:sz w:val="18"/>
                <w:szCs w:val="18"/>
                <w:color w:val="auto"/>
              </w:rPr>
              <w:t>Item 1. Financial Statements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800" w:type="dxa"/>
            <w:vAlign w:val="bottom"/>
            <w:tcBorders>
              <w:bottom w:val="single" w:sz="8" w:color="0000EE"/>
            </w:tcBorders>
            <w:gridSpan w:val="15"/>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March 31, 2012 and December 31, 2011</w:t>
              </w:r>
            </w:hyperlink>
          </w:p>
        </w:tc>
        <w:tc>
          <w:tcPr>
            <w:tcW w:w="5240" w:type="dxa"/>
            <w:vAlign w:val="bottom"/>
            <w:gridSpan w:val="5"/>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Three months ended March 31, 2012 and 2011 and the period from February 14, 1991 (date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inception) to March 31, 2012</w:t>
              </w:r>
            </w:hyperlink>
          </w:p>
        </w:tc>
        <w:tc>
          <w:tcPr>
            <w:tcW w:w="8020" w:type="dxa"/>
            <w:vAlign w:val="bottom"/>
            <w:tcBorders>
              <w:top w:val="single" w:sz="8" w:color="0000EE"/>
            </w:tcBorders>
            <w:gridSpan w:val="8"/>
          </w:tcPr>
          <w:p>
            <w:pPr>
              <w:spacing w:after="0"/>
              <w:rPr>
                <w:sz w:val="17"/>
                <w:szCs w:val="17"/>
                <w:color w:val="auto"/>
              </w:rPr>
            </w:pPr>
          </w:p>
        </w:tc>
        <w:tc>
          <w:tcPr>
            <w:tcW w:w="7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4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Loss for the three months ended March 31, 2012 and 2011 and the period from February 14,</w:t>
              </w:r>
            </w:hyperlink>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1991 (date of inception) to March 31, 2012</w:t>
              </w:r>
            </w:hyperlink>
          </w:p>
        </w:tc>
        <w:tc>
          <w:tcPr>
            <w:tcW w:w="77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Cash Flows: Three months ended March 31, 2012 and 2011 and the period from February 14, 1991 (date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inception) to March 31, 2012</w:t>
              </w:r>
            </w:hyperlink>
          </w:p>
        </w:tc>
        <w:tc>
          <w:tcPr>
            <w:tcW w:w="8080" w:type="dxa"/>
            <w:vAlign w:val="bottom"/>
            <w:tcBorders>
              <w:top w:val="single" w:sz="8" w:color="0000EE"/>
            </w:tcBorders>
            <w:gridSpan w:val="9"/>
          </w:tcPr>
          <w:p>
            <w:pPr>
              <w:spacing w:after="0"/>
              <w:rPr>
                <w:sz w:val="17"/>
                <w:szCs w:val="17"/>
                <w:color w:val="auto"/>
              </w:rPr>
            </w:pPr>
          </w:p>
        </w:tc>
        <w:tc>
          <w:tcPr>
            <w:tcW w:w="6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4. Controls and Procedures</w:t>
              </w:r>
            </w:hyperlink>
          </w:p>
        </w:tc>
        <w:tc>
          <w:tcPr>
            <w:tcW w:w="87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11040" w:type="dxa"/>
            <w:vAlign w:val="bottom"/>
            <w:gridSpan w:val="20"/>
          </w:tcPr>
          <w:p>
            <w:pPr>
              <w:spacing w:after="0"/>
              <w:rPr>
                <w:sz w:val="20"/>
                <w:szCs w:val="20"/>
                <w:color w:val="auto"/>
              </w:rPr>
            </w:pPr>
            <w:r>
              <w:rPr>
                <w:rFonts w:ascii="Arial" w:cs="Arial" w:eastAsia="Arial" w:hAnsi="Arial"/>
                <w:sz w:val="18"/>
                <w:szCs w:val="18"/>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60" w:type="dxa"/>
            <w:vAlign w:val="bottom"/>
            <w:tcBorders>
              <w:bottom w:val="single" w:sz="8" w:color="0000EE"/>
            </w:tcBorders>
            <w:gridSpan w:val="6"/>
          </w:tcPr>
          <w:p>
            <w:pPr>
              <w:spacing w:after="0" w:line="184"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1. Legal Proceedings</w:t>
              </w:r>
            </w:hyperlink>
          </w:p>
        </w:tc>
        <w:tc>
          <w:tcPr>
            <w:tcW w:w="9180" w:type="dxa"/>
            <w:vAlign w:val="bottom"/>
            <w:gridSpan w:val="14"/>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Item 1A. Risk Factors</w:t>
              </w:r>
            </w:hyperlink>
          </w:p>
        </w:tc>
        <w:tc>
          <w:tcPr>
            <w:tcW w:w="94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Item 3. Defaults Upon Senior Securities</w:t>
              </w:r>
            </w:hyperlink>
          </w:p>
        </w:tc>
        <w:tc>
          <w:tcPr>
            <w:tcW w:w="82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4. Mine Safety Disclosures</w:t>
              </w:r>
            </w:hyperlink>
          </w:p>
        </w:tc>
        <w:tc>
          <w:tcPr>
            <w:tcW w:w="87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5. Other Information</w:t>
              </w:r>
            </w:hyperlink>
          </w:p>
        </w:tc>
        <w:tc>
          <w:tcPr>
            <w:tcW w:w="92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 Exhibits</w:t>
              </w:r>
            </w:hyperlink>
          </w:p>
        </w:tc>
        <w:tc>
          <w:tcPr>
            <w:tcW w:w="99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March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Borders>
              <w:top w:val="single" w:sz="8" w:color="CCEEFF"/>
            </w:tcBorders>
            <w:shd w:val="clear" w:color="auto" w:fill="CCEEFF"/>
          </w:tcPr>
          <w:p>
            <w:pPr>
              <w:ind w:left="364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56,355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Available for sale securities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3,004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59,709</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190,916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251,420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2,661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31,746</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34,407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210,946</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283,453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528,806</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0"/>
              </w:rPr>
              <w:t>Undesignated preferred stock, $0.01 par value — 10,000,000 shares authorized; no shares issued or outstanding</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March 31, 2012 and December 31, 2011</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w w:val="92"/>
              </w:rPr>
              <w:t>Common stock, $0.01 par value — 250,000,000 shares authorized at March 31, 2012 and December 31, 2011,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respectively; 167,815,783 and 131,522,945 shares issued and outstanding at March 31, 2012 and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December 31, 2011, respectively</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1,694,658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(1,973,719)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deficit</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(277,386)</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(313,652)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251,420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w w:val="98"/>
              </w:rPr>
              <w:t>Three months ended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10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99"/>
              </w:rPr>
              <w:t>inception) to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26,289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11,762</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(33,933)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(38,001)</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(1,948,238)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(38,173)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(41,525)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(38,173)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(41,525)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(38,173)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(41,525)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(1,996,931)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143,154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121,057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34"/>
        </w:trPr>
        <w:tc>
          <w:tcPr>
            <w:tcW w:w="8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March 31, 2012</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(38,173)</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(41,525)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(1,973,719)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(loss) gain</w:t>
            </w:r>
          </w:p>
        </w:tc>
        <w:tc>
          <w:tcPr>
            <w:tcW w:w="10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holding gain (loss) during the period</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8040" w:type="dxa"/>
            <w:vAlign w:val="bottom"/>
          </w:tcPr>
          <w:p>
            <w:pPr>
              <w:ind w:left="88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20" w:type="dxa"/>
            <w:vAlign w:val="bottom"/>
            <w:gridSpan w:val="2"/>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(loss) gain on investments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(38,126)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(41,537)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(1,973,724)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5"/>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from February 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rPr>
              <w:t>Inception) to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(38,173)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(41,525)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(1,973,719)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Fair value adjustment of warrant liability</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forward purchase contract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365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(32,486)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(30,704)</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(1,508,887)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80,598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86,451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53,674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(19,149)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66,061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56,355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46,912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paid in cash, net of amounts capitalized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921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Cancellation of principal on note payable to related party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bl>
    <w:p>
      <w:pPr>
        <w:sectPr>
          <w:pgSz w:w="11900" w:h="16863" w:orient="portrait"/>
          <w:cols w:equalWidth="0" w:num="1">
            <w:col w:w="11420"/>
          </w:cols>
          <w:pgMar w:left="240" w:top="459" w:right="239" w:bottom="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2011 (which includes disclosures regarding the Company’s ability to continue as a going concern) are included in the Company’s annual report on Form 10-K for the fiscal year ended December 31, 2011 filed with the SEC on March 15, 2012 (the “Annual Report”).</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2012 may not be indicative of the results that may be expected for the full year.</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assessing long-lived assets for impairment, accrued expenses including the valuation of warrant liabilities, the valuation of stock-based compensation and the determination of the provision for income taxes and corresponding deferred tax assets and liabilities and any valuation allowance recorded against net deferred tax assets.</w:t>
      </w:r>
    </w:p>
    <w:p>
      <w:pPr>
        <w:spacing w:after="0" w:line="1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 xml:space="preserve">Business — </w:t>
      </w:r>
      <w:r>
        <w:rPr>
          <w:rFonts w:ascii="Arial" w:cs="Arial" w:eastAsia="Arial" w:hAnsi="Arial"/>
          <w:sz w:val="16"/>
          <w:szCs w:val="16"/>
          <w:color w:val="auto"/>
        </w:rPr>
        <w:t>The Company is a biopharmaceutical company focused on the discovery and development of therapeutic products for diseases such as diabetes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It is costly to develop therapeutic products and conduct clinical trials for these products. Since its inception through March 31, 2012 the Company has reported accumulated net losses of $2.0 billion, which include a goodwill impairment charge of $151.4 million, and cumulative negative cash flow from operations of $1.5 billion. At March 31, 2012, the Company’s capital resources consisted of cash, cash equivalents, and marketable securities of $56.7 million and $38.8 million of available borrowings under the loan agreement with an entity controlled by the Company’s principal stockholder (see Note 11 — Related-party arrangements). Based upon the Company’s current expectations, management believes the Company’s existing capital resources will enable it to continue planned operations into the fourth quarter of 2012. However, the Company cannot provide assurances that its plans will not change or that changed circumstances will not result in the depletion of its capital resources more rapidly than it currently anticipates. The Company will need to raise additional capital, whether through the sale of equity or debt securities, a strategic business collaboration with a pharmaceutical company, the establishment of other funding facilities, licensing arrangements, assets sales or other means, or an increase in the borrowings available under the loan arrangement with its related party, in order to continue the development and commercialization of AFREZZA and other product candidates and to support its other ongoing activities. This raises substantial doubt about the Company’s ability to continue as a going concern.</w:t>
      </w:r>
    </w:p>
    <w:p>
      <w:pPr>
        <w:spacing w:after="0" w:line="12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 </w:t>
      </w:r>
      <w:r>
        <w:rPr>
          <w:rFonts w:ascii="Arial" w:cs="Arial" w:eastAsia="Arial" w:hAnsi="Arial"/>
          <w:sz w:val="16"/>
          <w:szCs w:val="16"/>
          <w:color w:val="auto"/>
        </w:rPr>
        <w:t>The carrying amounts of financial instruments, which include cash equivalents, marketable securities and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March 31, 2012 and December 31, 2011, the Company held $50.6 million and $55,000, respectively of cash equivalents, consisting entirely of money market funds. The fair value of these investments was determined by using quoted prices for identical investments in an active market (Level 1 in the fair value hierarchy).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Company’s marketable securities consist principally of a certificate of deposit with a maturity greater than 90 days, held as collateral for the Company’s commercial credit card programs and a common stock investment that are classified as available-for-sale securities.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As of March 31, 2012 and December 31, 2011, there were marketable securities of $350,000 and $515,000,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Company’s senior convertible notes due in 2013 and 2015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300"/>
              <w:spacing w:after="0"/>
              <w:rPr>
                <w:sz w:val="20"/>
                <w:szCs w:val="20"/>
                <w:color w:val="auto"/>
              </w:rPr>
            </w:pPr>
            <w:r>
              <w:rPr>
                <w:rFonts w:ascii="Arial" w:cs="Arial" w:eastAsia="Arial" w:hAnsi="Arial"/>
                <w:sz w:val="14"/>
                <w:szCs w:val="14"/>
                <w:b w:val="1"/>
                <w:bCs w:val="1"/>
                <w:color w:val="auto"/>
                <w:w w:val="92"/>
              </w:rPr>
              <w:t>March 31, 2012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38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r>
      <w:tr>
        <w:trPr>
          <w:trHeight w:val="161"/>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fair value</w:t>
            </w: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due 2013</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114.0</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Notes due 2015</w:t>
            </w:r>
          </w:p>
        </w:tc>
        <w:tc>
          <w:tcPr>
            <w:tcW w:w="2780" w:type="dxa"/>
            <w:vAlign w:val="bottom"/>
            <w:gridSpan w:val="2"/>
          </w:tcPr>
          <w:p>
            <w:pPr>
              <w:ind w:left="26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97.0</w:t>
            </w:r>
          </w:p>
        </w:tc>
        <w:tc>
          <w:tcPr>
            <w:tcW w:w="5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58.6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96.8</w:t>
            </w:r>
          </w:p>
        </w:tc>
        <w:tc>
          <w:tcPr>
            <w:tcW w:w="280" w:type="dxa"/>
            <w:vAlign w:val="bottom"/>
          </w:tcPr>
          <w:p>
            <w:pPr>
              <w:spacing w:after="0"/>
              <w:rPr>
                <w:sz w:val="19"/>
                <w:szCs w:val="19"/>
                <w:color w:val="auto"/>
              </w:rPr>
            </w:pP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estimated fair value of the senior convertible notes due 2013 was calculated based on quoted prices in an active market. The estimated fair value of the senior convertible notes due 2015 was calculated based on model-derived valuations whose inputs are observable. As there is no current observable market for the senior convertible notes due 2015,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estimated fair value of the warrant liability was calculated based on the Black-Scholes option pricing model (Level 3 in the fair value hierarchy). See Note 9 – Warrant Liability for further discussion.</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estimated fair value of Mann Purchase Agreement was based on a forward purchase contract valuation (Level 3 in the fair value hierarchy). See Note 8-Common and Preferred Stock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roll-forward provides a summary of changes in fair value of the Company’s Level 3 financial assets and liabilities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Three months ended</w:t>
            </w:r>
          </w:p>
        </w:tc>
      </w:tr>
      <w:tr>
        <w:trPr>
          <w:trHeight w:val="161"/>
        </w:trPr>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March 31, 2012</w:t>
            </w:r>
          </w:p>
        </w:tc>
      </w:tr>
      <w:tr>
        <w:trPr>
          <w:trHeight w:val="129"/>
        </w:trPr>
        <w:tc>
          <w:tcPr>
            <w:tcW w:w="9680" w:type="dxa"/>
            <w:vAlign w:val="bottom"/>
          </w:tcPr>
          <w:p>
            <w:pPr>
              <w:spacing w:after="0"/>
              <w:rPr>
                <w:sz w:val="11"/>
                <w:szCs w:val="11"/>
                <w:color w:val="auto"/>
              </w:rPr>
            </w:pPr>
          </w:p>
        </w:tc>
        <w:tc>
          <w:tcPr>
            <w:tcW w:w="8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Forward</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96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w:t>
            </w:r>
          </w:p>
        </w:tc>
        <w:tc>
          <w:tcPr>
            <w:tcW w:w="24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Warrant</w:t>
            </w:r>
          </w:p>
        </w:tc>
      </w:tr>
      <w:tr>
        <w:trPr>
          <w:trHeight w:val="161"/>
        </w:trPr>
        <w:tc>
          <w:tcPr>
            <w:tcW w:w="96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9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Transfers to Level 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(7,631)</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gain/(loss) included in expense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Unrealized gain/(loss) included in other income (expense)</w:t>
            </w: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68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744</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(7,915)</w:t>
            </w:r>
          </w:p>
        </w:tc>
      </w:tr>
      <w:tr>
        <w:trPr>
          <w:trHeight w:val="20"/>
        </w:trPr>
        <w:tc>
          <w:tcPr>
            <w:tcW w:w="9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 xml:space="preserve">Recently Issued Accounting Standards </w:t>
      </w:r>
      <w:r>
        <w:rPr>
          <w:rFonts w:ascii="Arial" w:cs="Arial" w:eastAsia="Arial" w:hAnsi="Arial"/>
          <w:sz w:val="16"/>
          <w:szCs w:val="16"/>
          <w:color w:val="auto"/>
        </w:rPr>
        <w:t>— In June 2011, the FASB issued Accounting Standards Update No. 2011-05 (“ASU 2011-05”) for Comprehensive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(Topic 220): “Presentation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Company has adopted all current required provisions of ASU 2011-05 on a retrospective basis.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2011, the FASB issued Accounting Standards Update No. 2011-04 (“ASU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Company has adopted all current required provisions of ASU 2011-04.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March 31, 2012</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4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40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664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Gain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Gain</w:t>
            </w: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Company’s available-for-sale securities at March 31, 2012 consist of a $350,000 certificate of deposit with a maturity greater than 90 days, held as collateral for the Company’s commercial credit card programs. The Company’s available-for-sale securities at December 31, 2011 consist principally of a $350,000 certificate of deposit with a maturity greater than 90 days, held as collateral primarily for the Company’s commercial credit card programs, and a common stock investment. During the quarter ended March 31, 2012, the Company evaluated its common stock investment to be other than temporarily impaired and recorded the $117,000 realized loss for available-for-sale securities as “Other income (expense)” in the condensed consolidated statements of operations. Gross unrealized gains and losses are included in “Other comprehensive gain (loss)”.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300" w:type="dxa"/>
            <w:vAlign w:val="bottom"/>
            <w:gridSpan w:val="3"/>
          </w:tcPr>
          <w:p>
            <w:pPr>
              <w:ind w:left="1700"/>
              <w:spacing w:after="0"/>
              <w:rPr>
                <w:sz w:val="20"/>
                <w:szCs w:val="20"/>
                <w:color w:val="auto"/>
              </w:rPr>
            </w:pPr>
            <w:r>
              <w:rPr>
                <w:rFonts w:ascii="Arial" w:cs="Arial" w:eastAsia="Arial" w:hAnsi="Arial"/>
                <w:sz w:val="14"/>
                <w:szCs w:val="14"/>
                <w:b w:val="1"/>
                <w:bCs w:val="1"/>
                <w:color w:val="auto"/>
                <w:w w:val="89"/>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5,449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31,746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 recognized in the accompanying condensed consolidated statements of operations for the three months ended March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and 2011 was as follows (in thousands):</w:t>
      </w:r>
    </w:p>
    <w:p>
      <w:pPr>
        <w:spacing w:after="0" w:line="20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jc w:val="center"/>
        <w:ind w:left="704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2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2,878</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Company issued stock awards to employees during the three months ended March 31, 2012 primarily with a four-year vesting schedule. The grant date fair value of the 10,100 restricted stock units issued during the three months ended March 31, 2012 was $24,000 with a grant date fair value per share of $2.41.</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of March 31, 2012, there was $9.7 million and $13.2 million of unrecognized compensation cost related to options and restricted stock units, respectively, which are expected to be recognized over the remaining weighted average vesting period of 2.1 years. As of March 31, 2012, there was $128,000 and $3.7 million of unrecognized expenses related to performance options and restricted stock units, respectively, for milestones not considered probable of achievement.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under the share lending arrangement (see Note 8 — Common and preferred stock). As of March 31, 2012, 9,000,000 shares of the Company’s common stock, which were loaned to a share borrower pursuant to the terms of a share lending agreement as described in Note 12,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54,310,177 shares and 33,334,623 shares as of March 31, 2012 and 2011, respectively, and exclude the 9,000,000 shares loaned under the share lending arrangement.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2012 and December 31, 2011, the estimated amounts receivable under the program were $565,000 and $473,000,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440" w:type="dxa"/>
            <w:vAlign w:val="bottom"/>
          </w:tcPr>
          <w:p>
            <w:pPr>
              <w:spacing w:after="0"/>
              <w:rPr>
                <w:sz w:val="12"/>
                <w:szCs w:val="12"/>
                <w:color w:val="auto"/>
              </w:rPr>
            </w:pPr>
          </w:p>
        </w:tc>
        <w:tc>
          <w:tcPr>
            <w:tcW w:w="12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Buildings</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39-40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54,948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114,225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114,247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82,190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83,476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12,177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13,049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283,848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284,793</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(92,932)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(91,764)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190,916</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193,029</w:t>
            </w:r>
          </w:p>
        </w:tc>
        <w:tc>
          <w:tcPr>
            <w:tcW w:w="10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related to property and equipment for the three months ended March 31, 2012 and 2011 was as follows (in thousands):</w:t>
      </w:r>
    </w:p>
    <w:p>
      <w:pPr>
        <w:spacing w:after="0" w:line="230"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jc w:val="center"/>
        <w:ind w:left="704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2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3,357</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warrants are exercisable at $2.40 per share and expire four years from the date of the issuance (See Note 9 – Warrant liability). The shares of common stock and warrants are immediately separable and were issued separately. Concurrent with the underwritten public offering, The Mann Group LLC (“The Mann Group”) agreed to purchase $77.2 million worth of restricted shares of common stock which will be paid, at the discretion of the Company, by cash or by cancellation of principal indebtedness under the amended loan arrangement, subject to stockholder approval to increase the number of our authorized shares (see Note 11 — Related-party arrangements). As indicated in the Company’s Proxy Statement first distributed to the stockholders of the Company on April 6, 2012 in connection with the 2012 Annual Meeting of Stockholders, the Company has included a proposal to approve an amendment to the Company’s Amended and Restated Certificate of Incorporation to increase the number of authorized shares of common stock from 250,000,000 shares to 350,000,000 shares.</w:t>
      </w:r>
    </w:p>
    <w:p>
      <w:pPr>
        <w:spacing w:after="0" w:line="1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Company concluded that the Mann Group common stock purchase agreement represented a contingent forward purchase contract that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Of the 31,250,000 shares pursuant to the common stock purchase agreement, the portion of the derivative instrument representing 14.7 million shares were recorded as equity as they met the criteria for equity classification under ASC 815-40 </w:t>
      </w:r>
      <w:r>
        <w:rPr>
          <w:rFonts w:ascii="Arial" w:cs="Arial" w:eastAsia="Arial" w:hAnsi="Arial"/>
          <w:sz w:val="16"/>
          <w:szCs w:val="16"/>
          <w:i w:val="1"/>
          <w:iCs w:val="1"/>
          <w:color w:val="auto"/>
        </w:rPr>
        <w:t xml:space="preserve">Derivatives and Hedging, Contracts in an Entity’s Own Stock. </w:t>
      </w:r>
      <w:r>
        <w:rPr>
          <w:rFonts w:ascii="Arial" w:cs="Arial" w:eastAsia="Arial" w:hAnsi="Arial"/>
          <w:sz w:val="16"/>
          <w:szCs w:val="16"/>
          <w:color w:val="auto"/>
        </w:rPr>
        <w:t>The remaining portion of the derivative instrument required classification outside of equity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does not have sufficient available shares at the time of issuance and at March 31, 2012. The fair value of the forward purchase contract was $2.0 million at the time of issuance and was recorded in other income. The fair value of the portion classified as equity was $0.9 million and the remaining portion was recorded as $1.1 million in prepaid and other current assets. The portion of the contract recorded as an asset within prepaid expenses and other current assets has been adjusted to fair value as of March 31, 2012 and the Company recorded an expense of $0.3 million to other expense during the three months ended March 31, 2012. The value of the derivative instrument was calculated using a forward contract valuation formula in which the forward contract is estimated to be equal to the valuation date stock price minus the strike price discounted to the valuation date using a risk-free rate of 0.08% at issuance and 0.06% at March 31, 2012. As the shares which would be received upon settlement are currently unregistered, the Company applied a discount for lack of marketability of 10.27% at issuance and 6.57% at March 31, 2012 to reflect this lack of marketability based on quantitative put models, adjusted to take into account qualitative factors, including the fact that the Company’s stock is publicly traded and the fact that there is no contractual restriction on the unregistered shares being registered. The fair value of the forward purchase contract is highly sensitive to the discount applied for lack of marketability and an increase in this discount would cause the value of the forward purchase contract to increase the asset position of the Company.</w:t>
      </w:r>
    </w:p>
    <w:p>
      <w:pPr>
        <w:sectPr>
          <w:pgSz w:w="11900" w:h="16838" w:orient="portrait"/>
          <w:cols w:equalWidth="0" w:num="1">
            <w:col w:w="11420"/>
          </w:cols>
          <w:pgMar w:left="240" w:top="459" w:right="239" w:bottom="504"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504"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2011, the Company’s stockholders approved an increase in its authorized shares of common stock from 200,000,000 to 250,000,000. As such, the Company is authorized to issue 250,000,000 shares of common stock, par value $0.01 per share, and 10,000,000 shares of undesignated preferred stock, par value $0.01 per share, issuable in one or more series designated by the Company’s board of directors. No other class of capital stock is authorized. As of March 31, 2012 and December 31, 2011, 167,815,783 and 131,522,945 shares of common stock, respectively, were issued and outstanding. Included in the common stock outstanding as of March 31, 2012 are 9,000,000 shares of common stock loaned to Bank of America under a share lending agreement in connection with the offering of the $100.0 million aggregate principal amount of 5.75% Senior Convertible Notes due 2015 (see Note 12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 As of March 31, 2012 the Company had not issued any shares of undesignated preferred stock.</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2010, the Company entered into an agreement with Seaside 88, LP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meet or exceed a minimum price set by the Company at $6.50 per share. If the 10-day volume weighted average trading price for a particular closing was below $6.50 per share, then that closing would not occur and the aggregate number of shares to be purchased would be reduced by 700,000 shares. The purchase price per share at each closing was equal to 92% of that 10-day volume weighted average price. The agreement with Seaside terminated during the quarter ended September 30, 2011. During the agreement, the Company issued and sold a total of 3,500,000 shares of common stock to Seaside for net proceeds of $23.8 million.</w:t>
      </w:r>
    </w:p>
    <w:p>
      <w:pPr>
        <w:spacing w:after="0" w:line="14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conjunction with the Seaside agreement, in August 2010, the Company entered into a common stock purchase agreement with The Mann Group, an entity controlled by the Company’s principal stockholder. Under this common stock purchase agreement, the Company was required to issue and sell, and The Mann Group was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purchased on each closing date under its agreement with the Company (see Note 11 — Related-party arrangements). The agreement with The Mann Group terminated during the quarter ended September 30, 2011. During the agreement, the Company issued and sold a total of 3,500,000 shares of common stock to The Mann Group that had resulted in total reduction in the note payable to related party of $27.8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 liability</w:t>
      </w:r>
    </w:p>
    <w:p>
      <w:pPr>
        <w:spacing w:after="0" w:line="9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connection with the sale of units in February 2012, the Company issued separable warrants representing 21,562,500 shares of common stock which are exercisable at $2.40 per share and are exercisable any time prior to February 8, 2016. No warrants have been exercised as of March 31, 2012.</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Of the 21,562,500 shares represented by warrants, 16,145,833 shares were recorded as equity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The remaining warrants representing 5,416,667 shares require liability classification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 the Company did not have sufficient registered shares available at the time of issuance. The fair value of these shares was recorded in accrued expenses and other current liabilities in the condensed consolidated balance sheet. The warrants will be reported as a liability until they are exercised, or at the time that the Company has sufficient registered shares available, at which time the warrants will be adjusted to fair value and reclassified from liabilities to stockholders’ equity.</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warrants requiring liability classification were recorded at fair value at issuance and will be adjusted to fair value at each reporting period until exercised or expiration. The fair value of the warrant liability at the date of issuance was $7.6 million and was estimated using the Black-Scholes option pricing model, based on the following assumptions: expected dividend yield of 0%; expected volatility of 93%; risk free interest rate of 0.59%; and contractual term of 4.0 years. The fair value of the warrant liability is highly sensitive to the volatility rate used in the option pricing model and an increase in the volatility rate would cause an increase in the warranty liability. The volatility assumption is calculated based on historical activity.</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March 31, 2012, the fair value of the warrant liability was $7.9 million and was estimated using the Black-Scholes option pricing model based on the following assumptions: expected dividend yield of 0%; expected volatility of 93%; risk-free interest rate of 0.59%; and contractual term of 4 years. Any change in fair value between reporting periods is recorded as other income (expense) in the condensed consolidated statements of operations. During the quarter ended March 31, 2012, a loss of $284,000 was recognized from the fair value adjustment of the warrant liability.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 which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involved in various legal proceedings and other matters. In accordance with ASC 450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would record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a liability when it is both probable that a liability has been incurred and the amount of the loss can be reasonably estimated.</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 Company’s common stock. The complaints include claims asserted under Sections 10(b) and 20(a) of the Exchange Act,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complaints have been transferred to a single court and consolidated for all purposes. The court has appointed a lead plaintiff and lead counsel and a consolidated complaint was filed on June 27, 2011. On August 12, 2011, the Company filed a motion to dismiss the consolidated complaint. On December 16, 2011, the court denied the motions. On January 27, 2012, defendants filed a motion to stay the action and certify the court’s December 16 order for interlocutory appeal, or in the alternative to reconsider. On March 2, 2012, the court denied both motions. On April 30, 2012, the parties participated in a mediation before the Honorable Layn Phillips. While the cases did not settle at that mediation, settlement negotiations are currently ongoing. At this time, the amount or range of reasonable possible losses to which the Company may be exposed is not expected to have a material impact on the financial statements.</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Starting in February 2011, shareholder derivative complaints were filed in the Superior Court of California for the County of Los Angeles and in the U.S. District Court for the Central District of California against the Company’s directors and certain of its officers. The complaints in the shareholder derivative actions allege breaches of fiduciary duties by the defendants and other violations of law. In general, the complaints allege that the Company’s directors and certain of its officers caused or allowed for the dissemination of materially false and misleading statements regarding the Company’s business and prospects for AFREZZA, thereby artificially inflating the price of its common stock. The plaintiffs are seeking unspecified monetary damages and other relief, including reforms to the Company’s corporate governance and internal procedures.</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Superior Court of California for the County of Los Angeles has consolidated the actions pending before it and appointed lead counsel. The Superior Court of California for the County of Los Angeles has stayed the litigation until September 5, 2012, consistent with the parties’ stipulation. A status conference is set for September 5, 2012. At this time, the amount or range of reasonable possible losses to which the Company may be exposed is not expected to have a material impact on the financial statements.</w:t>
      </w:r>
    </w:p>
    <w:p>
      <w:pPr>
        <w:spacing w:after="0" w:line="14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Likewise, the U.S. District Court for the Central District of California has consolidated the actions pending before it. The U.S. District Court for the Central District of California has also appointed lead plaintiffs and lead counsel. On August 12, 2011, the federal lead plaintiffs filed a consolidated complaint. On September 26, 2011, the Company and the individual defendants filed a motion to dismiss the consolidated complaint, and the parties subsequently stipulated to stay the litigation. That stay has expired, and the parties are now negotiating a briefing and hearing schedule on defendants’ motion to dismiss the consolidated derivative complaint. The parties are negotiating a stipulation to stay the litigation pending the outcome of the mediation. At this time, the amount or range of reasonable possible losses to which the Company may be exposed is not expected to have a material impact on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arrangements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advance plus 3% per annum and is payable quarterly in arrears. The borrowing rate was 4.6% at both March 31, 2012 and December 31, 2011, respectively. In August 2010, the Company amended and restated the promissory note to extend the maturity date from December 31, 2011 to December 31, 2012. In January 2012, the Company amended the note with The Mann Group to extend the maturity date from December 31, 2012 to March 31, 2013 and to extend the date through which the Company can continue to borrow under the amended terms of the note until June 30, 2012. In addition, interest is payable on the first day of the calendar quarter following the calendar quarter in which an advance is made, or such other time as the Company and The Mann Group mutually agree. On May 9, 2012, the Company amended the note with The Mann Group to extend the maturity date of the $350.0 million loan arrangement from March 31, 2013 to July 1, 2013. Under the amended and restated promissory note The Mann Group may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principal amount outstanding under the loan arrangement was $283.5 million and $277.2 million at March 31, 2012 and December 31, 2011, respectively. As of March 31, 2012, the Company had accrued interest of $8.9 million related to the amount outstanding, had cancelled a total of $27.8 million indebtedness and had $38.8 million of available borrowings under the loan arrangement.</w:t>
      </w: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In August 2010, the Company entered into a common stock purchase agreement with The Mann Group. Under this common stock purchase agreement, the Company was required to issue and sell, and The Mann Group was obligated to purchase, the same number of shares of the Company’s common stock that Seaside purchased on each closing date under its agreement with the Company. The price of the shares that the Company sold to The Mann Group under the agreement was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issued and sold to The Mann Group was paid by cancelling an equal amount of the outstanding principal under the $350.0 million loan arrangement provided by The Mann Group. The common stock purchase agreement with The Mann Group terminated during the quarter ended September 30, 2011.</w:t>
      </w:r>
    </w:p>
    <w:p>
      <w:pPr>
        <w:spacing w:after="0" w:line="10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February 8, 2012, the Company sold $86.3 million worth of units in an underwritten public offering, with each unit consisting of one share of common stock and a warrant to purchase 0.6 of a share of common stock. Concurrent with this public offering, The Mann Group LLC purchased $77.2 million worth of restricted shares of common stock which will be paid, at the discretion of the Company, by cash or by cancellation of principal indebtedness under the amended loan arrangement, subject to stockholder approval to increase the Company’s number of authorized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w:t>
            </w: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7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due 2013</w:t>
            </w:r>
          </w:p>
        </w:tc>
        <w:tc>
          <w:tcPr>
            <w:tcW w:w="2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$ 115,000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113,860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(3,218)</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96,782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210,946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210,642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August 2010, the Company completed a Rule 144A offering of $100.0 million aggregate principal amount of 5.75% Senior Convertible Notes due 2015. The Notes due 2015 are governed by the terms of an indenture dated as of August 24, 2010 (the “2015 Note Indenture”). The Notes due 2015 bear interest at the rate of 5.75% per year on the principal amount, payable in cash semi-annually in arrears on February 15 and August 15 of each year, beginning February 15, 2011. As of March 31, 2012 and December 31, 2011, the Company had accrued interest of $735,000 and $2.2 million, respectively, related to the Notes due 2015. The Notes due 2015 are general, unsecured, senior obligations of the Company and effectively rank junior in right of payment to all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Notes due 2015 converted in connection with a fundamental change by increasing the conversion rate on such Notes due 2015, which amount, if any, will be based on the Company’s common stock price and the effective date of the fundamental change, and (2) each holder of Notes due 2015 will have the option to require the Company to repurchase all or any portion of such holder’s Notes due 2015 at a repurchase price of 100% of the principal amount of the Notes due 2015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2015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2015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33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In December 2006, the Company completed a registered offering of $115.0 million aggregate principal amount of 3.75% Senior Convertible Notes due 2013. The Notes due 2013 are governed by the terms of an indenture dated as of November 1, 2006 and a First Supplemental Indenture, dated as of December 12, 2006 (the “2013 Note Indenture”). The Notes due 2013 bear interest at the rate of 3.75% per year on the principal amount, payable in cash semi-annually in arrears on June 15 and December 15 of each year, beginning June 15, 2007. As of March 31, 2012 and December 31, 2011, the Company had accrued interest of $1.3 million and $192,000, respectively, related to the Notes due 2013. The Notes due 2013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2013 is December 15, 2013 and payment is due in full on that date for unconverted securities. Holders of the Notes due 2013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Notes due 2013 converted in connection with a fundamental change by increasing the conversion rate on such Notes, which amount, if any, will be based on the Company’s common stock price and the effective date of the fundamental change, and</w:t>
      </w:r>
    </w:p>
    <w:p>
      <w:pPr>
        <w:spacing w:after="0" w:line="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holder of Notes due 2013 will have the option to require the Company to repurchase all or any portion of such holder’s Notes at a repurchase price of</w:t>
      </w:r>
    </w:p>
    <w:p>
      <w:pPr>
        <w:spacing w:after="0" w:line="32"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100% of the principal amount of the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2013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123"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The Company incurred approximately $3.7 million in issuance costs which are recorded as an offset to the Notes due 2013 in the accompanying condensed consolidated balance sheets. These costs are being amortized to interest expense using the effective interest method over the term of the Notes due 2013.</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Amortization of debt issuance expense in connection with the offerings of the Notes due 2015 and the Notes due 2013 during the three months ended March 31, 2012 and 2011 was as follows (in thousands):</w:t>
      </w:r>
    </w:p>
    <w:p>
      <w:pPr>
        <w:spacing w:after="0" w:line="168"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Three months ended</w:t>
      </w:r>
    </w:p>
    <w:p>
      <w:pPr>
        <w:jc w:val="center"/>
        <w:ind w:left="698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27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339</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ASC 740-10-25 </w:t>
      </w:r>
      <w:r>
        <w:rPr>
          <w:rFonts w:ascii="Arial" w:cs="Arial" w:eastAsia="Arial" w:hAnsi="Arial"/>
          <w:sz w:val="16"/>
          <w:szCs w:val="16"/>
          <w:i w:val="1"/>
          <w:iCs w:val="1"/>
          <w:color w:val="auto"/>
        </w:rPr>
        <w:t>Income Taxes Recognition</w:t>
      </w:r>
      <w:r>
        <w:rPr>
          <w:rFonts w:ascii="Arial" w:cs="Arial" w:eastAsia="Arial" w:hAnsi="Arial"/>
          <w:sz w:val="16"/>
          <w:szCs w:val="16"/>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2011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January 2011, we received a second Complete Response letter in which the FDA requested that we conduct two clinical studies with the Dreamboat inhaler (one in patients with type 1 diabetes and one in patients with type 2 diabetes), with at least one trial including a treatment group using the MedTone inhaler in order to obtain a head-to-head comparison of the pulmonary safety data for the two devices. Over the next eight months, we participated in a number of written and verbal exchanges with the FDA in order to clarify the agency’s requirements for approval of AFREZZA, culminating in an in-person meeting in August 2011 in which we confirmed with the FDA the designs of the two requested studies.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study in patients with type 1 diabetes, known as study 171, is an open-label study in which all patients are first optimized on their basal insulin regimen before being randomized to one of three arms: a control arm, in which patients utilize an injected insulin analog at mealtimes, or one of two AFREZZA arms, one each for our MedTone device and our Dreamboat device. After the mealtime insulin is titrated, there will be a 12-week observation period on relatively stable doses of the mealtime insulin to assess A1c levels. The primary endpoint is to show non-inferiority of the change in A1c levels in the Dreamboat group compared to the injected insulin analog group. The inclusion of two AFREZZA arms will permit us to perform a head-to-head comparison of the pulmonary safety data for the two devices, which we anticipate will provide a bridge to the extensive safety data that we collected in our earlier clinical studies of the MedTone inhaler. The basic design of this study (comparing different mealtime insulins in combination with a basal insulin regimen) is similar in design to a previous Phase 3 study that we conducted in patients with type 1 diabetes using our MedTone inhaler.</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other requested study, known as study 175, is a placebo-controlled study in patients with type 2 diabetes who are inadequately controlled on metformin with or without a second or third oral medication. Patients are assigned to treatment with AFREZZA or placebo powder in a randomized fashion. There is a titration period followed by a 12-week observation period to assess A1c levels. The primary objective of this study is to show superiority of the AFREZZA group over the placebo group in lowering A1c levels. We have previously compared AFREZZA to placebo powder in successful Phase 2 studies involving patients with type 2 diabetes using the MedTone inhaler.</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Both studies are currently enrolling subjects. If enrollment continues as expected, we anticipate completing both of these studies in early 2013. We then would expect to submit the results to the FDA as an amendment to our NDA during the second half of 2013. However, the data collected from these clinical trials may not reach statistical significance or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beyond the currently planned studies in order to provide sufficient data for approval of AFREZZA.</w:t>
      </w:r>
    </w:p>
    <w:p>
      <w:pPr>
        <w:spacing w:after="0" w:line="14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March 31, 2012, we have incurred a cumulative net loss of $2.0 billion and an accumulated stockholders’ deficit of $277.4 million. To date, we have not generated any product revenues and have funded our operations primarily through the sale of equity securities, convertible debt securities and borrowings under our related party loan. As discussed below in “Liquidity and Capital Resources,” this raises substantial doubt about our ability to continue as a going concern.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There can be no assurance that any such collaboration will be available to us on a timely basis or on acceptable terms, if at all.</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2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our lead product candidate in a timely manner, the results of our research and development efforts, competition from other products and technologies and uncertainties associated with obtaining and enforcing patent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4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and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did not recognize any revenue for the three months ended March 31, 2012. We recognized revenue of $50,000 under a license agreement for the three months ended March 31, 2011. We do not anticipate sales of any product prior to regulatory approval and commercialization of AFREZZA.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2012 and 2011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$ 4,430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Manufacturing</w:t>
            </w:r>
          </w:p>
        </w:tc>
        <w:tc>
          <w:tcPr>
            <w:tcW w:w="600" w:type="dxa"/>
            <w:vAlign w:val="bottom"/>
          </w:tcPr>
          <w:p>
            <w:pPr>
              <w:jc w:val="right"/>
              <w:spacing w:after="0"/>
              <w:rPr>
                <w:sz w:val="20"/>
                <w:szCs w:val="20"/>
                <w:color w:val="auto"/>
              </w:rPr>
            </w:pPr>
            <w:r>
              <w:rPr>
                <w:rFonts w:ascii="Arial" w:cs="Arial" w:eastAsia="Arial" w:hAnsi="Arial"/>
                <w:sz w:val="18"/>
                <w:szCs w:val="18"/>
                <w:color w:val="auto"/>
              </w:rPr>
              <w:t>10,093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14,328</w:t>
            </w:r>
          </w:p>
        </w:tc>
        <w:tc>
          <w:tcPr>
            <w:tcW w:w="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(4,235)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24,156</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26,289</w:t>
            </w:r>
          </w:p>
        </w:tc>
        <w:tc>
          <w:tcPr>
            <w:tcW w:w="4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(2,133)</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decrease in research and development expenses for the three months ended March 31, 2012, as compared to the three months ended March 31, 2011, was primarily due to salary related costs which decreased $7.0 million as a result of the February 2011 reduction in force. Decreases were offset by an increase of $5.0 million in clinical trial related expenses as studies 171 and 175 began screening subjects in the third and fourth quarter of 2011, respectively. We anticipate that our research and development expenses will increase in 2012 as a result of our ongoing clinical trials.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2012 and 2011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Three months ended</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$8,235</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$10,451</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$(2,216)</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9,777</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11,762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2012 decreased as compared to the same period in the prior year primarily due to decreased salary related costs of $2.2 million as a result of the February 2011 reduction in force. Overall, we expect general and administrative expenses to be lower in 2012 as a result of the reduction in force implemented in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Other income for the three months ended March 31, 2012 and for the same period in the prior year was $1.4 million, respectively. During the quarter ended March 31, 2012, we recorded a $2.0 million benefit on a forward purchase contract in other income offset by our common stock investment determined to be permanently impaired at a realized loss of $117,000. In addition, we recognized expense of $284,000 related to the fair value adjustment of the warrant liability. During the three months ended March 31, 2011, we recorded a realized gain of $1.3 million on the termination of foreign exchange hedging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Interest expense for the three months ended March 31, 2012 increased by $733,000 as compared to the same period in the prior year primarily due to the additional interest expense associated with additional drawdowns on our note payable to our principal stockholder.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funded our operations primarily through the sale of equity securities, convertible debt securities and borrowings under our related party note.</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and is payable quarterly in arrears.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In August 2010, we amended and restated the existing promissory note evidencing the loan arrangement with The Mann Group to extend the maturity date from December 31, 2011 to December 31, 2012. In January 2012, we amended the note with The Mann Group to extend the maturity date from December 31, 2012 to March 31, 2013 and to extend the date through which we can continue to borrow under the amended terms of the note until June 30, 2012. In addition, interest is payable on the first day of the calendar quarter following the calendar quarter in which an advance is made, or such other time as we mutually agree. On May 9, 2012, we amended the note with The Mann Group to extend the maturity date March 31, 2013 to July 1, 2013.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In August 2010, we and The Mann Group entered into a letter agreement confirming a previous commitment by The Mann Group to not require us to prepay amounts outstanding under the amended and restated promissory note if the prepayment would require us to use our working capital resources.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March 31, 2012, the amount borrowed and outstanding under the arrangement was $283.5 million and we had $38.8 million of available borrowings under the arrangement.</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2010, we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offering of the notes, in August 2010, we entered into a share lending agreement with Bank of America, pursuant to which we lent 9,000,000 shares of our common stock to Bank of America, which is obligated to return the borrowed shares (or, in certain circumstances, the cash value thereof) to us on or about the 45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Also in August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 Bank of America of the borrowed shares. Bank of America received all of the net proceeds from the sale of the borrowed shares to the public.</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February 8, 2012, we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any warrant exercises. Concurrent with this public offering, The Mann Group LLC agreed to purchase $77.2 million worth of restricted shares of common stock which will be paid, at the discretion of the Company, by cash or by cancellation of principal indebtedness under the amended loan arrangement, subject to stockholder approval to increase the number of our authorized shares.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three months ended March 31, 2012, we used $32.5 million of cash for our operations and had a net loss $38.2 million, of which $6.6 million consisted of non-cash charges such as depreciation and amortization, and stock-based compensation. By comparison, during the three months ended March 31, 2011, we used $30.7 million of cash for our operations and had a net loss of $41.5 million, of which $6.8 million consisted of non-cash charges such as depreciation and amortization, and stock-based compensation. Cash used for our operations for the three months ended March 31, 2012 increased by $1.8 million compared to cash used for our operations for the three months ended March 31, 2011 due primarily to an increase in clinical trial related expenses. We expect our negative operating cash flow to continue at least until we obtain regulatory approval and achieve commercialization of AFREZZA.</w:t>
      </w:r>
    </w:p>
    <w:p>
      <w:pPr>
        <w:spacing w:after="0" w:line="120"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We used $291,000 of cash for investing activities during the three months ended March 31, 2012, compared to $1.8 million of cash provided by investing activities for the three months ended March 31, 2011. For the three months ended March 31, 2012 and 2011, $323,000 and $2.0 million, respectively, were used to purchase machinery and equipment to expand our manufacturing operations and our quality systems that support clinical trials for AFREZZA. Cash used in investing activities for the three months ended March 31, 2012 decreased $2.1 million compared to the same period in prior year due to $3.8 million in proceeds received from sales and maturities of marketable securities during the three months ended March 31, 2011. We received cash of $3.8 million for the three months ended March 31, 2011 related to the early termination of certificates of deposit that were previously held as collateral for foreign exchange hedging instruments.</w:t>
      </w:r>
    </w:p>
    <w:p>
      <w:pPr>
        <w:spacing w:after="0" w:line="1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financing activities generated $86.5 million of cash for the three months ended March 31, 2012, compared to $9.7 million for the same period in 2011. For the three months ended March 31, 2012, cash from financing activities was primarily from $80.6 million related to the February 2012 issuance of common stock and warrants through the sale of 35,937,500 units, with each unit consisting of one share of common stock and a warrant to purchase 0.6 of a share of common stock as well as the exercise of stock options. Additionally we generated cash of $6.3 million from related party borrowings. For the three months ended March 31, 2011, cash from financing activities was primarily from $9.7 million related to the sale of common stock to Seaside as well as the exercise of stock options.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March 31, 2012, we had $56.7 million in cash, cash equivalents and marketable securities (including $350,000 of certificate of deposit held as collateral for commercial credit card program). We believe our existing cash resources, including the $38.8 million remaining available under our loan arrangement with The Mann Group, will be sufficient to fund our anticipated cash requirements into the fourth quarter of 2012.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This raises substantial doubt about our ability to continue as a going concern.</w:t>
      </w:r>
    </w:p>
    <w:p>
      <w:pPr>
        <w:spacing w:after="0" w:line="118"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In addition, portions of our capital resources will be devoted to expanding our other product development programs. We are expending a portion of our capital to scale up our manufacturing capabilities in our Danbury facilities. We also intend to use our capital resources for general corporate purposes.</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The Mann Group. The interest rate on our credit facility with The Mann Group is a fixed rate equal to the one-year LIBOR rate as reported by the </w:t>
      </w:r>
      <w:r>
        <w:rPr>
          <w:rFonts w:ascii="Arial" w:cs="Arial" w:eastAsia="Arial" w:hAnsi="Arial"/>
          <w:sz w:val="16"/>
          <w:szCs w:val="16"/>
          <w:i w:val="1"/>
          <w:iCs w:val="1"/>
          <w:color w:val="auto"/>
        </w:rPr>
        <w:t>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on the date of such advance plus 3% per annum. Our current policy requires us to maintain a highly liquid short-term investment portfolio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March 31, 2012 are comprised of a certificate of deposit. We continue to utilize our $350.0 million credit facility to fund operations. As of March 31, 2012, the amount borrowed and outstanding under the credit facility was $283.5 million, with $38.8 million of available borrowings. The interest rate is fixed at the time of the draw. If interest rates were to increase from levels at March 31, 2012 we could experience a higher level of interest expense than assumed in our current operating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March 31, 2012. Based on that evaluation, our chief executive officer and chief financial officer concluded that our disclosure controls and procedures were effective at the reasonable assurance level.</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March 31, 2012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Beginning January 31, 2011, several complaints were filed in the U.S. District Court for the Central District of California against us and four of our officers – Alfred E. Mann, Hakan S. Edstrom, Dr. Peter C. Richardson and Matthew J. Pfeffer – on behalf of certain purchasers of our common stock. The complaints include claims asserted under Sections 10(b) and 20(a) of the Exchange Act and have been brought as purported shareholder class actions. In general, the complaints allege that the defendants violated federal securities laws by making materially false and misleading statements regarding our business and prospects for AFREZZA, thereby artificially inflating the price of our common stock. The plaintiffs are seeking unspecified monetary damages and other relief. The complaints have been transferred to a single court and consolidated for all purposes. The court appointed a lead plaintiff and lead counsel and a consolidated complaint was filed on June 27, 2011. On August 12, 2011, we filed a motion to dismiss the complaint and a motion to strike the expert report attached to that complaint. On December 16, 2011, the court denied the motions. On January 27, 2012, defendants filed a motion to stay the action and certify the court’s December 16 order for interlocutory appeal, or in the alternative to reconsider. On March 2, 2012, the court denied both motions. On April 30, 2012, the parties participated in a mediation before the Honorable Layn Phillips. While the cases did not settle at that mediation, settlement negotiations are currently ongoing. At this time, the amount or range of reasonable possible losses to which the Company may be exposed is not expected to have a material impact on the financial statements.</w:t>
      </w:r>
    </w:p>
    <w:p>
      <w:pPr>
        <w:spacing w:after="0" w:line="1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February 2011, shareholder derivative complaints were filed in the Superior Court of California for the County of Los Angeles and in the U.S. District Court for the Central District of California against all of our directors and certain of our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our business and prospects for AFREZZA, thereby artificially inflating the price of our common stock. The plaintiffs are seeking unspecified monetary damages and other relief, including reforms to our corporate governance and internal procedures.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Superior Court of California for the County of Los Angeles has consolidated the actions pending before it and appointed lead counsel. The Superior Court of California for the County of Los Angeles has stayed the litigation until September 5, 2012, consistent with the parties’ stipulation. A status conference is set for September 5,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Likewise, the U.S. District Court for the Central District of California has consolidated the derivative actions pending before it. The U.S. District Court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Central District of California has also appointed lead plaintiffs and lead counsel and a consolidated complaint was filed on August 12, 2011. We filed a motion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dismiss this complaint on September 26, 2011 and the parties subsequently stipulated to stay the litigation. That stay expired on January 10, 2012, and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20, 2012, the Court issued a minute order setting a briefing schedule regarding defendants’ motion to dismiss. Plaintiff opposed the motion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6, and defendants filed a reply on February 13. On February 14, 2012, the Court granted defendants’ motion to dismiss without prejudice and instructed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plaintiff to file an amended complaint by March 2, 2012. The parties subsequently negotiated a stipulation to stay the litigation pending the outcome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i w:val="1"/>
          <w:iCs w:val="1"/>
          <w:color w:val="auto"/>
        </w:rPr>
        <w:t>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1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2011, the FDA issued a Complete Response letter and requested that we conduct additional clinical studies of AFREZZA using our next-generation inhaler. In early May 2011, we held an End-of-Review meeting with the agency to discuss the protocols for the additional studies. In August 2011, we confirmed with the FDA the design of two clinical studies to evaluate the efficacy and safety of AFREZZA administered using our Dreamboat inhaler. We plan to continue working closely with the FDA in our effort to ensure that our clinical studies address the agency’s requests for additional information about AFREZZA. There can be no assurance that we will satisfy all of the FDA’s requirements. The FDA could also again request that we conduct additional clinical trials to provide sufficient data for approval of the NDA. There can be no assurance that we will obtain approval of the NDA in a timely manner or at all.</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have never been profitable or generated positive cash flow from operations and, as of March 31, 2012, we had incurred a cumulative net loss of $2.0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March 31, 2012, we had a stockholders’ deficit of $277.4 million. Our ability to achieve and sustain positive cash flow from operations and profitability depends upon obtaining regulatory approvals for and successfully commercializing AFREZZA,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5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Based upon our current expectations, we believe that our existing capital resources, including the available borrowings under our loan arrangement with The Mann Group, as amended on May 9, 2012, as well as the net proceeds from the sale of 35,937,500 units, with each unit consisting of one share of common stock and a warrant to purchase 0.6 of a share of common stock in February 2012, will enable us to continue planned operations into the fourth quarter of 2012. However, we cannot assure you that our plans will not change or that changed circumstances will not result in the depletion of our capital resources more rapidly than we currently anticipate. We will need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March 31, 2012, we had a stockholders’ deficit of $277.4 million which may raise concerns about our solvency and affect our ability to raise additional capital. The amount of additional funds we need will depend on a number of factors, including:</w:t>
      </w:r>
    </w:p>
    <w:p>
      <w:pPr>
        <w:spacing w:after="0" w:line="42" w:lineRule="exact"/>
        <w:rPr>
          <w:sz w:val="20"/>
          <w:szCs w:val="20"/>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 we are able to establish;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level of our legal expenses, including those expenses associated with the securities class actions and derivative lawsuits filed against us and certain of our executive officers and directors and any settlement or damages payments associated with litigation;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decommissioning existing facilities, if we undertake such activities.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we will not be able to generate operating cash flow before AFREZZA is commercialized, which we expect will require us to reach an agreement with a commercialization partner, we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Deteriorating global economic conditions may have an adverse impact on our loan facility with The Mann Group.</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our loan facility with The Mann Group. If we are unable to draw on The Mann Group loan facility, our business and financial condition may be adversely affected.</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2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32"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20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jc w:val="both"/>
        <w:ind w:left="900" w:right="1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after reviewing test results, we or any potential collaborators may abandon projects that we previously believed were promising; and</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221"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ind w:right="60"/>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99" w:lineRule="exact"/>
        <w:rPr>
          <w:sz w:val="20"/>
          <w:szCs w:val="20"/>
          <w:color w:val="auto"/>
        </w:rPr>
      </w:pPr>
    </w:p>
    <w:p>
      <w:pPr>
        <w:ind w:right="420"/>
        <w:spacing w:after="0" w:line="357"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ind w:right="20"/>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place the two blister packs into foil pouches and package three pouches plus two inhalers and the package insert as units in 90-unit boxes (and single blister pouch packs for trials). Although this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the next-generation Dreamboat inhaler before we can be approved to distribute the manufactured products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class actions and derivative lawsuits that could result in substantial costs and divert management’s attention.</w:t>
      </w:r>
    </w:p>
    <w:p>
      <w:pPr>
        <w:spacing w:after="0" w:line="5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have been named in lawsuits in which we, and certain of our executive officers, have been sued for alleged violations of federal securities laws related to alleged false and misleading statements regarding AFREZZA. We have also been named in state and federal derivative lawsuits that have been filed against certain of our directors and executive officers. We intend to engage in a vigorous defense of such litigation. If we are not successful in our defense of such litigation,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or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When we purchased the facilities located in Danbury, Connecticut in 2001, there was a soil and groundwater investigation and remediation being conducted by a former site operator (the responsible party) under the oversight of the Connecticut Department of Environmental Protection, or CT DEP, which is continuing. As part of the purchase, we obtained an indemnification from the seller for all known environmental conditions that existed at the time the seller acquired the property. The seller was, in turn, indemnified for these known environmental conditions by the previous owner and its operator (responsible party). We also received an indemnification from the seller for environmental conditions created during its ownership of the property and for environmental problems unknown at the time that the seller acquired the property. These additional indemnities have since expired and were limited to the purchase price we paid for the Danbury facilities.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construction of our expanded manufacturing facility, we excavated contaminated soil under the footprint of our building expansion location, at a cost of approximately $2.25 million. The responsible party reimbursed us for our increased excavation and disposal costs of contaminated soil in the amount of $1.625 million in July 2010. The responsible party has further agreed to conduct at its expense all work and make all filings necessary to achieve closure for the environmental investigation and remediation being conducted at the site and agreed to pay for or indemnify us for any future costs and expenses we may incur that are directly related to the final closure of the environmental remediation. If we are unable to collect these future costs and expenses, if any, from the responsible party, our business and results of operations may be harmed.</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1"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our primary strategy is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perceived advantages and disadvantages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reimbursement relative to other treatment therapeutics and methods;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third-party payers do not reimburse consumers for our products, our products might not be used or purchased, which would adversely affect our revenues.</w:t>
      </w:r>
    </w:p>
    <w:p>
      <w:pPr>
        <w:spacing w:after="0" w:line="1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2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In order to commercialize our product candidates successfully, we will be required to expand our work force, particularly in the areas of manufacturing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For example, although some patents providing protection for our AFREZZA inhalation powder expire in 2012, other patents providing similar protection will remain in force into 2020. In addition, patents providing protection for our inhaler and cartridges will remain in force into 2023, and we have broad method of treatment claims that can be maintained in force into 2020 as well as narrower treatment claims that can be maintained in force variously into 2026 and 2029. As and when these different patents expire, AFREZZA could become subject to increased competition. As a consequence, we may not be able to recover our development costs.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will not become effective until one year or 18 months after its enactment.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4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Interference proceedings brought by the United States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status of litigation against us and certain of our executive officers and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5.75% convertible notes due 2015; and</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March 31, 2012, Mr. Mann beneficially owned approximately 30.9% of our outstanding shares of capital stock, excluding the 21,562,500 shares of common stock that may be issued from time to time upon exercise of the warrants issued in the February 2012 offering. If further effect is given to the issuance of 31,250,000 restricted shares of our common stock in the concurrent private placement issuable upon receipt of stockholder approval to increase the number of our authorized shares, as of March 31, 2012, Mr. Mann would have beneficially owned approximately 41.7%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2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5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of March 31, 2012, we had 167,815,783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1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reserved for future issuance substantially all of our authorized but unissued shares of common stock, which may impair our ability to conduct future financing and other transactions.*</w:t>
      </w:r>
    </w:p>
    <w:p>
      <w:pPr>
        <w:spacing w:after="0" w:line="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certificate of incorporation currently authorizes us to issue up to 250,000,000 shares of common stock and 10,000,000 shares of preferred stock. As of March 31, 2012, we had a total of 82,184,217 shares of common stock that were authorized but unissued. We have reserved substantially all of our authorized but unissued shares for future issuance pursuant to outstanding equity awards, our equity plans, our 3.75% senior convertible notes due 2013, our 5.75% senior convertible notes due 2015, warrants with a term of 4 years expiring on February 8, 2016 and the Common Stock Purchase Agreement we entered into with The Mann Group LLC concurrently with our February 2012 offering of common stock and warrants. As a result, our ability to issue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20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95" w:lineRule="exact"/>
        <w:rPr>
          <w:sz w:val="20"/>
          <w:szCs w:val="20"/>
          <w:color w:val="auto"/>
        </w:rPr>
      </w:pPr>
    </w:p>
    <w:p>
      <w:pPr>
        <w:ind w:right="4480"/>
        <w:spacing w:after="0" w:line="36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January 1, 2012, we adopted 2011-05, Comprehensive Income (Topic 220): Presentation of Comprehensive Income (ASU 2011-05) which requires presentation of the components of net income (loss) and other comprehensive income (loss) either as one continuous statement or as two consecutive statements and eliminates the option to present components of other comprehensive income as part of the statement of changes in stockholders’ equity. The following presents the retrospective application of ASU 2011-05 for each of the three years ended December 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MannKind Corporation and Subsidiaries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20"/>
                <w:szCs w:val="20"/>
                <w:color w:val="auto"/>
              </w:rPr>
            </w:pPr>
            <w:r>
              <w:rPr>
                <w:rFonts w:ascii="Arial" w:cs="Arial" w:eastAsia="Arial" w:hAnsi="Arial"/>
                <w:sz w:val="14"/>
                <w:szCs w:val="14"/>
                <w:i w:val="1"/>
                <w:iCs w:val="1"/>
                <w:color w:val="auto"/>
              </w:rPr>
              <w:t>Thousands,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20"/>
                <w:szCs w:val="20"/>
                <w:color w:val="auto"/>
              </w:rPr>
            </w:pPr>
            <w:r>
              <w:rPr>
                <w:rFonts w:ascii="Arial" w:cs="Arial" w:eastAsia="Arial" w:hAnsi="Arial"/>
                <w:sz w:val="14"/>
                <w:szCs w:val="14"/>
                <w:i w:val="1"/>
                <w:iCs w:val="1"/>
                <w:color w:val="auto"/>
              </w:rPr>
              <w:t>for the Three Years Ended December 31,</w:t>
            </w: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5"/>
                <w:szCs w:val="15"/>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Net loss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$(160,804)</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$(170,560)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$(220,104)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Cumulative translation (loss) gain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Unrealized gain (loss) on investments: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Unrealized holding gain (loss)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8"/>
        </w:trPr>
        <w:tc>
          <w:tcPr>
            <w:tcW w:w="6360" w:type="dxa"/>
            <w:vAlign w:val="bottom"/>
          </w:tcPr>
          <w:p>
            <w:pPr>
              <w:ind w:left="1300"/>
              <w:spacing w:after="0"/>
              <w:rPr>
                <w:sz w:val="20"/>
                <w:szCs w:val="20"/>
                <w:color w:val="auto"/>
              </w:rPr>
            </w:pPr>
            <w:r>
              <w:rPr>
                <w:rFonts w:ascii="Arial" w:cs="Arial" w:eastAsia="Arial" w:hAnsi="Arial"/>
                <w:sz w:val="18"/>
                <w:szCs w:val="18"/>
                <w:color w:val="auto"/>
                <w:w w:val="96"/>
              </w:rPr>
              <w:t>Less: reclassification adjustment for gains (losses) included in net</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1520"/>
              <w:spacing w:after="0"/>
              <w:rPr>
                <w:sz w:val="20"/>
                <w:szCs w:val="20"/>
                <w:color w:val="auto"/>
              </w:rPr>
            </w:pPr>
            <w:r>
              <w:rPr>
                <w:rFonts w:ascii="Arial" w:cs="Arial" w:eastAsia="Arial" w:hAnsi="Arial"/>
                <w:sz w:val="18"/>
                <w:szCs w:val="18"/>
                <w:color w:val="auto"/>
              </w:rPr>
              <w:t>loss</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unrealized (loss) gain on investments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(160,834)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(170,205)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(220,680)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Exhibit</w:t>
            </w: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280" w:type="dxa"/>
            <w:vAlign w:val="bottom"/>
          </w:tcPr>
          <w:p>
            <w:pPr>
              <w:spacing w:after="0"/>
              <w:rPr>
                <w:sz w:val="14"/>
                <w:szCs w:val="14"/>
                <w:color w:val="auto"/>
              </w:rPr>
            </w:pPr>
          </w:p>
        </w:tc>
      </w:tr>
      <w:tr>
        <w:trPr>
          <w:trHeight w:val="316"/>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3.3(3)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3.4(4)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3.5(5)</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4.1(6)</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Indenture, by and between MannKind and Wells Fargo Bank, N.A., dated November 1, 2006.</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4.3(7)</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3.75% Senior Convertible Note due 2013.</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4.4(1)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4.5(1)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88"/>
              </w:rPr>
              <w:t>Registration Rights Agreement, dated October 15, 1998, by and among CTL ImmunoTherapies Corp., Medical Research Group, LLC, McLean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Watson Advisory Inc. and Alfred E. Mann, as amended.</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Indenture, by and between MannKind and Wells Fargo Bank, N.A., dated August 24, 2010.</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4.7(8)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5.75% Senior Convertible Note due 2015.</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4.8(9)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 issued February 8, 2012.</w:t>
            </w:r>
          </w:p>
        </w:tc>
      </w:tr>
      <w:tr>
        <w:trPr>
          <w:trHeight w:val="318"/>
        </w:trPr>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10.1(10)</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88"/>
              </w:rPr>
              <w:t>Amendment, dated January 16, 2012, to Amended and Restated Promissory Note made by MannKind in favor of The Mann Group LLC, dated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August 10, 2010.</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10.2(9)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Common Stock Purchase Agreement by and between MannKind and The Mann Group LLC, dated February 2, 2012.</w:t>
            </w:r>
          </w:p>
        </w:tc>
      </w:tr>
      <w:tr>
        <w:trPr>
          <w:trHeight w:val="318"/>
        </w:trPr>
        <w:tc>
          <w:tcPr>
            <w:tcW w:w="500" w:type="dxa"/>
            <w:vAlign w:val="bottom"/>
          </w:tcPr>
          <w:p>
            <w:pPr>
              <w:jc w:val="right"/>
              <w:ind w:right="114"/>
              <w:spacing w:after="0"/>
              <w:rPr>
                <w:sz w:val="20"/>
                <w:szCs w:val="20"/>
                <w:color w:val="auto"/>
              </w:rPr>
            </w:pPr>
            <w:r>
              <w:rPr>
                <w:rFonts w:ascii="Arial" w:cs="Arial" w:eastAsia="Arial" w:hAnsi="Arial"/>
                <w:sz w:val="18"/>
                <w:szCs w:val="18"/>
                <w:color w:val="auto"/>
                <w:w w:val="79"/>
              </w:rPr>
              <w:t>10.3</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Amendment, dated May 9, 2012, to Amended and Restated Promissory Note made by MannKind in favor of The Mann Group LLC, dated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August 10, 2010, as amended January 16, 2012</w:t>
            </w:r>
          </w:p>
        </w:tc>
      </w:tr>
      <w:tr>
        <w:trPr>
          <w:trHeight w:val="324"/>
        </w:trPr>
        <w:tc>
          <w:tcPr>
            <w:tcW w:w="500" w:type="dxa"/>
            <w:vAlign w:val="bottom"/>
          </w:tcPr>
          <w:p>
            <w:pPr>
              <w:jc w:val="right"/>
              <w:ind w:right="114"/>
              <w:spacing w:after="0"/>
              <w:rPr>
                <w:sz w:val="20"/>
                <w:szCs w:val="20"/>
                <w:color w:val="auto"/>
              </w:rPr>
            </w:pPr>
            <w:r>
              <w:rPr>
                <w:rFonts w:ascii="Arial" w:cs="Arial" w:eastAsia="Arial" w:hAnsi="Arial"/>
                <w:sz w:val="18"/>
                <w:szCs w:val="18"/>
                <w:color w:val="auto"/>
                <w:w w:val="79"/>
              </w:rPr>
              <w:t>31.1</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the Chief Executive Officer Pursuant to Rule 13a-14(a) or 15d-14(a) of the Securities Exchange Act of 1934, as amended.</w:t>
            </w:r>
          </w:p>
        </w:tc>
      </w:tr>
      <w:tr>
        <w:trPr>
          <w:trHeight w:val="324"/>
        </w:trPr>
        <w:tc>
          <w:tcPr>
            <w:tcW w:w="500" w:type="dxa"/>
            <w:vAlign w:val="bottom"/>
          </w:tcPr>
          <w:p>
            <w:pPr>
              <w:jc w:val="right"/>
              <w:ind w:right="114"/>
              <w:spacing w:after="0"/>
              <w:rPr>
                <w:sz w:val="20"/>
                <w:szCs w:val="20"/>
                <w:color w:val="auto"/>
              </w:rPr>
            </w:pPr>
            <w:r>
              <w:rPr>
                <w:rFonts w:ascii="Arial" w:cs="Arial" w:eastAsia="Arial" w:hAnsi="Arial"/>
                <w:sz w:val="18"/>
                <w:szCs w:val="18"/>
                <w:color w:val="auto"/>
                <w:w w:val="79"/>
              </w:rPr>
              <w:t>31.2</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the Chief Financial Officer Pursuant to Rule 13a-14(a) or 15d-14(a) of the Securities Exchange Act of 1934, as amended.</w:t>
            </w:r>
          </w:p>
        </w:tc>
      </w:tr>
    </w:tbl>
    <w:p>
      <w:pPr>
        <w:spacing w:after="0" w:line="102" w:lineRule="exact"/>
        <w:rPr>
          <w:sz w:val="20"/>
          <w:szCs w:val="20"/>
          <w:color w:val="auto"/>
        </w:rPr>
      </w:pPr>
    </w:p>
    <w:p>
      <w:pPr>
        <w:ind w:left="1340" w:right="180" w:hanging="1244"/>
        <w:spacing w:after="0" w:line="332" w:lineRule="auto"/>
        <w:tabs>
          <w:tab w:leader="none" w:pos="1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12,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August 24,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February 6, 2012.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January 20, 2012.</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0940"/>
          </w:cols>
          <w:pgMar w:left="240" w:top="459" w:right="7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Dated: May 10, 2012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MANNKIND CORPORATION</w:t>
      </w:r>
    </w:p>
    <w:p>
      <w:pPr>
        <w:spacing w:after="0" w:line="200" w:lineRule="exact"/>
        <w:rPr>
          <w:sz w:val="20"/>
          <w:szCs w:val="20"/>
          <w:color w:val="auto"/>
        </w:rPr>
      </w:pPr>
    </w:p>
    <w:p>
      <w:pPr>
        <w:sectPr>
          <w:pgSz w:w="11900" w:h="16838" w:orient="portrait"/>
          <w:cols w:equalWidth="0" w:num="2">
            <w:col w:w="5200" w:space="720"/>
            <w:col w:w="5020"/>
          </w:cols>
          <w:pgMar w:left="240" w:top="459" w:right="719" w:bottom="1440" w:gutter="0" w:footer="0" w:header="0"/>
          <w:type w:val="continuous"/>
        </w:sectPr>
      </w:pPr>
    </w:p>
    <w:p>
      <w:pPr>
        <w:spacing w:after="0" w:line="48"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25400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7020" w:space="720"/>
            <w:col w:w="180" w:space="180"/>
            <w:col w:w="2840"/>
          </w:cols>
          <w:pgMar w:left="240" w:top="459" w:right="719" w:bottom="1440" w:gutter="0" w:footer="0" w:header="0"/>
          <w:type w:val="continuous"/>
        </w:sectPr>
      </w:pPr>
    </w:p>
    <w:p>
      <w:pPr>
        <w:jc w:val="center"/>
        <w:ind w:left="6280"/>
        <w:spacing w:after="0"/>
        <w:rPr>
          <w:sz w:val="20"/>
          <w:szCs w:val="20"/>
          <w:color w:val="auto"/>
        </w:rPr>
      </w:pPr>
      <w:r>
        <w:rPr>
          <w:rFonts w:ascii="Arial" w:cs="Arial" w:eastAsia="Arial" w:hAnsi="Arial"/>
          <w:sz w:val="14"/>
          <w:szCs w:val="14"/>
          <w:b w:val="1"/>
          <w:bCs w:val="1"/>
          <w:color w:val="auto"/>
        </w:rPr>
        <w:t>Matthew J. Pfeffer</w:t>
      </w:r>
    </w:p>
    <w:p>
      <w:pPr>
        <w:spacing w:after="0" w:line="2" w:lineRule="exact"/>
        <w:rPr>
          <w:sz w:val="20"/>
          <w:szCs w:val="20"/>
          <w:color w:val="auto"/>
        </w:rPr>
      </w:pPr>
    </w:p>
    <w:p>
      <w:pPr>
        <w:jc w:val="center"/>
        <w:ind w:left="6280"/>
        <w:spacing w:after="0"/>
        <w:rPr>
          <w:sz w:val="20"/>
          <w:szCs w:val="20"/>
          <w:color w:val="auto"/>
        </w:rPr>
      </w:pPr>
      <w:r>
        <w:rPr>
          <w:rFonts w:ascii="Arial" w:cs="Arial" w:eastAsia="Arial" w:hAnsi="Arial"/>
          <w:sz w:val="11"/>
          <w:szCs w:val="11"/>
          <w:b w:val="1"/>
          <w:bCs w:val="1"/>
          <w:i w:val="1"/>
          <w:iCs w:val="1"/>
          <w:color w:val="auto"/>
        </w:rPr>
        <w:t>Corporate Vice President and Chief Financial Officer</w:t>
      </w:r>
    </w:p>
    <w:p>
      <w:pPr>
        <w:spacing w:after="0" w:line="2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i w:val="1"/>
          <w:iCs w:val="1"/>
          <w:color w:val="auto"/>
        </w:rPr>
        <w:t>(Principal Financial and Accounting Officer)</w:t>
      </w:r>
    </w:p>
    <w:p>
      <w:pPr>
        <w:spacing w:after="0" w:line="14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940"/>
          </w:cols>
          <w:pgMar w:left="240" w:top="459" w:right="71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 TO</w:t>
      </w:r>
      <w:r>
        <w:rPr>
          <w:rFonts w:ascii="Arial" w:cs="Arial" w:eastAsia="Arial" w:hAnsi="Arial"/>
          <w:sz w:val="18"/>
          <w:szCs w:val="18"/>
          <w:b w:val="1"/>
          <w:bCs w:val="1"/>
          <w:color w:val="auto"/>
        </w:rPr>
        <w:t xml:space="preserve"> $350 M</w:t>
      </w:r>
      <w:r>
        <w:rPr>
          <w:rFonts w:ascii="Arial" w:cs="Arial" w:eastAsia="Arial" w:hAnsi="Arial"/>
          <w:sz w:val="14"/>
          <w:szCs w:val="14"/>
          <w:b w:val="1"/>
          <w:bCs w:val="1"/>
          <w:color w:val="auto"/>
        </w:rPr>
        <w:t>ILLION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ROMISSORY</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This AMENDMENT TO $350 MILLION AMENDED AND RESTATED PROMISSORY NOTE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made as of May 9, 2012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M</w:t>
      </w:r>
      <w:r>
        <w:rPr>
          <w:rFonts w:ascii="Arial" w:cs="Arial" w:eastAsia="Arial" w:hAnsi="Arial"/>
          <w:sz w:val="13"/>
          <w:szCs w:val="13"/>
          <w:b w:val="1"/>
          <w:bCs w:val="1"/>
          <w:color w:val="auto"/>
        </w:rPr>
        <w:t>ANN</w:t>
      </w:r>
      <w:r>
        <w:rPr>
          <w:rFonts w:ascii="Arial" w:cs="Arial" w:eastAsia="Arial" w:hAnsi="Arial"/>
          <w:sz w:val="16"/>
          <w:szCs w:val="16"/>
          <w:b w:val="1"/>
          <w:bCs w:val="1"/>
          <w:color w:val="auto"/>
        </w:rPr>
        <w:t>K</w:t>
      </w:r>
      <w:r>
        <w:rPr>
          <w:rFonts w:ascii="Arial" w:cs="Arial" w:eastAsia="Arial" w:hAnsi="Arial"/>
          <w:sz w:val="13"/>
          <w:szCs w:val="13"/>
          <w:b w:val="1"/>
          <w:bCs w:val="1"/>
          <w:color w:val="auto"/>
        </w:rPr>
        <w:t>IND</w:t>
      </w:r>
      <w:r>
        <w:rPr>
          <w:rFonts w:ascii="Arial" w:cs="Arial" w:eastAsia="Arial" w:hAnsi="Arial"/>
          <w:sz w:val="16"/>
          <w:szCs w:val="16"/>
          <w:color w:val="auto"/>
        </w:rPr>
        <w:t xml:space="preserve"> </w:t>
      </w:r>
      <w:r>
        <w:rPr>
          <w:rFonts w:ascii="Arial" w:cs="Arial" w:eastAsia="Arial" w:hAnsi="Arial"/>
          <w:sz w:val="16"/>
          <w:szCs w:val="16"/>
          <w:b w:val="1"/>
          <w:bCs w:val="1"/>
          <w:color w:val="auto"/>
        </w:rPr>
        <w:t>C</w:t>
      </w:r>
      <w:r>
        <w:rPr>
          <w:rFonts w:ascii="Arial" w:cs="Arial" w:eastAsia="Arial" w:hAnsi="Arial"/>
          <w:sz w:val="13"/>
          <w:szCs w:val="13"/>
          <w:b w:val="1"/>
          <w:bCs w:val="1"/>
          <w:color w:val="auto"/>
        </w:rPr>
        <w:t>ORPORATION</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xml:space="preserve">”), and </w:t>
      </w:r>
      <w:r>
        <w:rPr>
          <w:rFonts w:ascii="Arial" w:cs="Arial" w:eastAsia="Arial" w:hAnsi="Arial"/>
          <w:sz w:val="16"/>
          <w:szCs w:val="16"/>
          <w:b w:val="1"/>
          <w:bCs w:val="1"/>
          <w:color w:val="auto"/>
        </w:rPr>
        <w:t>T</w:t>
      </w:r>
      <w:r>
        <w:rPr>
          <w:rFonts w:ascii="Arial" w:cs="Arial" w:eastAsia="Arial" w:hAnsi="Arial"/>
          <w:sz w:val="13"/>
          <w:szCs w:val="13"/>
          <w:b w:val="1"/>
          <w:bCs w:val="1"/>
          <w:color w:val="auto"/>
        </w:rPr>
        <w:t>HE</w:t>
      </w:r>
      <w:r>
        <w:rPr>
          <w:rFonts w:ascii="Arial" w:cs="Arial" w:eastAsia="Arial" w:hAnsi="Arial"/>
          <w:sz w:val="16"/>
          <w:szCs w:val="16"/>
          <w:color w:val="auto"/>
        </w:rPr>
        <w:t xml:space="preserve"> </w:t>
      </w:r>
      <w:r>
        <w:rPr>
          <w:rFonts w:ascii="Arial" w:cs="Arial" w:eastAsia="Arial" w:hAnsi="Arial"/>
          <w:sz w:val="16"/>
          <w:szCs w:val="16"/>
          <w:b w:val="1"/>
          <w:bCs w:val="1"/>
          <w:color w:val="auto"/>
        </w:rPr>
        <w:t>M</w:t>
      </w:r>
      <w:r>
        <w:rPr>
          <w:rFonts w:ascii="Arial" w:cs="Arial" w:eastAsia="Arial" w:hAnsi="Arial"/>
          <w:sz w:val="13"/>
          <w:szCs w:val="13"/>
          <w:b w:val="1"/>
          <w:bCs w:val="1"/>
          <w:color w:val="auto"/>
        </w:rPr>
        <w:t>ANN</w:t>
      </w:r>
      <w:r>
        <w:rPr>
          <w:rFonts w:ascii="Arial" w:cs="Arial" w:eastAsia="Arial" w:hAnsi="Arial"/>
          <w:sz w:val="16"/>
          <w:szCs w:val="16"/>
          <w:color w:val="auto"/>
        </w:rPr>
        <w:t xml:space="preserve"> </w:t>
      </w:r>
      <w:r>
        <w:rPr>
          <w:rFonts w:ascii="Arial" w:cs="Arial" w:eastAsia="Arial" w:hAnsi="Arial"/>
          <w:sz w:val="16"/>
          <w:szCs w:val="16"/>
          <w:b w:val="1"/>
          <w:bCs w:val="1"/>
          <w:color w:val="auto"/>
        </w:rPr>
        <w:t>G</w:t>
      </w:r>
      <w:r>
        <w:rPr>
          <w:rFonts w:ascii="Arial" w:cs="Arial" w:eastAsia="Arial" w:hAnsi="Arial"/>
          <w:sz w:val="13"/>
          <w:szCs w:val="13"/>
          <w:b w:val="1"/>
          <w:bCs w:val="1"/>
          <w:color w:val="auto"/>
        </w:rPr>
        <w:t>ROUP</w:t>
      </w:r>
      <w:r>
        <w:rPr>
          <w:rFonts w:ascii="Arial" w:cs="Arial" w:eastAsia="Arial" w:hAnsi="Arial"/>
          <w:sz w:val="16"/>
          <w:szCs w:val="16"/>
          <w:color w:val="auto"/>
        </w:rPr>
        <w:t xml:space="preserve"> </w:t>
      </w:r>
      <w:r>
        <w:rPr>
          <w:rFonts w:ascii="Arial" w:cs="Arial" w:eastAsia="Arial" w:hAnsi="Arial"/>
          <w:sz w:val="16"/>
          <w:szCs w:val="16"/>
          <w:b w:val="1"/>
          <w:bCs w:val="1"/>
          <w:color w:val="auto"/>
        </w:rPr>
        <w:t>LLC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each of which is a party to that certain Amended and Restated Promissory Note, dated August 10, 2010, as amended January 16, 2012 (the “</w:t>
      </w:r>
      <w:r>
        <w:rPr>
          <w:rFonts w:ascii="Arial" w:cs="Arial" w:eastAsia="Arial" w:hAnsi="Arial"/>
          <w:sz w:val="16"/>
          <w:szCs w:val="16"/>
          <w:b w:val="1"/>
          <w:bCs w:val="1"/>
          <w:i w:val="1"/>
          <w:iCs w:val="1"/>
          <w:color w:val="auto"/>
        </w:rPr>
        <w:t>Note</w:t>
      </w:r>
      <w:r>
        <w:rPr>
          <w:rFonts w:ascii="Arial" w:cs="Arial" w:eastAsia="Arial" w:hAnsi="Arial"/>
          <w:sz w:val="16"/>
          <w:szCs w:val="16"/>
          <w:color w:val="auto"/>
        </w:rPr>
        <w: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12 of the Note provides that any provision of the Note may be amended or waived with the written consent of Lender and Borrower;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the Note as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sufficiency of which is hereby acknowledged, the parties hereto hereby agree as follows:</w:t>
      </w:r>
    </w:p>
    <w:p>
      <w:pPr>
        <w:spacing w:after="0" w:line="194"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A</w:t>
      </w:r>
      <w:r>
        <w:rPr>
          <w:rFonts w:ascii="Arial" w:cs="Arial" w:eastAsia="Arial" w:hAnsi="Arial"/>
          <w:sz w:val="13"/>
          <w:szCs w:val="13"/>
          <w:b w:val="1"/>
          <w:bCs w:val="1"/>
          <w:color w:val="auto"/>
        </w:rPr>
        <w:t>MENDMENT 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6"/>
          <w:szCs w:val="16"/>
          <w:b w:val="1"/>
          <w:bCs w:val="1"/>
          <w:color w:val="auto"/>
        </w:rPr>
        <w:t xml:space="preserve"> 1 </w:t>
      </w:r>
      <w:r>
        <w:rPr>
          <w:rFonts w:ascii="Arial" w:cs="Arial" w:eastAsia="Arial" w:hAnsi="Arial"/>
          <w:sz w:val="13"/>
          <w:szCs w:val="13"/>
          <w:b w:val="1"/>
          <w:bCs w:val="1"/>
          <w:color w:val="auto"/>
        </w:rPr>
        <w:t>OF THE</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OTE</w:t>
      </w:r>
      <w:r>
        <w:rPr>
          <w:rFonts w:ascii="Arial" w:cs="Arial" w:eastAsia="Arial" w:hAnsi="Arial"/>
          <w:sz w:val="16"/>
          <w:szCs w:val="16"/>
          <w:color w:val="auto"/>
        </w:rPr>
        <w:t>. The reference to “March 31, 2013” in Section 1 of the Note is hereby replaced with “July 1, 2013.”</w:t>
      </w:r>
    </w:p>
    <w:p>
      <w:pPr>
        <w:spacing w:after="0" w:line="194" w:lineRule="exact"/>
        <w:rPr>
          <w:rFonts w:ascii="Arial" w:cs="Arial" w:eastAsia="Arial" w:hAnsi="Arial"/>
          <w:sz w:val="16"/>
          <w:szCs w:val="16"/>
          <w:color w:val="auto"/>
        </w:rPr>
      </w:pPr>
    </w:p>
    <w:p>
      <w:pPr>
        <w:ind w:right="120" w:firstLine="464"/>
        <w:spacing w:after="0" w:line="339"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C</w:t>
      </w:r>
      <w:r>
        <w:rPr>
          <w:rFonts w:ascii="Arial" w:cs="Arial" w:eastAsia="Arial" w:hAnsi="Arial"/>
          <w:sz w:val="13"/>
          <w:szCs w:val="13"/>
          <w:b w:val="1"/>
          <w:bCs w:val="1"/>
          <w:color w:val="auto"/>
        </w:rPr>
        <w:t>OUNTERPARTS</w:t>
      </w:r>
      <w:r>
        <w:rPr>
          <w:rFonts w:ascii="Arial" w:cs="Arial" w:eastAsia="Arial" w:hAnsi="Arial"/>
          <w:sz w:val="16"/>
          <w:szCs w:val="16"/>
          <w:b w:val="1"/>
          <w:bCs w:val="1"/>
          <w:color w:val="auto"/>
        </w:rPr>
        <w:t>; F</w:t>
      </w:r>
      <w:r>
        <w:rPr>
          <w:rFonts w:ascii="Arial" w:cs="Arial" w:eastAsia="Arial" w:hAnsi="Arial"/>
          <w:sz w:val="13"/>
          <w:szCs w:val="13"/>
          <w:b w:val="1"/>
          <w:bCs w:val="1"/>
          <w:color w:val="auto"/>
        </w:rPr>
        <w:t>ACSIMILE</w:t>
      </w:r>
      <w:r>
        <w:rPr>
          <w:rFonts w:ascii="Arial" w:cs="Arial" w:eastAsia="Arial" w:hAnsi="Arial"/>
          <w:sz w:val="16"/>
          <w:szCs w:val="16"/>
          <w:color w:val="auto"/>
        </w:rPr>
        <w:t>. This Amendment may be executed in any number of counterparts, each of which shall be deemed an original, and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together shall constitute one and the same instrument. Facsimile and electronic (PDF) signatures shall be as effective as original signatures.</w:t>
      </w:r>
    </w:p>
    <w:p>
      <w:pPr>
        <w:spacing w:after="0" w:line="74" w:lineRule="exact"/>
        <w:rPr>
          <w:rFonts w:ascii="Arial" w:cs="Arial" w:eastAsia="Arial" w:hAnsi="Arial"/>
          <w:sz w:val="16"/>
          <w:szCs w:val="16"/>
          <w:color w:val="auto"/>
        </w:rPr>
      </w:pPr>
    </w:p>
    <w:p>
      <w:pPr>
        <w:ind w:firstLine="464"/>
        <w:spacing w:after="0" w:line="256"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 This Amendment shall be governed by, and construed and enforced in accordance with, the laws of the State of New York,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 that would cause the application of laws of any other jurisdiction. Borrower consents to in personam jurisdiction of the courts in the State of New York sitting in New York County and of the United States District Court of the Southern District of New York for any legal action or proceeding with respect to this Amendment. Borrower, by execution and delivery of this Amendment, hereby irrevocably accepts in respect of its property, generally and unconditionally, the jurisdiction of the aforesaid courts.</w:t>
      </w:r>
    </w:p>
    <w:p>
      <w:pPr>
        <w:spacing w:after="0" w:line="138" w:lineRule="exact"/>
        <w:rPr>
          <w:rFonts w:ascii="Arial" w:cs="Arial" w:eastAsia="Arial" w:hAnsi="Arial"/>
          <w:sz w:val="18"/>
          <w:szCs w:val="18"/>
          <w:color w:val="auto"/>
        </w:rPr>
      </w:pPr>
    </w:p>
    <w:p>
      <w:pPr>
        <w:ind w:right="60" w:firstLine="464"/>
        <w:spacing w:after="0" w:line="275"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color w:val="auto"/>
        </w:rPr>
        <w:t>. Except as specifically amended by this Amendment, all other terms and conditions of the Note shall remain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without modification.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undersigned have executed this Amendment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ANN</w:t>
      </w:r>
      <w:r>
        <w:rPr>
          <w:rFonts w:ascii="Arial" w:cs="Arial" w:eastAsia="Arial" w:hAnsi="Arial"/>
          <w:sz w:val="18"/>
          <w:szCs w:val="18"/>
          <w:b w:val="1"/>
          <w:bCs w:val="1"/>
          <w:color w:val="auto"/>
        </w:rPr>
        <w:t>K</w:t>
      </w:r>
      <w:r>
        <w:rPr>
          <w:rFonts w:ascii="Arial" w:cs="Arial" w:eastAsia="Arial" w:hAnsi="Arial"/>
          <w:sz w:val="14"/>
          <w:szCs w:val="14"/>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Matthew Pfeffer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Matthew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-129540</wp:posOffset>
            </wp:positionV>
            <wp:extent cx="2718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6"/>
          <w:szCs w:val="16"/>
          <w:color w:val="auto"/>
        </w:rPr>
        <w:t>Title:  Chief Financial Officer</w:t>
      </w:r>
    </w:p>
    <w:p>
      <w:pPr>
        <w:spacing w:after="0" w:line="23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Alfred E. Mann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-129540</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  Managing Member</w:t>
      </w:r>
    </w:p>
    <w:p>
      <w:pPr>
        <w:spacing w:after="0" w:line="15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P</w:t>
      </w:r>
      <w:r>
        <w:rPr>
          <w:rFonts w:ascii="Arial" w:cs="Arial" w:eastAsia="Arial" w:hAnsi="Arial"/>
          <w:sz w:val="14"/>
          <w:szCs w:val="14"/>
          <w:color w:val="auto"/>
        </w:rPr>
        <w:t>ROMISSORY</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2012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10,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Alfred E. Mann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Alfred E. Mann</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2012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10,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Matthew J. Pfeffer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Matthew J. Pfeffer</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2012,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143"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right="600" w:firstLine="464"/>
        <w:spacing w:after="0" w:line="43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2012</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10th day of May 2012.</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88"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jc w:val="both"/>
        <w:ind w:right="420"/>
        <w:spacing w:after="0" w:line="306"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3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2019-12-11T02:05:28Z</dcterms:created>
  <dcterms:modified xsi:type="dcterms:W3CDTF">2019-12-11T02:05:28Z</dcterms:modified>
</cp:coreProperties>
</file>