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34" w:lineRule="exact"/>
        <w:rPr>
          <w:sz w:val="20"/>
          <w:szCs w:val="20"/>
          <w:color w:val="auto"/>
        </w:rPr>
      </w:pPr>
    </w:p>
    <w:p>
      <w:pPr>
        <w:ind w:left="1380" w:right="360" w:hanging="1061"/>
        <w:spacing w:after="0" w:line="262" w:lineRule="auto"/>
        <w:tabs>
          <w:tab w:leader="none" w:pos="1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5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2011</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2" w:lineRule="exact"/>
        <w:rPr>
          <w:sz w:val="20"/>
          <w:szCs w:val="20"/>
          <w:color w:val="auto"/>
        </w:rPr>
      </w:pPr>
    </w:p>
    <w:p>
      <w:pPr>
        <w:ind w:left="1380" w:right="340" w:hanging="1021"/>
        <w:spacing w:after="0" w:line="262" w:lineRule="auto"/>
        <w:tabs>
          <w:tab w:leader="none" w:pos="13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0"/>
          <w:szCs w:val="20"/>
          <w:color w:val="auto"/>
        </w:rPr>
      </w:pPr>
    </w:p>
    <w:p>
      <w:pPr>
        <w:ind w:left="1380"/>
        <w:spacing w:after="0"/>
        <w:tabs>
          <w:tab w:leader="none" w:pos="4680" w:val="left"/>
          <w:tab w:leader="none" w:pos="57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-5080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000-50865</w:t>
      </w:r>
    </w:p>
    <w:p>
      <w:pPr>
        <w:spacing w:after="0" w:line="1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MannKind Corporation</w:t>
      </w:r>
    </w:p>
    <w:p>
      <w:pPr>
        <w:spacing w:after="0" w:line="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0"/>
          <w:szCs w:val="20"/>
          <w:color w:val="auto"/>
        </w:rPr>
      </w:pPr>
    </w:p>
    <w:tbl>
      <w:tblPr>
        <w:tblLayout w:type="fixed"/>
        <w:tblInd w:w="1300" w:type="dxa"/>
        <w:tblCellMar>
          <w:top w:w="0" w:type="dxa"/>
          <w:left w:w="0" w:type="dxa"/>
          <w:bottom w:w="0" w:type="dxa"/>
          <w:right w:w="0" w:type="dxa"/>
        </w:tblCellMar>
      </w:tblPr>
      <w:tr>
        <w:trPr>
          <w:trHeight w:val="218"/>
        </w:trPr>
        <w:tc>
          <w:tcPr>
            <w:tcW w:w="4780" w:type="dxa"/>
            <w:vAlign w:val="bottom"/>
          </w:tcPr>
          <w:p>
            <w:pPr>
              <w:jc w:val="center"/>
              <w:ind w:right="18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13-3607736</w:t>
            </w:r>
          </w:p>
        </w:tc>
      </w:tr>
      <w:tr>
        <w:trPr>
          <w:trHeight w:val="216"/>
        </w:trPr>
        <w:tc>
          <w:tcPr>
            <w:tcW w:w="4780" w:type="dxa"/>
            <w:vAlign w:val="bottom"/>
          </w:tcPr>
          <w:p>
            <w:pPr>
              <w:jc w:val="center"/>
              <w:ind w:right="1850"/>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3300" w:type="dxa"/>
            <w:vAlign w:val="bottom"/>
          </w:tcPr>
          <w:p>
            <w:pPr>
              <w:jc w:val="center"/>
              <w:ind w:left="185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4780" w:type="dxa"/>
            <w:vAlign w:val="bottom"/>
          </w:tcPr>
          <w:p>
            <w:pPr>
              <w:jc w:val="center"/>
              <w:ind w:right="187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3300" w:type="dxa"/>
            <w:vAlign w:val="bottom"/>
          </w:tcPr>
          <w:p>
            <w:pPr>
              <w:jc w:val="center"/>
              <w:ind w:left="1870"/>
              <w:spacing w:after="0"/>
              <w:rPr>
                <w:sz w:val="20"/>
                <w:szCs w:val="20"/>
                <w:color w:val="auto"/>
              </w:rPr>
            </w:pPr>
            <w:r>
              <w:rPr>
                <w:rFonts w:ascii="Times New Roman" w:cs="Times New Roman" w:eastAsia="Times New Roman" w:hAnsi="Times New Roman"/>
                <w:sz w:val="18"/>
                <w:szCs w:val="18"/>
                <w:i w:val="1"/>
                <w:iCs w:val="1"/>
                <w:color w:val="auto"/>
              </w:rPr>
              <w:t>Identification No.)</w:t>
            </w:r>
          </w:p>
        </w:tc>
      </w:tr>
      <w:tr>
        <w:trPr>
          <w:trHeight w:val="410"/>
        </w:trPr>
        <w:tc>
          <w:tcPr>
            <w:tcW w:w="4780" w:type="dxa"/>
            <w:vAlign w:val="bottom"/>
          </w:tcPr>
          <w:p>
            <w:pPr>
              <w:jc w:val="center"/>
              <w:ind w:right="1850"/>
              <w:spacing w:after="0"/>
              <w:rPr>
                <w:sz w:val="20"/>
                <w:szCs w:val="20"/>
                <w:color w:val="auto"/>
              </w:rPr>
            </w:pPr>
            <w:r>
              <w:rPr>
                <w:rFonts w:ascii="Times New Roman" w:cs="Times New Roman" w:eastAsia="Times New Roman" w:hAnsi="Times New Roman"/>
                <w:sz w:val="18"/>
                <w:szCs w:val="18"/>
                <w:b w:val="1"/>
                <w:bCs w:val="1"/>
                <w:color w:val="auto"/>
                <w:w w:val="99"/>
              </w:rPr>
              <w:t>28903 North Avenue Paine</w:t>
            </w:r>
          </w:p>
        </w:tc>
        <w:tc>
          <w:tcPr>
            <w:tcW w:w="3300" w:type="dxa"/>
            <w:vAlign w:val="bottom"/>
          </w:tcPr>
          <w:p>
            <w:pPr>
              <w:spacing w:after="0"/>
              <w:rPr>
                <w:sz w:val="24"/>
                <w:szCs w:val="24"/>
                <w:color w:val="auto"/>
              </w:rPr>
            </w:pPr>
          </w:p>
        </w:tc>
      </w:tr>
      <w:tr>
        <w:trPr>
          <w:trHeight w:val="218"/>
        </w:trPr>
        <w:tc>
          <w:tcPr>
            <w:tcW w:w="4780" w:type="dxa"/>
            <w:vAlign w:val="bottom"/>
          </w:tcPr>
          <w:p>
            <w:pPr>
              <w:jc w:val="center"/>
              <w:ind w:right="1870"/>
              <w:spacing w:after="0"/>
              <w:rPr>
                <w:sz w:val="20"/>
                <w:szCs w:val="20"/>
                <w:color w:val="auto"/>
              </w:rPr>
            </w:pPr>
            <w:r>
              <w:rPr>
                <w:rFonts w:ascii="Times New Roman" w:cs="Times New Roman" w:eastAsia="Times New Roman" w:hAnsi="Times New Roman"/>
                <w:sz w:val="18"/>
                <w:szCs w:val="18"/>
                <w:b w:val="1"/>
                <w:bCs w:val="1"/>
                <w:color w:val="auto"/>
                <w:w w:val="99"/>
              </w:rPr>
              <w:t>Valencia, California</w:t>
            </w:r>
          </w:p>
        </w:tc>
        <w:tc>
          <w:tcPr>
            <w:tcW w:w="33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91355</w:t>
            </w:r>
          </w:p>
        </w:tc>
      </w:tr>
      <w:tr>
        <w:trPr>
          <w:trHeight w:val="236"/>
        </w:trPr>
        <w:tc>
          <w:tcPr>
            <w:tcW w:w="4780" w:type="dxa"/>
            <w:vAlign w:val="bottom"/>
          </w:tcPr>
          <w:p>
            <w:pPr>
              <w:jc w:val="center"/>
              <w:ind w:right="187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3300" w:type="dxa"/>
            <w:vAlign w:val="bottom"/>
          </w:tcPr>
          <w:p>
            <w:pPr>
              <w:jc w:val="center"/>
              <w:ind w:left="187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bl>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(661) 775-5300</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Registrant’s telephone number, including area code)</w:t>
      </w:r>
    </w:p>
    <w:p>
      <w:pPr>
        <w:spacing w:after="0" w:line="99" w:lineRule="exact"/>
        <w:rPr>
          <w:sz w:val="20"/>
          <w:szCs w:val="20"/>
          <w:color w:val="auto"/>
        </w:rPr>
      </w:pPr>
    </w:p>
    <w:p>
      <w:pPr>
        <w:ind w:right="4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6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118" w:right="279" w:bottom="1440" w:gutter="0" w:footer="0" w:header="0"/>
        </w:sectPr>
      </w:pP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Large accelerated filer o</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Non-accelerated filer 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 o</w:t>
      </w:r>
    </w:p>
    <w:p>
      <w:pPr>
        <w:spacing w:after="0" w:line="304" w:lineRule="exact"/>
        <w:rPr>
          <w:sz w:val="20"/>
          <w:szCs w:val="20"/>
          <w:color w:val="auto"/>
        </w:rPr>
      </w:pPr>
    </w:p>
    <w:p>
      <w:pPr>
        <w:sectPr>
          <w:pgSz w:w="11900" w:h="16838" w:orient="portrait"/>
          <w:cols w:equalWidth="0" w:num="4">
            <w:col w:w="2440" w:space="720"/>
            <w:col w:w="1460" w:space="720"/>
            <w:col w:w="3340" w:space="460"/>
            <w:col w:w="2240"/>
          </w:cols>
          <w:pgMar w:left="240" w:top="118" w:right="279" w:bottom="1440" w:gutter="0" w:footer="0" w:header="0"/>
          <w:type w:val="continuous"/>
        </w:sect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o No </w:t>
      </w:r>
      <w:r>
        <w:rPr>
          <w:rFonts w:ascii="MS PGothic" w:cs="MS PGothic" w:eastAsia="MS PGothic" w:hAnsi="MS PGothic"/>
          <w:sz w:val="18"/>
          <w:szCs w:val="18"/>
          <w:color w:val="auto"/>
        </w:rPr>
        <w: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April 22, 2011, there were 130,685,116 shares of the registrant’s common stock, $.01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580390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type w:val="continuous"/>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MANNKIND CORPORATION</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2011</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PART I: FINANCIAL INFORMATION</w:t>
              </w:r>
            </w:hyperlink>
          </w:p>
        </w:tc>
        <w:tc>
          <w:tcPr>
            <w:tcW w:w="6460" w:type="dxa"/>
            <w:vAlign w:val="bottom"/>
            <w:gridSpan w:val="8"/>
          </w:tcPr>
          <w:p>
            <w:pPr>
              <w:spacing w:after="0"/>
              <w:rPr>
                <w:sz w:val="17"/>
                <w:szCs w:val="17"/>
                <w:color w:val="auto"/>
              </w:rPr>
            </w:pPr>
          </w:p>
        </w:tc>
        <w:tc>
          <w:tcPr>
            <w:tcW w:w="1960" w:type="dxa"/>
            <w:vAlign w:val="bottom"/>
          </w:tcPr>
          <w:p>
            <w:pPr>
              <w:spacing w:after="0"/>
              <w:rPr>
                <w:sz w:val="17"/>
                <w:szCs w:val="17"/>
                <w:color w:val="auto"/>
              </w:rPr>
            </w:pPr>
          </w:p>
        </w:tc>
      </w:tr>
      <w:tr>
        <w:trPr>
          <w:trHeight w:val="196"/>
        </w:trPr>
        <w:tc>
          <w:tcPr>
            <w:tcW w:w="9360" w:type="dxa"/>
            <w:vAlign w:val="bottom"/>
            <w:gridSpan w:val="20"/>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Item 1. Financial Statements</w:t>
              </w:r>
            </w:hyperlink>
          </w:p>
        </w:tc>
        <w:tc>
          <w:tcPr>
            <w:tcW w:w="1960" w:type="dxa"/>
            <w:vAlign w:val="bottom"/>
          </w:tcPr>
          <w:p>
            <w:pPr>
              <w:spacing w:after="0"/>
              <w:rPr>
                <w:sz w:val="17"/>
                <w:szCs w:val="17"/>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59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Balance Sheets: March 31, 2011 and December 31, 2010</w:t>
              </w:r>
            </w:hyperlink>
          </w:p>
        </w:tc>
        <w:tc>
          <w:tcPr>
            <w:tcW w:w="3420" w:type="dxa"/>
            <w:vAlign w:val="bottom"/>
            <w:gridSpan w:val="3"/>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9360" w:type="dxa"/>
            <w:vAlign w:val="bottom"/>
            <w:gridSpan w:val="20"/>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Operations: Three months ended March 31, 2011 and 2010 and the period from inception</w:t>
              </w:r>
            </w:hyperlink>
          </w:p>
        </w:tc>
        <w:tc>
          <w:tcPr>
            <w:tcW w:w="1960" w:type="dxa"/>
            <w:vAlign w:val="bottom"/>
          </w:tcPr>
          <w:p>
            <w:pPr>
              <w:spacing w:after="0"/>
              <w:rPr>
                <w:sz w:val="17"/>
                <w:szCs w:val="17"/>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908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(February 14, 1991) to March 31, 2011</w:t>
              </w:r>
            </w:hyperlink>
          </w:p>
        </w:tc>
        <w:tc>
          <w:tcPr>
            <w:tcW w:w="60" w:type="dxa"/>
            <w:vAlign w:val="bottom"/>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2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93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Cash Flows: Three months ended March 31, 2011 and 2010 and the period from inception</w:t>
              </w:r>
            </w:hyperlink>
          </w:p>
        </w:tc>
        <w:tc>
          <w:tcPr>
            <w:tcW w:w="196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9140" w:type="dxa"/>
            <w:vAlign w:val="bottom"/>
            <w:gridSpan w:val="19"/>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(February 14, 1991) to March 31, 2011</w:t>
              </w:r>
            </w:hyperlink>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2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9360" w:type="dxa"/>
            <w:vAlign w:val="bottom"/>
            <w:gridSpan w:val="20"/>
          </w:tcPr>
          <w:p>
            <w:pPr>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Condensed Consolidated Financial Statements</w:t>
              </w:r>
            </w:hyperlink>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9360" w:type="dxa"/>
            <w:vAlign w:val="bottom"/>
            <w:gridSpan w:val="20"/>
          </w:tcPr>
          <w:p>
            <w:pPr>
              <w:spacing w:after="0" w:line="19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494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Item 3. 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2340" w:type="dxa"/>
            <w:vAlign w:val="bottom"/>
            <w:gridSpan w:val="2"/>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23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Item 4. Controls and Procedures</w:t>
              </w:r>
            </w:hyperlink>
          </w:p>
        </w:tc>
        <w:tc>
          <w:tcPr>
            <w:tcW w:w="7020" w:type="dxa"/>
            <w:vAlign w:val="bottom"/>
            <w:gridSpan w:val="12"/>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9360" w:type="dxa"/>
            <w:vAlign w:val="bottom"/>
            <w:gridSpan w:val="20"/>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PART II: OTHER INFORMATION</w:t>
              </w:r>
            </w:hyperlink>
          </w:p>
        </w:tc>
        <w:tc>
          <w:tcPr>
            <w:tcW w:w="1960" w:type="dxa"/>
            <w:vAlign w:val="bottom"/>
          </w:tcPr>
          <w:p>
            <w:pPr>
              <w:spacing w:after="0"/>
              <w:rPr>
                <w:sz w:val="17"/>
                <w:szCs w:val="17"/>
                <w:color w:val="auto"/>
              </w:rPr>
            </w:pPr>
          </w:p>
        </w:tc>
      </w:tr>
      <w:tr>
        <w:trPr>
          <w:trHeight w:val="196"/>
        </w:trPr>
        <w:tc>
          <w:tcPr>
            <w:tcW w:w="190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22">
              <w:r>
                <w:rPr>
                  <w:rFonts w:ascii="Times New Roman" w:cs="Times New Roman" w:eastAsia="Times New Roman" w:hAnsi="Times New Roman"/>
                  <w:sz w:val="18"/>
                  <w:szCs w:val="18"/>
                  <w:color w:val="0000EE"/>
                  <w:w w:val="99"/>
                </w:rPr>
                <w:t>Item 1. Legal Proceedings</w:t>
              </w:r>
            </w:hyperlink>
          </w:p>
        </w:tc>
        <w:tc>
          <w:tcPr>
            <w:tcW w:w="680" w:type="dxa"/>
            <w:vAlign w:val="bottom"/>
            <w:tcBorders>
              <w:top w:val="single" w:sz="8" w:color="0000EE"/>
            </w:tcBorders>
            <w:gridSpan w:val="4"/>
          </w:tcPr>
          <w:p>
            <w:pPr>
              <w:spacing w:after="0"/>
              <w:rPr>
                <w:sz w:val="17"/>
                <w:szCs w:val="17"/>
                <w:color w:val="auto"/>
              </w:rPr>
            </w:pPr>
          </w:p>
        </w:tc>
        <w:tc>
          <w:tcPr>
            <w:tcW w:w="6780" w:type="dxa"/>
            <w:vAlign w:val="bottom"/>
            <w:gridSpan w:val="10"/>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16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22">
              <w:r>
                <w:rPr>
                  <w:rFonts w:ascii="Times New Roman" w:cs="Times New Roman" w:eastAsia="Times New Roman" w:hAnsi="Times New Roman"/>
                  <w:sz w:val="18"/>
                  <w:szCs w:val="18"/>
                  <w:color w:val="0000EE"/>
                  <w:w w:val="99"/>
                </w:rPr>
                <w:t>Item 1A. Risk Factors</w:t>
              </w:r>
            </w:hyperlink>
          </w:p>
        </w:tc>
        <w:tc>
          <w:tcPr>
            <w:tcW w:w="7760" w:type="dxa"/>
            <w:vAlign w:val="bottom"/>
            <w:gridSpan w:val="16"/>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49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Item 2. Unregistered Sales of Equity Securities and Use of Proceeds</w:t>
              </w:r>
            </w:hyperlink>
          </w:p>
        </w:tc>
        <w:tc>
          <w:tcPr>
            <w:tcW w:w="4440" w:type="dxa"/>
            <w:vAlign w:val="bottom"/>
            <w:gridSpan w:val="5"/>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9360" w:type="dxa"/>
            <w:vAlign w:val="bottom"/>
            <w:gridSpan w:val="20"/>
          </w:tcPr>
          <w:p>
            <w:pPr>
              <w:spacing w:after="0" w:line="19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Item 3. Defaults Upon Senior Securities</w:t>
              </w:r>
            </w:hyperlink>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240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Item 4. (Removed and Reserved)</w:t>
              </w:r>
            </w:hyperlink>
          </w:p>
        </w:tc>
        <w:tc>
          <w:tcPr>
            <w:tcW w:w="480" w:type="dxa"/>
            <w:vAlign w:val="bottom"/>
            <w:tcBorders>
              <w:top w:val="single" w:sz="8" w:color="0000EE"/>
            </w:tcBorders>
            <w:gridSpan w:val="2"/>
          </w:tcPr>
          <w:p>
            <w:pPr>
              <w:spacing w:after="0"/>
              <w:rPr>
                <w:sz w:val="17"/>
                <w:szCs w:val="17"/>
                <w:color w:val="auto"/>
              </w:rPr>
            </w:pPr>
          </w:p>
        </w:tc>
        <w:tc>
          <w:tcPr>
            <w:tcW w:w="6480" w:type="dxa"/>
            <w:vAlign w:val="bottom"/>
            <w:gridSpan w:val="9"/>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18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Item 5. Other Information</w:t>
              </w:r>
            </w:hyperlink>
          </w:p>
        </w:tc>
        <w:tc>
          <w:tcPr>
            <w:tcW w:w="7480" w:type="dxa"/>
            <w:vAlign w:val="bottom"/>
            <w:gridSpan w:val="15"/>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9360" w:type="dxa"/>
            <w:vAlign w:val="bottom"/>
            <w:gridSpan w:val="20"/>
          </w:tcPr>
          <w:p>
            <w:pPr>
              <w:spacing w:after="0" w:line="19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Item 6. Exhibits</w:t>
              </w:r>
            </w:hyperlink>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116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SIGNATURES</w:t>
              </w:r>
            </w:hyperlink>
          </w:p>
        </w:tc>
        <w:tc>
          <w:tcPr>
            <w:tcW w:w="8200" w:type="dxa"/>
            <w:vAlign w:val="bottom"/>
            <w:gridSpan w:val="17"/>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20"/>
        </w:trPr>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EX-31.1</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EX-32</w:t>
      </w:r>
    </w:p>
    <w:p>
      <w:pPr>
        <w:spacing w:after="0" w:line="101" w:lineRule="exact"/>
        <w:rPr>
          <w:sz w:val="20"/>
          <w:szCs w:val="20"/>
          <w:color w:val="auto"/>
        </w:rPr>
      </w:pPr>
    </w:p>
    <w:p>
      <w:pPr>
        <w:ind w:right="440"/>
        <w:spacing w:after="0" w:line="213" w:lineRule="auto"/>
        <w:rPr>
          <w:sz w:val="20"/>
          <w:szCs w:val="20"/>
          <w:color w:val="auto"/>
        </w:rPr>
      </w:pPr>
      <w:r>
        <w:rPr>
          <w:rFonts w:ascii="Times New Roman" w:cs="Times New Roman" w:eastAsia="Times New Roman" w:hAnsi="Times New Roman"/>
          <w:sz w:val="18"/>
          <w:szCs w:val="18"/>
          <w:color w:val="auto"/>
        </w:rPr>
        <w:t>AFREZZA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MedTone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Technosphere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are our registered trademarks in the United States. We have also applied for and have registered company trademarks in other jurisdictions, including Europe and Japan.</w:t>
      </w:r>
    </w:p>
    <w:p>
      <w:pPr>
        <w:spacing w:after="0" w:line="1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4" w:right="3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580" w:type="dxa"/>
            <w:vAlign w:val="bottom"/>
          </w:tcPr>
          <w:p>
            <w:pPr>
              <w:spacing w:after="0"/>
              <w:rPr>
                <w:sz w:val="15"/>
                <w:szCs w:val="15"/>
                <w:color w:val="auto"/>
              </w:rPr>
            </w:pPr>
          </w:p>
        </w:tc>
        <w:tc>
          <w:tcPr>
            <w:tcW w:w="12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March 31, 2011</w:t>
            </w:r>
          </w:p>
        </w:tc>
        <w:tc>
          <w:tcPr>
            <w:tcW w:w="156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2010</w:t>
            </w:r>
          </w:p>
        </w:tc>
        <w:tc>
          <w:tcPr>
            <w:tcW w:w="0" w:type="dxa"/>
            <w:vAlign w:val="bottom"/>
          </w:tcPr>
          <w:p>
            <w:pPr>
              <w:spacing w:after="0"/>
              <w:rPr>
                <w:sz w:val="1"/>
                <w:szCs w:val="1"/>
                <w:color w:val="auto"/>
              </w:rPr>
            </w:pPr>
          </w:p>
        </w:tc>
      </w:tr>
      <w:tr>
        <w:trPr>
          <w:trHeight w:val="210"/>
        </w:trPr>
        <w:tc>
          <w:tcPr>
            <w:tcW w:w="8580" w:type="dxa"/>
            <w:vAlign w:val="bottom"/>
            <w:shd w:val="clear" w:color="auto" w:fill="CCEEFF"/>
          </w:tcPr>
          <w:p>
            <w:pPr>
              <w:ind w:left="37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46,912</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66,061</w:t>
            </w:r>
          </w:p>
        </w:tc>
        <w:tc>
          <w:tcPr>
            <w:tcW w:w="0" w:type="dxa"/>
            <w:vAlign w:val="bottom"/>
          </w:tcPr>
          <w:p>
            <w:pPr>
              <w:spacing w:after="0"/>
              <w:rPr>
                <w:sz w:val="1"/>
                <w:szCs w:val="1"/>
                <w:color w:val="auto"/>
              </w:rPr>
            </w:pPr>
          </w:p>
        </w:tc>
      </w:tr>
      <w:tr>
        <w:trPr>
          <w:trHeight w:val="216"/>
        </w:trPr>
        <w:tc>
          <w:tcPr>
            <w:tcW w:w="8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4,370</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research and development credit exchange receivable — current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674</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223"/>
        </w:trPr>
        <w:tc>
          <w:tcPr>
            <w:tcW w:w="8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50,614</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73,954</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203,179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202,356</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research and development credit exchange receivable — net of current portion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729</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254,752</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277,256</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206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5,360</w:t>
            </w:r>
          </w:p>
        </w:tc>
        <w:tc>
          <w:tcPr>
            <w:tcW w:w="320" w:type="dxa"/>
            <w:vAlign w:val="bottom"/>
          </w:tcPr>
          <w:p>
            <w:pPr>
              <w:spacing w:after="0"/>
              <w:rPr>
                <w:sz w:val="18"/>
                <w:szCs w:val="18"/>
                <w:color w:val="auto"/>
              </w:rPr>
            </w:pPr>
          </w:p>
        </w:tc>
        <w:tc>
          <w:tcPr>
            <w:tcW w:w="5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3,294</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19,035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14,840</w:t>
            </w:r>
          </w:p>
        </w:tc>
        <w:tc>
          <w:tcPr>
            <w:tcW w:w="0" w:type="dxa"/>
            <w:vAlign w:val="bottom"/>
          </w:tcPr>
          <w:p>
            <w:pPr>
              <w:spacing w:after="0"/>
              <w:rPr>
                <w:sz w:val="1"/>
                <w:szCs w:val="1"/>
                <w:color w:val="auto"/>
              </w:rPr>
            </w:pPr>
          </w:p>
        </w:tc>
      </w:tr>
      <w:tr>
        <w:trPr>
          <w:trHeight w:val="223"/>
        </w:trPr>
        <w:tc>
          <w:tcPr>
            <w:tcW w:w="8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24,395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convertible notes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209,655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209,335</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Note payable to related party</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224,203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458,253</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462,788</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Undesignated preferred stock, $0.01 par value — 10,000,000 shares authorized; no shares issued or outstanding</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at March 31, 2011 and December 31, 2010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 200,000,000 shares authorized; 130,674,783 and 127,793,178 shares issued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outstanding at March 31, 2011 and December 31, 2010, respectively</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1,307</w:t>
            </w: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1,278</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1,611,373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1,587,858</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Deficit accumulated during the development stage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(1,816,267)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(1,774,742)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(203,501)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(185,532)</w:t>
            </w:r>
          </w:p>
        </w:tc>
        <w:tc>
          <w:tcPr>
            <w:tcW w:w="0" w:type="dxa"/>
            <w:vAlign w:val="bottom"/>
          </w:tcPr>
          <w:p>
            <w:pPr>
              <w:spacing w:after="0"/>
              <w:rPr>
                <w:sz w:val="1"/>
                <w:szCs w:val="1"/>
                <w:color w:val="auto"/>
              </w:rPr>
            </w:pPr>
          </w:p>
        </w:tc>
      </w:tr>
      <w:tr>
        <w:trPr>
          <w:trHeight w:val="223"/>
        </w:trPr>
        <w:tc>
          <w:tcPr>
            <w:tcW w:w="8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254,752</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Cumulative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from 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80" w:type="dxa"/>
            <w:vAlign w:val="bottom"/>
            <w:gridSpan w:val="6"/>
            <w:vMerge w:val="restart"/>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80" w:type="dxa"/>
            <w:vAlign w:val="bottom"/>
            <w:gridSpan w:val="6"/>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to</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5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3,131</w:t>
            </w:r>
          </w:p>
        </w:tc>
        <w:tc>
          <w:tcPr>
            <w:tcW w:w="0" w:type="dxa"/>
            <w:vAlign w:val="bottom"/>
          </w:tcPr>
          <w:p>
            <w:pPr>
              <w:spacing w:after="0"/>
              <w:rPr>
                <w:sz w:val="1"/>
                <w:szCs w:val="1"/>
                <w:color w:val="auto"/>
              </w:rPr>
            </w:pPr>
          </w:p>
        </w:tc>
      </w:tr>
      <w:tr>
        <w:trPr>
          <w:trHeight w:val="223"/>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30,491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1,292,381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10,110</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351,363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In-process research and development costs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impairment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40,601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1,814,898</w:t>
            </w:r>
          </w:p>
        </w:tc>
        <w:tc>
          <w:tcPr>
            <w:tcW w:w="0" w:type="dxa"/>
            <w:vAlign w:val="bottom"/>
          </w:tcPr>
          <w:p>
            <w:pPr>
              <w:spacing w:after="0"/>
              <w:rPr>
                <w:sz w:val="1"/>
                <w:szCs w:val="1"/>
                <w:color w:val="auto"/>
              </w:rPr>
            </w:pPr>
          </w:p>
        </w:tc>
      </w:tr>
      <w:tr>
        <w:trPr>
          <w:trHeight w:val="223"/>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(38,001)</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(40,601)</w:t>
            </w: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(1,811,767)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(790)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note payable to related party</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508"/>
              <w:spacing w:after="0"/>
              <w:rPr>
                <w:sz w:val="20"/>
                <w:szCs w:val="20"/>
                <w:color w:val="auto"/>
              </w:rPr>
            </w:pPr>
            <w:r>
              <w:rPr>
                <w:rFonts w:ascii="Times New Roman" w:cs="Times New Roman" w:eastAsia="Times New Roman" w:hAnsi="Times New Roman"/>
                <w:sz w:val="18"/>
                <w:szCs w:val="18"/>
                <w:color w:val="auto"/>
              </w:rPr>
              <w:t>(2,476)</w:t>
            </w:r>
          </w:p>
        </w:tc>
        <w:tc>
          <w:tcPr>
            <w:tcW w:w="10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(2,102)</w:t>
            </w: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senior convertible notes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(2,413)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(1,210)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(41,525)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(44,700)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(41,525)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(44,700)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Deemed dividend related to beneficial conversion feature of convertible preferred stock</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on redeemable preferred stock</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23"/>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(41,525</w:t>
            </w:r>
          </w:p>
        </w:tc>
        <w:tc>
          <w:tcPr>
            <w:tcW w:w="640" w:type="dxa"/>
            <w:vAlign w:val="bottom"/>
            <w:gridSpan w:val="2"/>
          </w:tcPr>
          <w:p>
            <w:pPr>
              <w:jc w:val="right"/>
              <w:ind w:right="50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(44,700</w:t>
            </w:r>
          </w:p>
        </w:tc>
        <w:tc>
          <w:tcPr>
            <w:tcW w:w="640" w:type="dxa"/>
            <w:vAlign w:val="bottom"/>
          </w:tcPr>
          <w:p>
            <w:pPr>
              <w:jc w:val="right"/>
              <w:ind w:right="50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(1,839,479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applicable to common stockholders — basic and diluted</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(0.40)</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Shares used to compute basic and diluted net loss per share applicable to common stockholders</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121,057</w:t>
            </w:r>
          </w:p>
        </w:tc>
        <w:tc>
          <w:tcPr>
            <w:tcW w:w="20" w:type="dxa"/>
            <w:vAlign w:val="bottom"/>
            <w:tcBorders>
              <w:bottom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113,095</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gridSpan w:val="6"/>
            <w:vMerge w:val="restart"/>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gridSpan w:val="6"/>
            <w:vMerge w:val="continue"/>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to</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7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3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528"/>
              <w:spacing w:after="0"/>
              <w:rPr>
                <w:sz w:val="20"/>
                <w:szCs w:val="20"/>
                <w:color w:val="auto"/>
              </w:rPr>
            </w:pPr>
            <w:r>
              <w:rPr>
                <w:rFonts w:ascii="Times New Roman" w:cs="Times New Roman" w:eastAsia="Times New Roman" w:hAnsi="Times New Roman"/>
                <w:sz w:val="18"/>
                <w:szCs w:val="18"/>
                <w:color w:val="auto"/>
              </w:rPr>
              <w:t>(41,525)</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w w:val="97"/>
              </w:rPr>
              <w:t>(44,700)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(1,816,267)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4,119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4,314</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Times New Roman" w:cs="Times New Roman" w:eastAsia="Times New Roman" w:hAnsi="Times New Roman"/>
                <w:sz w:val="18"/>
                <w:szCs w:val="18"/>
                <w:color w:val="auto"/>
              </w:rPr>
              <w:t>2,708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3,749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Stock expense for shares issued pursuant to research agreement</w:t>
            </w:r>
          </w:p>
        </w:tc>
        <w:tc>
          <w:tcPr>
            <w:tcW w:w="10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Loss on sale, abandonment/disposal or impairment of property and equipment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Accrued interest on investments, net of amortization of discounts</w:t>
            </w:r>
          </w:p>
        </w:tc>
        <w:tc>
          <w:tcPr>
            <w:tcW w:w="10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Goodwill impairment</w:t>
            </w:r>
          </w:p>
        </w:tc>
        <w:tc>
          <w:tcPr>
            <w:tcW w:w="10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Loss on available-for-sale securities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Other, net</w:t>
            </w:r>
          </w:p>
        </w:tc>
        <w:tc>
          <w:tcPr>
            <w:tcW w:w="10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State research and development credit exchange receivable</w:t>
            </w:r>
          </w:p>
        </w:tc>
        <w:tc>
          <w:tcPr>
            <w:tcW w:w="100" w:type="dxa"/>
            <w:vAlign w:val="bottom"/>
          </w:tcPr>
          <w:p>
            <w:pPr>
              <w:spacing w:after="0"/>
              <w:rPr>
                <w:sz w:val="18"/>
                <w:szCs w:val="18"/>
                <w:color w:val="auto"/>
              </w:rPr>
            </w:pPr>
          </w:p>
        </w:tc>
        <w:tc>
          <w:tcPr>
            <w:tcW w:w="1240" w:type="dxa"/>
            <w:vAlign w:val="bottom"/>
            <w:gridSpan w:val="2"/>
          </w:tcPr>
          <w:p>
            <w:pPr>
              <w:jc w:val="right"/>
              <w:ind w:right="528"/>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Times New Roman" w:cs="Times New Roman" w:eastAsia="Times New Roman" w:hAnsi="Times New Roman"/>
                <w:sz w:val="18"/>
                <w:szCs w:val="18"/>
                <w:color w:val="auto"/>
              </w:rPr>
              <w:t>370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8"/>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3,850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(4,786)</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(30,704)</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(38,498)</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(1,383,268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10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(796,779)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maturities of marketable securities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Times New Roman" w:cs="Times New Roman" w:eastAsia="Times New Roman" w:hAnsi="Times New Roman"/>
                <w:sz w:val="18"/>
                <w:szCs w:val="18"/>
                <w:color w:val="auto"/>
              </w:rPr>
              <w:t>3,828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796,393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0" w:type="dxa"/>
            <w:vAlign w:val="bottom"/>
          </w:tcPr>
          <w:p>
            <w:pPr>
              <w:spacing w:after="0"/>
              <w:rPr>
                <w:sz w:val="18"/>
                <w:szCs w:val="18"/>
                <w:color w:val="auto"/>
              </w:rPr>
            </w:pPr>
          </w:p>
        </w:tc>
        <w:tc>
          <w:tcPr>
            <w:tcW w:w="1240" w:type="dxa"/>
            <w:vAlign w:val="bottom"/>
            <w:gridSpan w:val="2"/>
          </w:tcPr>
          <w:p>
            <w:pPr>
              <w:jc w:val="right"/>
              <w:ind w:right="528"/>
              <w:spacing w:after="0"/>
              <w:rPr>
                <w:sz w:val="20"/>
                <w:szCs w:val="20"/>
                <w:color w:val="auto"/>
              </w:rPr>
            </w:pPr>
            <w:r>
              <w:rPr>
                <w:rFonts w:ascii="Times New Roman" w:cs="Times New Roman" w:eastAsia="Times New Roman" w:hAnsi="Times New Roman"/>
                <w:sz w:val="18"/>
                <w:szCs w:val="18"/>
                <w:color w:val="auto"/>
              </w:rPr>
              <w:t>(1,993)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(322,346)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and warrants, net</w:t>
            </w:r>
          </w:p>
        </w:tc>
        <w:tc>
          <w:tcPr>
            <w:tcW w:w="10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9,746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1,228,826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of Series C convertible preferred stock subscriptions receivable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B convertible preferred stock for cash</w:t>
            </w:r>
          </w:p>
        </w:tc>
        <w:tc>
          <w:tcPr>
            <w:tcW w:w="10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received for common stock to be issued</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Put shares sold to majority stockholder</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Borrowings under lines of credit</w:t>
            </w:r>
          </w:p>
        </w:tc>
        <w:tc>
          <w:tcPr>
            <w:tcW w:w="10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notes receivables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Borrowings on notes payable to related party</w:t>
            </w:r>
          </w:p>
        </w:tc>
        <w:tc>
          <w:tcPr>
            <w:tcW w:w="10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payments on notes payable to principal stockholder</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Borrowings on notes payable</w:t>
            </w:r>
          </w:p>
        </w:tc>
        <w:tc>
          <w:tcPr>
            <w:tcW w:w="10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payments on notes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senior convertible notes</w:t>
            </w:r>
          </w:p>
        </w:tc>
        <w:tc>
          <w:tcPr>
            <w:tcW w:w="10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employment taxes related to vested restricted stock units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8"/>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9,720</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39,220</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1,752,526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528"/>
              <w:spacing w:after="0"/>
              <w:rPr>
                <w:sz w:val="20"/>
                <w:szCs w:val="20"/>
                <w:color w:val="auto"/>
              </w:rPr>
            </w:pPr>
            <w:r>
              <w:rPr>
                <w:rFonts w:ascii="Times New Roman" w:cs="Times New Roman" w:eastAsia="Times New Roman" w:hAnsi="Times New Roman"/>
                <w:sz w:val="18"/>
                <w:szCs w:val="18"/>
                <w:color w:val="auto"/>
              </w:rPr>
              <w:t>(19,149)</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66,061</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30,019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46,912</w:t>
            </w:r>
          </w:p>
        </w:tc>
        <w:tc>
          <w:tcPr>
            <w:tcW w:w="6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29,052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46,912</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FLOWS DISCLOSURES: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paid in cash</w:t>
            </w:r>
          </w:p>
        </w:tc>
        <w:tc>
          <w:tcPr>
            <w:tcW w:w="10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5,504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1,873</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Accretion on redeemable convertible preferred stock</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common stock upon conversion of notes payable</w:t>
            </w:r>
          </w:p>
        </w:tc>
        <w:tc>
          <w:tcPr>
            <w:tcW w:w="10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Increase in additional paid-in capital resulting from merger</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common stock for notes receivable</w:t>
            </w:r>
          </w:p>
        </w:tc>
        <w:tc>
          <w:tcPr>
            <w:tcW w:w="10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Issuance of put option by stockholder</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Put option redemption by stockholder</w:t>
            </w:r>
          </w:p>
        </w:tc>
        <w:tc>
          <w:tcPr>
            <w:tcW w:w="10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Issuance of Series C convertible preferred stock subscriptions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Series A redeemable convertible preferred stock</w:t>
            </w:r>
          </w:p>
        </w:tc>
        <w:tc>
          <w:tcPr>
            <w:tcW w:w="10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Conversion of Series A redeemable convertible preferred stock</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construction in progress and property and equipment</w:t>
            </w:r>
          </w:p>
        </w:tc>
        <w:tc>
          <w:tcPr>
            <w:tcW w:w="10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4,371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Cancellation of principal on note payable to related party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Times New Roman" w:cs="Times New Roman" w:eastAsia="Times New Roman" w:hAnsi="Times New Roman"/>
                <w:sz w:val="18"/>
                <w:szCs w:val="18"/>
                <w:color w:val="auto"/>
              </w:rPr>
              <w:t>11,116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27,797</w:t>
            </w:r>
          </w:p>
        </w:tc>
        <w:tc>
          <w:tcPr>
            <w:tcW w:w="0" w:type="dxa"/>
            <w:vAlign w:val="bottom"/>
          </w:tcPr>
          <w:p>
            <w:pPr>
              <w:spacing w:after="0"/>
              <w:rPr>
                <w:sz w:val="1"/>
                <w:szCs w:val="1"/>
                <w:color w:val="auto"/>
              </w:rPr>
            </w:pPr>
          </w:p>
        </w:tc>
      </w:tr>
    </w:tbl>
    <w:p>
      <w:pPr>
        <w:sectPr>
          <w:pgSz w:w="11900" w:h="16838" w:orient="portrait"/>
          <w:cols w:equalWidth="0" w:num="1">
            <w:col w:w="11420"/>
          </w:cols>
          <w:pgMar w:left="240" w:top="415" w:right="239" w:bottom="0" w:gutter="0" w:footer="0" w:header="0"/>
        </w:sectPr>
      </w:pPr>
    </w:p>
    <w:bookmarkStart w:id="6" w:name="page7"/>
    <w:bookmarkEnd w:id="6"/>
    <w:p>
      <w:pPr>
        <w:spacing w:after="0" w:line="282" w:lineRule="auto"/>
        <w:rPr>
          <w:sz w:val="20"/>
          <w:szCs w:val="20"/>
          <w:color w:val="auto"/>
        </w:rPr>
      </w:pPr>
      <w:r>
        <w:rPr>
          <w:rFonts w:ascii="Times New Roman" w:cs="Times New Roman" w:eastAsia="Times New Roman" w:hAnsi="Times New Roman"/>
          <w:sz w:val="18"/>
          <w:szCs w:val="18"/>
          <w:color w:val="auto"/>
        </w:rPr>
        <w:t>In connection with the Company’s initial public offering, all shares of Series B and Series C convertible preferred stock, in the amount of $15.0 million and $50.0 million, respectively, automatically converted into common stock in August 2004.</w:t>
      </w:r>
    </w:p>
    <w:p>
      <w:pPr>
        <w:spacing w:after="0" w:line="27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8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21" w:right="4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basis of presentation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MannKind Corporation and its subsidiaries (the “Company”),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These statements should be read in conjunction with the financial statements and notes thereto included in the Company’s latest audited annual financial statements. The audited statements for the year ended December 31, 2010 are included in the Company’s annual report on Form 10-K for the fiscal year ended December 31, 2010 filed with the SEC on March 16, 2011 (the “Annual Report”).</w:t>
      </w:r>
    </w:p>
    <w:p>
      <w:pPr>
        <w:spacing w:after="0" w:line="8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the opinion of management, all adjustments, consisting only of normal, recurring adjustments, considered necessary for a fair presentation of the results of these interim periods have been included. The results of operations for the three months ended March 31, 2011 may not be indicative of the results that may be expected for the full year.</w:t>
      </w:r>
    </w:p>
    <w:p>
      <w:pPr>
        <w:spacing w:after="0" w:line="6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or assumptions. The more significant estimates reflected in these accompanying financial statements involve assessing long-lived assets for impairment, accrued expenses, the valuation of stock-based compensation and the determination of the provision for income taxes and corresponding deferred tax assets and liabilities and any valuation allowance recorded against net deferred tax assets.</w:t>
      </w:r>
    </w:p>
    <w:p>
      <w:pPr>
        <w:spacing w:after="0" w:line="72"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Business — </w:t>
      </w:r>
      <w:r>
        <w:rPr>
          <w:rFonts w:ascii="Times New Roman" w:cs="Times New Roman" w:eastAsia="Times New Roman" w:hAnsi="Times New Roman"/>
          <w:sz w:val="18"/>
          <w:szCs w:val="18"/>
          <w:color w:val="auto"/>
        </w:rPr>
        <w:t>The Company is a biopharmaceutical company focused on the discovery and development of therapeutic products for diseases such as diabetes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cancer. The Company’s lead product candidate, AFREZZA (insulin human [rDNA origin]) Inhalation Powder, is an ultra rapid-acting insulin therapy in late-stage clinical investigation for the treatment of adults with type 1 or type 2 diabetes for the control of hyperglycemia.</w:t>
      </w:r>
    </w:p>
    <w:p>
      <w:pPr>
        <w:spacing w:after="0" w:line="67"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AFREZZA consists of the Company’s proprietary Technosphere particles onto which insulin molecules are loaded. These loaded particles are then aerosolized and inhaled deep into the lung using the Company’s AFREZZA inhaler.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Basis of Presentation — </w:t>
      </w:r>
      <w:r>
        <w:rPr>
          <w:rFonts w:ascii="Times New Roman" w:cs="Times New Roman" w:eastAsia="Times New Roman" w:hAnsi="Times New Roman"/>
          <w:sz w:val="18"/>
          <w:szCs w:val="18"/>
          <w:color w:val="auto"/>
        </w:rPr>
        <w:t>The Company is considered to be in the development stage as its primary activities since incorporation have been establishing 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facilities, recruiting personnel, conducting research and development, business development, business and financial planning, and raising capital. Since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inception through March 31, 2011 the Company has reported accumulated net losses of $1.8 billion, which include a goodwill impairment charge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$151.4 million, and cumulative negative cash flow from operations of $1.4 billion. It is costly to develop therapeutic products and conduct clinical trials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products. At March 31, 2011 the Company’s capital resources consisted of cash, cash equivalents, and marketable securities of $47.5 million and $98.0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of available borrowings under the loan agreement with an entity controlled by the Company’s principal stockholder (see Note 12 — Related-party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arrangements). Based upon the Company’s current expectations, management believes the Company’s existing capital resources will enable it to continue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planned operations through the first quarter of 2012. However, the Company cannot provide assurances that its plans will not change or that changed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circumstances will not result in the depletion of its capital resources more rapidly than it currently anticipates. If the Company is not successful in raising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capital through equity or debt financing, entering a business collaboration, establishing other funding facilities, licensing arrangements, assets sales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other means, or increasing the borrowings available under the loan arrangement with its related party, the Company will be required to reduce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the delay, reduction or curtailment of its projects, including AFREZZA development activities, or further reduction of costs for facilities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administration, and there will be substantial doubt about its ability to continue as a going concern.</w:t>
      </w:r>
    </w:p>
    <w:p>
      <w:pPr>
        <w:spacing w:after="0" w:line="9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Fair Value of Financial Instruments — </w:t>
      </w:r>
      <w:r>
        <w:rPr>
          <w:rFonts w:ascii="Times New Roman" w:cs="Times New Roman" w:eastAsia="Times New Roman" w:hAnsi="Times New Roman"/>
          <w:sz w:val="18"/>
          <w:szCs w:val="18"/>
          <w:color w:val="auto"/>
        </w:rPr>
        <w:t>The carrying amounts of financial instruments, which include cash equivalents, marketable securities and accounts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payable, approximate their fair values due to their relatively short maturities. The fair value of the note payable to related party cannot be reasonably estimated as the Company would not be able to obtain a similar credit arrangement in the current economic environment.</w:t>
      </w:r>
    </w:p>
    <w:p>
      <w:pPr>
        <w:spacing w:after="0" w:line="6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Cash equivalents consist of highly liquid investments, with original or remaining maturities of 90 days or less at the time of purchase, that are readily convertible into cash. As of March 31, 2011 and December 31, 2010, the Company held $35.0 million and $52.8 million, respectively of cash equivalents, consisting of money market funds, U.S. Treasury notes and commercial paper. The fair</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of these investments was determined by using quoted prices for identical investments in an active market (Level 1 in the fair value hierarchy).</w:t>
      </w:r>
    </w:p>
    <w:p>
      <w:pPr>
        <w:spacing w:after="0" w:line="1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Company’s marketable securities consist principally of a certificate of deposit with a maturity greater than 90 days, held as collateral for the Company’s commercial card programs and a common stock investment that are classified as available-for-sale securities. The certificate of deposit is stated at fair value based on quoted prices for similar instruments in an active market (Level 2 in the fair value hierarchy) and the common stock investment is stated at fair value based on quoted prices in an active market (Level 1 in the fair value hierarchy). As of March 31, 2011 and December 31, 2010, there were marketable securities of $0.5 million and $4.4 million, respectively.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carrying values and estimated fair values of the Company’s senior convertible notes due in 2013 and 2015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March 31, 2011</w:t>
            </w:r>
          </w:p>
        </w:tc>
        <w:tc>
          <w:tcPr>
            <w:tcW w:w="460" w:type="dxa"/>
            <w:vAlign w:val="bottom"/>
            <w:tcBorders>
              <w:bottom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2010</w:t>
            </w:r>
          </w:p>
        </w:tc>
        <w:tc>
          <w:tcPr>
            <w:tcW w:w="4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4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040" w:type="dxa"/>
            <w:vAlign w:val="bottom"/>
            <w:gridSpan w:val="3"/>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360" w:type="dxa"/>
            <w:vAlign w:val="bottom"/>
          </w:tcPr>
          <w:p>
            <w:pPr>
              <w:spacing w:after="0"/>
              <w:rPr>
                <w:sz w:val="10"/>
                <w:szCs w:val="10"/>
                <w:color w:val="auto"/>
              </w:rPr>
            </w:pPr>
          </w:p>
        </w:tc>
        <w:tc>
          <w:tcPr>
            <w:tcW w:w="68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660" w:type="dxa"/>
            <w:vAlign w:val="bottom"/>
          </w:tcPr>
          <w:p>
            <w:pPr>
              <w:spacing w:after="0"/>
              <w:rPr>
                <w:sz w:val="10"/>
                <w:szCs w:val="10"/>
                <w:color w:val="auto"/>
              </w:rPr>
            </w:pPr>
          </w:p>
        </w:tc>
        <w:tc>
          <w:tcPr>
            <w:tcW w:w="1020" w:type="dxa"/>
            <w:vAlign w:val="bottom"/>
            <w:gridSpan w:val="3"/>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340" w:type="dxa"/>
            <w:vAlign w:val="bottom"/>
          </w:tcPr>
          <w:p>
            <w:pPr>
              <w:spacing w:after="0"/>
              <w:rPr>
                <w:sz w:val="10"/>
                <w:szCs w:val="10"/>
                <w:color w:val="auto"/>
              </w:rPr>
            </w:pPr>
          </w:p>
        </w:tc>
        <w:tc>
          <w:tcPr>
            <w:tcW w:w="68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Notes due 2013</w:t>
            </w:r>
          </w:p>
        </w:tc>
        <w:tc>
          <w:tcPr>
            <w:tcW w:w="2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60" w:type="dxa"/>
            <w:vAlign w:val="bottom"/>
          </w:tcPr>
          <w:p>
            <w:pPr>
              <w:spacing w:after="0"/>
              <w:rPr>
                <w:sz w:val="15"/>
                <w:szCs w:val="15"/>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5"/>
                <w:szCs w:val="15"/>
                <w:color w:val="auto"/>
              </w:rPr>
            </w:pPr>
          </w:p>
        </w:tc>
        <w:tc>
          <w:tcPr>
            <w:tcW w:w="8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40" w:type="dxa"/>
            <w:vAlign w:val="bottom"/>
          </w:tcPr>
          <w:p>
            <w:pPr>
              <w:spacing w:after="0"/>
              <w:rPr>
                <w:sz w:val="15"/>
                <w:szCs w:val="15"/>
                <w:color w:val="auto"/>
              </w:rPr>
            </w:pP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3840" w:type="dxa"/>
            <w:vAlign w:val="bottom"/>
            <w:vMerge w:val="continue"/>
          </w:tcPr>
          <w:p>
            <w:pPr>
              <w:spacing w:after="0"/>
              <w:rPr>
                <w:sz w:val="16"/>
                <w:szCs w:val="16"/>
                <w:color w:val="auto"/>
              </w:rPr>
            </w:pPr>
          </w:p>
        </w:tc>
        <w:tc>
          <w:tcPr>
            <w:tcW w:w="2700" w:type="dxa"/>
            <w:vAlign w:val="bottom"/>
          </w:tcPr>
          <w:p>
            <w:pPr>
              <w:spacing w:after="0"/>
              <w:rPr>
                <w:sz w:val="16"/>
                <w:szCs w:val="16"/>
                <w:color w:val="auto"/>
              </w:rPr>
            </w:pPr>
          </w:p>
        </w:tc>
        <w:tc>
          <w:tcPr>
            <w:tcW w:w="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113.4</w:t>
            </w: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55.8</w:t>
            </w:r>
          </w:p>
        </w:tc>
        <w:tc>
          <w:tcPr>
            <w:tcW w:w="660" w:type="dxa"/>
            <w:vAlign w:val="bottom"/>
          </w:tcPr>
          <w:p>
            <w:pPr>
              <w:spacing w:after="0"/>
              <w:rPr>
                <w:sz w:val="16"/>
                <w:szCs w:val="16"/>
                <w:color w:val="auto"/>
              </w:rPr>
            </w:pPr>
          </w:p>
        </w:tc>
        <w:tc>
          <w:tcPr>
            <w:tcW w:w="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113.3</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69.1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Notes due 2015</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96.2</w:t>
            </w:r>
          </w:p>
        </w:tc>
        <w:tc>
          <w:tcPr>
            <w:tcW w:w="58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75.4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96.0</w:t>
            </w:r>
          </w:p>
        </w:tc>
        <w:tc>
          <w:tcPr>
            <w:tcW w:w="60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134.1</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senior convertible notes due 2013 estimated fair value was calculated based on quoted prices in an active market (Level 1 in the fair value hierarchy). The senior convertible notes due 2015 estimated fair value was calculated based on model-derived valuations whose inputs are observable (Level 2 in the fair value hierarchy).</w:t>
      </w:r>
    </w:p>
    <w:p>
      <w:pPr>
        <w:spacing w:after="0" w:line="6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Derivative financial instruments are reported in “Other assets” or “Accrued expenses and other current liabilities” in the condensed consolidated balance sheets and measured at fair value. The fair value of foreign exchange hedging contracts equals the carrying value at each balance sheet date. The fair value of these contracts are determined using methodologies based on market observable inputs (Level 2 in the fair value hierarchy), including foreign currency spot rates. The Company has used derivative financial instruments to manage its exposure to foreign currency exchange risks related to quarterly purchases on insulin. The Company does not use derivative financial instruments for trading or speculative purposes, nor does it use leveraged financial instruments. Credit risk related to derivative financial instruments is considered minimal and is managed by requiring high credit standards for counterparties and through periodic settlements of positions.</w:t>
      </w:r>
    </w:p>
    <w:p>
      <w:pPr>
        <w:spacing w:after="0" w:line="8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derivative financial instruments are not designated as hedging instruments, and gains or losses resulting from changes in the fair value are reported in “Other income (expense)”, in the condensed consolidated statements of operations. The Company entered into foreign exchange hedging contracts with notional amounts totaling zero and $25.5 million at March 31, 2011 and December 31, 2010, respectively. The Company recorded an unrealized loss of $567,000 on the outstanding contracts at December 31, 2010. The Company recorded a realized gain of $1.3 million and a realized loss of $288,000 related to these foreign exchange hedging contracts for the quarters ended March 31, 2011 and 2010, respectively. The Company terminated these contracts during the quarter ended March 31, 2011.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Investment in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available-for-sale securities classified as current assets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w w:val="99"/>
              </w:rPr>
              <w:t>2011</w:t>
            </w:r>
          </w:p>
        </w:tc>
        <w:tc>
          <w:tcPr>
            <w:tcW w:w="6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9"/>
              </w:rPr>
              <w:t>2010</w:t>
            </w:r>
          </w:p>
        </w:tc>
        <w:tc>
          <w:tcPr>
            <w:tcW w:w="6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8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center"/>
              <w:ind w:right="8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7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360" w:type="dxa"/>
            <w:vAlign w:val="bottom"/>
          </w:tcPr>
          <w:p>
            <w:pPr>
              <w:spacing w:after="0"/>
              <w:rPr>
                <w:sz w:val="12"/>
                <w:szCs w:val="12"/>
                <w:color w:val="auto"/>
              </w:rPr>
            </w:pPr>
          </w:p>
        </w:tc>
        <w:tc>
          <w:tcPr>
            <w:tcW w:w="138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06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Gain</w:t>
            </w:r>
          </w:p>
        </w:tc>
        <w:tc>
          <w:tcPr>
            <w:tcW w:w="102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Gain</w:t>
            </w: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8"/>
        </w:trPr>
        <w:tc>
          <w:tcPr>
            <w:tcW w:w="3780" w:type="dxa"/>
            <w:vAlign w:val="bottom"/>
            <w:vMerge w:val="continue"/>
          </w:tcPr>
          <w:p>
            <w:pPr>
              <w:spacing w:after="0"/>
              <w:rPr>
                <w:sz w:val="19"/>
                <w:szCs w:val="19"/>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8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4,295</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680" w:type="dxa"/>
            <w:vAlign w:val="bottom"/>
          </w:tcPr>
          <w:p>
            <w:pPr>
              <w:spacing w:after="0"/>
              <w:rPr>
                <w:sz w:val="19"/>
                <w:szCs w:val="19"/>
                <w:color w:val="auto"/>
              </w:rPr>
            </w:pPr>
          </w:p>
        </w:tc>
        <w:tc>
          <w:tcPr>
            <w:tcW w:w="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4,370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Company’s available-for-sale securities at March 31, 2011 consist of a $0.4 million certificate of deposit with a maturity greater than 90 days, held as collateral for the Company’s commercial card programs, and a common stock investment. The Company’s available-for-sale securities at December 31, 2010 consist principally of $4.2 million of certificates of deposit with a maturity greater than 90 days, held as collateral primarily for foreign exchange hedging instruments, and a common stock investment. Gross realized gains and losses for available-for-sale securities were insignificant and recorded as “Other income (expense)” in the condensed consolidated statements of operations. Gross unrealized gains and losses are included in “Other comprehensive gain (loss)” (see Note 5 — Comprehensive loss).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are comprised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9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2011</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5"/>
                <w:szCs w:val="15"/>
                <w:color w:val="auto"/>
              </w:rPr>
            </w:pPr>
          </w:p>
        </w:tc>
      </w:tr>
      <w:tr>
        <w:trPr>
          <w:trHeight w:val="210"/>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Salary and related expenses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11,040</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5,624</w:t>
            </w: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clinical trial costs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780</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668</w:t>
            </w: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4,481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4,993</w:t>
            </w: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2,661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3,406</w:t>
            </w:r>
          </w:p>
        </w:tc>
      </w:tr>
      <w:tr>
        <w:trPr>
          <w:trHeight w:val="223"/>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19,035</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14,840</w:t>
            </w:r>
          </w:p>
        </w:tc>
        <w:tc>
          <w:tcPr>
            <w:tcW w:w="10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Accounting for stock-based compensation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Total stock-based compensation expense was $2.7 million and $3.7 million for the three months ended March 31, 2011 and 2010, respectively. The Company issued stock awards to employees during the quarter ended March 31, 2011 with two year vesting. The grant date fair value of the 1,467,500 stock options and 1,181,100 restricted stock units issued during the quarter ended March 31, 2011 were $3.7 million and $4.5 million, respectively, with a grant date fair value per share of $3.80.</w:t>
      </w:r>
    </w:p>
    <w:p>
      <w:pPr>
        <w:spacing w:after="0" w:line="7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March 31, 2011, there was $16.2 million and $21.4 million of unrecognized compensation cost related to options and restricted stock units, respectively, which are expected to be recognized over the remaining weighted average vesting period of 2.5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Comprehensive loss</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Accounting Standards Codification (“ASC”) 220-10-45 </w:t>
      </w:r>
      <w:r>
        <w:rPr>
          <w:rFonts w:ascii="Times New Roman" w:cs="Times New Roman" w:eastAsia="Times New Roman" w:hAnsi="Times New Roman"/>
          <w:sz w:val="18"/>
          <w:szCs w:val="18"/>
          <w:i w:val="1"/>
          <w:iCs w:val="1"/>
          <w:color w:val="auto"/>
        </w:rPr>
        <w:t>Comprehensive Income Other Presentation</w:t>
      </w:r>
      <w:r>
        <w:rPr>
          <w:rFonts w:ascii="Times New Roman" w:cs="Times New Roman" w:eastAsia="Times New Roman" w:hAnsi="Times New Roman"/>
          <w:sz w:val="18"/>
          <w:szCs w:val="18"/>
          <w:color w:val="auto"/>
        </w:rPr>
        <w:t xml:space="preserve"> requires reporting and displaying comprehensive income (loss) and its components, which, for the Company, includes net loss and unrealized gains and losses on investments and cumulative translation gains and losses. In accordance with this guidance, the accumulated balance of other comprehensive income (loss) is disclosed as a separate component of stockholders’ equity. For the three months ended March 31, 2011 and 2010, comprehensive loss consisted of (in thousands):</w:t>
      </w:r>
    </w:p>
    <w:p>
      <w:pPr>
        <w:spacing w:after="0" w:line="176" w:lineRule="exact"/>
        <w:rPr>
          <w:sz w:val="20"/>
          <w:szCs w:val="20"/>
          <w:color w:val="auto"/>
        </w:rPr>
      </w:pPr>
    </w:p>
    <w:p>
      <w:pPr>
        <w:jc w:val="center"/>
        <w:ind w:left="9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91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3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(41,525)</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(44,700)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gain (loss):</w:t>
            </w:r>
          </w:p>
        </w:tc>
        <w:tc>
          <w:tcPr>
            <w:tcW w:w="3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Unrealized gain on investments</w:t>
            </w:r>
          </w:p>
        </w:tc>
        <w:tc>
          <w:tcPr>
            <w:tcW w:w="43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Cumulative translation gain (loss)</w:t>
            </w:r>
          </w:p>
        </w:tc>
        <w:tc>
          <w:tcPr>
            <w:tcW w:w="332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3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(41,513)</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(44,690)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Net loss per common share</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Basic net loss per share excludes dilution for potentially dilutive securities and is computed by dividing loss applicable to common stockholders by the weighted average number of common shares outstanding during the period excluding the shares loaned under the share lending arrangement (see Note 10 — Common and preferred stock). As of March 31, 2011, 9,000,000 shares of the Company’s common stock, which were loaned to a share borrower pursuant to the terms of a share lending agreement as described in Note 10, were issued and are outstanding, and holders of the borrowed shares have all the rights of a holder of the Company’s common stock. However, because the share borrower must return all borrowed shares to the Company (or, in certain circumstances, the cash value thereof), the borrowed shares are not considered outstanding for the purpose of computing and reporting basic or diluted earnings (loss) per share. Diluted net loss per share reflects the potential dilution that could occur if securities or other contracts to issue common stock were exercised or converted into common stock. Potentially dilutive securities are excluded from the computation of diluted net loss per share for all of the periods presented in the accompanying statements of operations because the reported net loss in each of these periods results in their inclusion being antidilutive. Antidilutive securities, which consist of stock options, restricted stock units, warrants, and shares that could be issued upon conversion of the senior convertible notes, that are not included in the diluted net loss per share calculation consisted of an aggregate of 33,334,623 shares and 17,209,289 shares as of March 31, 2011 and 2010, respectively, and exclude the 9,000,000 shares loaned under the share lending arrangement.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Restructuring charges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February 10, 2011, the Company announced that following receipt of the Complete Response letter from the United States Food and Drug Administration (“FDA”) regarding the new drug application (“NDA”) for AFREZZA, it implemented a restructuring to streamline operations, reduce operating expenses, extend the cash runway and focus its resources on securing the FDA’s approval of the NDA for AFREZZA. In connection with the restructuring, the Company reduced its total workforce by approximately 41% to 257 employees. The Company recorded charges of approximately $6.7 million for employee severance and other related termination benefits and recognized a liability of $6.7 million in February, which approximates fair value. The Company expects to complete the previously announced workforce reduction in the second quarter of 2011, at which point the Company expects to substantially pay the remainder of the obligation.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Workforce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Reduction</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Balance, February 11, 2011</w:t>
            </w:r>
          </w:p>
        </w:tc>
        <w:tc>
          <w:tcPr>
            <w:tcW w:w="3960" w:type="dxa"/>
            <w:vAlign w:val="bottom"/>
            <w:gridSpan w:val="2"/>
            <w:shd w:val="clear" w:color="auto" w:fill="CCEEFF"/>
          </w:tcPr>
          <w:p>
            <w:pPr>
              <w:ind w:left="38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Balance, March 31, 2011</w:t>
            </w:r>
          </w:p>
        </w:tc>
        <w:tc>
          <w:tcPr>
            <w:tcW w:w="3960" w:type="dxa"/>
            <w:vAlign w:val="bottom"/>
            <w:gridSpan w:val="2"/>
            <w:shd w:val="clear" w:color="auto" w:fill="CCEEFF"/>
          </w:tcPr>
          <w:p>
            <w:pPr>
              <w:ind w:left="38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$6.7 million of costs associated with the restructuring are included in “Research and development” and “General and administrative” operating expenses in the condensed consolidated statements of operations as $5.0 million and $1.7 million, respectively, for the three months ended March 31, 2011.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State research and development credit exchange receivable</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State of Connecticut provides certain companies with the opportunity to exchange certain research and development income tax credit carryforwards for cash in exchange for forgoing the carryforward of the research and development income tax credits. The program provides for an exchange of research and development income tax credits for cash equal to 65% of the value of corporation tax credit available for exchange. Estimated amounts receivable under the program are recorded as a reduction of research and development expenses. At March 31, 2011 and December 31, 2010, the estimated amounts receivable under the program were $1.4 million and $1.3 million,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Property and equipment —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 net consist of the following (dollar amounts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720" w:type="dxa"/>
            <w:vAlign w:val="bottom"/>
          </w:tcPr>
          <w:p>
            <w:pPr>
              <w:spacing w:after="0"/>
              <w:rPr>
                <w:sz w:val="13"/>
                <w:szCs w:val="13"/>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Useful</w:t>
            </w:r>
          </w:p>
        </w:tc>
        <w:tc>
          <w:tcPr>
            <w:tcW w:w="340" w:type="dxa"/>
            <w:vAlign w:val="bottom"/>
          </w:tcPr>
          <w:p>
            <w:pPr>
              <w:spacing w:after="0"/>
              <w:rPr>
                <w:sz w:val="12"/>
                <w:szCs w:val="12"/>
                <w:color w:val="auto"/>
              </w:rPr>
            </w:pPr>
          </w:p>
        </w:tc>
        <w:tc>
          <w:tcPr>
            <w:tcW w:w="1380" w:type="dxa"/>
            <w:vAlign w:val="bottom"/>
            <w:gridSpan w:val="3"/>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34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2011</w:t>
            </w:r>
          </w:p>
        </w:tc>
        <w:tc>
          <w:tcPr>
            <w:tcW w:w="6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5,273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39-40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54,948</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improvements</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5-40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w w:val="99"/>
              </w:rPr>
              <w:t>113,489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3-15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73,878</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5-10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5,369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16,332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19,026</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w w:val="99"/>
              </w:rPr>
              <w:t>288,368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(85,189)</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(81,390)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w w:val="99"/>
              </w:rPr>
              <w:t>203,179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202,356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Leasehold improvements are amortized over the shorter of the term of the lease or the service lives of the improvements. Depreciation and amortization expense related to property and equipment for the three months ended March 31, 2011 and 2010, and the cumulative period from February 14, 1991 (date of inception) to March 31, 2011 was $3.8 million, $4.2 million and $98.0 million, respectively. Capitalized interest recorded during the three months ended March 31, 2011 and 2010 was $0.4 million and zero,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Common and preferred stock</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200,000,000 shares of common stock, par value $0.01 per share, and 10,000,000 shares of undesignated preferred stock, par value $0.01 per share, issuable in one or more series designated by the Company’s board of</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directors. No other class of capital stock is authorized. As of March 31, 2011 and December 31, 2010, 130,674,783 and 127,793,178 shares of common stock, respectively, were issued and outstanding. Included in the common stock outstanding as of March 31, 2011 are 9,000,000 shares of common stock loaned to Bank of America under a share lending agreement in connection with the offering of the $100 million aggregate principal amount of 5.75% Senior Convertible Notes due 2015 (see Note 13 — Senior convertible notes). Bank of America is obligated to return the borrowed shares (or, in certain circumstances, the cash value thereof) to the Company on or about the 45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business day following the date as of which the entire principal amount of the notes ceases to be outstanding, subject to extension or acceleration in certain circumstances or early termination at Bank of America’s option. The Company did not receive any proceeds from the sale of the borrowed shares by Bank of America, but the Company did receive a nominal lending fee of $0.01 per share from Bank of America for the use of borrowed shares.</w:t>
      </w:r>
    </w:p>
    <w:p>
      <w:pPr>
        <w:spacing w:after="0" w:line="7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August 2010, the Company entered into an agreement with Seaside 88, LP (“Seaside”) for the sale of up to 18,200,000 shares of common stock in increments of 700,000 shares on a bi-weekly basis with the first closing date scheduled for September 22, 2010 provided that certain conditions are met, including for a particular closing to take place, the ten-day volume weighted average trading price for the Company’s common stock immediately prior to such closing must be at least $6.50 per share. If the ten-day volume weighted average trading price for a particular closing is below $6.50 per share, then that closing will not occur and the aggregate number of shares to be purchased will be reduced by 700,000 shares. The purchase price per share at each closing will be equal to 92% of that 10-day volume weighted average price. The agreement with Seaside will terminate on the day following the final closing under the agreement, or the Company may terminate the Seaside agreement at any time upon written notice. During the quarter ended March 31, 2011, the Company issued and sold a total of 1,400,000 shares of common stock to Seaside for net proceeds of $9.7 million. As of March 31, 2011, the Company had issued and sold a total of 3,500,000 shares of common stock to Seaside for net proceeds of $23.8 million in accordance with the agreement, and a total of 6,300,000 shares remained subject to future sale if the Company is able to satisfy the conditions precedent for sales of shares under the agreement, including the minimum price requirement.</w:t>
      </w:r>
    </w:p>
    <w:p>
      <w:pPr>
        <w:spacing w:after="0" w:line="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conjunction with the Seaside agreement, in August 2010, the Company entered into a common stock purchase agreement with The Mann Group LLC (“The Mann Group”), an entity controlled by the Company’s principal stockholder. Under this common stock purchase agreement, the Company is required to issue and sell, and The Mann Group is obligated to purchase at a price equal to the greater of $7.15 per share (the closing bid price of the Company’s common stock on August 10, 2010) and the closing bid price of common stock on the trading day immediately preceding the applicable closing date, the same number of shares of the Company’s common stock that Seaside purchases on each closing date under its agreement with the Company (see Note 12 — Related-party arrangements). During the quarter ended March 31, 2011, the Company issued and sold a total of 1,400,000 shares of common stock to The Mann Group that resulted in total debt reduction of $11.1 million. As of March 31, 2011, the Company had issued and sold a total of 3,500,000 shares of common stock to The Mann Group that had resulted in total debt reduction of $27.8 million, and a total of 6,300,000 shares remained subject to future sale.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1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Supply Commitments — </w:t>
      </w:r>
      <w:r>
        <w:rPr>
          <w:rFonts w:ascii="Times New Roman" w:cs="Times New Roman" w:eastAsia="Times New Roman" w:hAnsi="Times New Roman"/>
          <w:sz w:val="18"/>
          <w:szCs w:val="18"/>
          <w:color w:val="auto"/>
        </w:rPr>
        <w:t>In November 2007, the Company entered into a long-term supply agreement with N.V. Organon (“Organon”), now a subsidiary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Merck &amp; Co., Inc., pursuant to which Organon manufactured and supplied specified quantities of recombinant human insulin to the Company. On February 8, 2011, in accordance with the termination provisions of the supply agreement, the Company gave 30 days’ written notice to Organon to terminate the agreement, effective March 10, 2011. As a consequence of termination, Organon is not entitled to make (and the Company is not obliged to accept) any deliveries of insulin for which a delivery date under a purchase order had not passed as of February 8, 2011, which includes all purchase orders previously placed for 2011 shipments. However, pursuant to the terms of the supply agreement, the Company may be required to pay Organon a termination fee if Organon is unable to sell certain quantities of insulin to third parties under commercially viable terms within 12 months after termination. While the Company cannot determine at this time the amount of the termination fee, if any, that the Company may have to pay to Organon, the Company estimates that the maximum amount of the termination fee, as calculated under the termination provisions of the agreement, is approximately $40.1 million based on the applicable exchange rate and purchase price at the time the termination notice was sent. On the other hand, the supply agreement also expressly limits the liability of one party to another to an amount equal to the total value of invoices paid by the Company under the supply agreement during the 12 months preceding a claim. During the preceding 12 months, the Company had paid invoices to Organon totaling approximately $16.3 million. The Company has held a series of discussions with Organon in order to attempt to resolve the basis for determining the amount, if any, potentially owed by the Company to Organon in connection with the termination of the supply agreement but has been unable to reach an agreement. On April 14, 2011, in accordance with the dispute resolution provisions of the supply agreement, the Company requested that the International Institute for Conflict Prevention &amp; Resolution appoint an independent mediator to endeavor to settle this dispute by mediation. Given that the amount of a probable loss cannot be reasonably estimated as it is unknown if Organon will be able to sell any quantities of insulin to third parties within the 12 months after termination, the Company has not recorded a liability related to this contingency as of March 31, 2011.</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Guarantees and Indemnifications — </w:t>
      </w:r>
      <w:r>
        <w:rPr>
          <w:rFonts w:ascii="Times New Roman" w:cs="Times New Roman" w:eastAsia="Times New Roman" w:hAnsi="Times New Roman"/>
          <w:sz w:val="18"/>
          <w:szCs w:val="18"/>
          <w:color w:val="auto"/>
        </w:rPr>
        <w:t>In the ordinary course of its business, the Company makes certain indemnities, commitments and guarantees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condensed consolidated balance sheets. However, the Company accrues for losses for any known contingent liability, including those that may arise from indemnification provisions, when future payment is probable and the amount can be reasonably estimated. No such losses have been recorded to date.</w:t>
      </w:r>
    </w:p>
    <w:p>
      <w:pPr>
        <w:spacing w:after="0" w:line="74"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Litigation — </w:t>
      </w:r>
      <w:r>
        <w:rPr>
          <w:rFonts w:ascii="Times New Roman" w:cs="Times New Roman" w:eastAsia="Times New Roman" w:hAnsi="Times New Roman"/>
          <w:sz w:val="18"/>
          <w:szCs w:val="18"/>
          <w:color w:val="auto"/>
        </w:rPr>
        <w:t>The Company is involved in various legal proceedings and other matters. In accordance with ASC 450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previously the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Accounting Standards Board (“FASB”) Statement No. 5, </w:t>
      </w:r>
      <w:r>
        <w:rPr>
          <w:rFonts w:ascii="Times New Roman" w:cs="Times New Roman" w:eastAsia="Times New Roman" w:hAnsi="Times New Roman"/>
          <w:sz w:val="18"/>
          <w:szCs w:val="18"/>
          <w:i w:val="1"/>
          <w:iCs w:val="1"/>
          <w:color w:val="auto"/>
        </w:rPr>
        <w:t>Accounting for Contingencies</w:t>
      </w:r>
      <w:r>
        <w:rPr>
          <w:rFonts w:ascii="Times New Roman" w:cs="Times New Roman" w:eastAsia="Times New Roman" w:hAnsi="Times New Roman"/>
          <w:sz w:val="18"/>
          <w:szCs w:val="18"/>
          <w:color w:val="auto"/>
        </w:rPr>
        <w:t>, the Company would record a provision for a liability when it is both probable that a liability has been incurred and the amount of the loss can be reasonably estimated.</w:t>
      </w:r>
    </w:p>
    <w:p>
      <w:pPr>
        <w:spacing w:after="0" w:line="6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November 23, 2010, John Arditi, a former Senior Director — GCP — Regulatory Affairs of the Company, filed a Demand for Arbitration against the Company and three of its employees — the Chief Scientific Officer, the Vice President — World Wide Regulatory Affairs, and the Chief Financial Officer — claiming that the Company terminated his employment in retaliation for his purported reporting of alleged unlawful practices in connection with the Company’s clinical trials. Mr. Arditi has asserted claims for violation of the New Jersey Conscientious Employee Protection Act, wrongful discharge, breach of contract, breach of the implied covenant of good faith and fair dealing, defamation and intentional infliction of emotional distress. Mr. Arditi is seeking, among other relief, compensatory and punitive damages and counsel fees, costs and interest. Before Mr. Arditi filed his arbitration demand, the Company completed an internal investigation and retained an independent outside firm to conduct an independent investigation of Mr. Arditi’s claims. Neither investigation found any basis for his claims. The Company believes the allegations made by Mr. Arditi are without merit and intend to defend against them vigorously.</w:t>
      </w:r>
    </w:p>
    <w:p>
      <w:pPr>
        <w:spacing w:after="0" w:line="8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Following the receipt of the Complete Response letter from the FDA regarding the NDA for AFREZZA in January 2011 and the subsequent decline of the price of the Company’s common stock, several complaints were filed in the U.S. District Court for the Central District of California against the Company and certain of its officers and directors on behalf of certain purchasers of the Company’s common stock. The complaints include claims asserted under Sections 10(b) and 20(a) of the Exchange Act and have been brought as purported shareholder class actions. In general, the complaints allege that the Company and certain of its officers and directors violated federal securities laws by making materially false and misleading statements regarding the Company’s business and prospects for AFREZZA, thereby artificially inflating the price of its common stock. The plaintiffs are seeking unspecified monetary damages and other relief. The complaints have been transferred to a single court and consolidated for all purposes. The court has appointed a lead plaintiff and lead counsel and has ordered the lead plaintiff to file a consolidated complaint by June 27, 2011. The Company plans to vigorously defend against the claims advanced.</w:t>
      </w:r>
    </w:p>
    <w:p>
      <w:pPr>
        <w:spacing w:after="0" w:line="7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Starting in February 2011, shareholder derivative complaints were filed in the Superior Court of California for the County of Los Angeles against the Company’s directors and certain of its officers. The complaints in the shareholder derivative actions allege breaches of fiduciary duties by the defendants and other violations of law. In general, the complaints allege that the Company’s directors and certain of its officers caused or allowed for the dissemination of materially false and misleading statements regarding the Company’s business and prospects for AFREZZA, thereby artificially inflating the price of its common stock. The plaintiffs are seeking unspecified monetary damages and other relief, including reforms to the Company’s corporate governance and internal procedures. The Company plans to vigorously defend against the claims advanced.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Related-party arrangements</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 xml:space="preserve">In October 2007, the Company entered into a $350.0 million loan arrangement with its principal stockholder. In February 2009, the promissory note underlying the loan arrangement was revised as a result of the principal stockholder being licensed as a finance lender under the California Finance Lenders Law. Accordingly, the lender was revised to The Mann Group. Interest accrues on each outstanding advance at a fixed rate equal to the one-year LIBOR rate as reported by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xml:space="preserve"> on the date of such advance plus 3% per annum and is payable quarterly in arrears. The borrowing rate was 4.7% and 4.8% at March 31, 2011 and December 31, 2010, respectively. In August 2010, the Company amended and restated the promissory note to extend the maturity date from December 31, 2011 to December 31, 2012, to provide for the cancellation of indebtedness under the note as described below, to provide that The Mann Group may require the Company to prepay the note in an amount not to exceed $200.0 million (less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amount of cancelled indebtedness) upon 90 days’ prior written notice or on December 31, 2012, whichever is earlier, and to limit the Company’s ability to borrow and reborrow under the note through December 31, 2011 to an amount equal to $350.0 million less the amount of cancelled indebtedness. The Mann Group has agreed not to exercise its prepayment right if such prepayment would require the use of working capital resources to repay the loan. In the event of a default, all unpaid principal and interest either becomes immediately due and payable or may be accelerated at The Mann Group’s option, and the interest rate will increase to the one-year LIBOR rate calculated on the date of the initial advance or in effect on the date of default, whichever is greater, plus 5% per annum. All borrowings under the loan arrangement are unsecured. The loan arrangement contains no financial covenants. There are no warrants associated with the loan arrangement. The principal amount outstanding under the loan arrangement was $224.2 million and $235.3 million at March 31, 2011 and December 31, 2010, respectively. As of March 31, 2011, the Company had accrued interest of $2.5 million related to the amount outstanding, had cancelled a total of $27.8 million indebtedness and had $98.0 million of available borrowings under the loan arrangement.</w:t>
      </w:r>
    </w:p>
    <w:p>
      <w:pPr>
        <w:spacing w:after="0" w:line="8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August 2010, the Company entered into a common stock purchase agreement with The Mann Group. Under this common stock purchase agreement, the Company is required to issue and sell, and The Mann Group is obligated to purchase, the same number of shares of the Company’s common stock that Seaside purchases on each closing date under its agreement with the Company. The price of the shares that the Company sells to The Mann Group under the agreement will be equal to the greater of $7.15 per share (the closing bid price of the Company’s common stock on August 10, 2010) and the closing bid price of the Company’s common stock on the trading day immediately preceding the applicable closing date. The aggregate purchase price for the shares of common stock the Company issues and sells to The Mann Group will be paid by cancelling an equal amount of the outstanding principal under the</w:t>
      </w:r>
    </w:p>
    <w:p>
      <w:pPr>
        <w:ind w:right="60"/>
        <w:spacing w:after="0" w:line="253" w:lineRule="auto"/>
        <w:rPr>
          <w:sz w:val="20"/>
          <w:szCs w:val="20"/>
          <w:color w:val="auto"/>
        </w:rPr>
      </w:pPr>
      <w:r>
        <w:rPr>
          <w:rFonts w:ascii="Times New Roman" w:cs="Times New Roman" w:eastAsia="Times New Roman" w:hAnsi="Times New Roman"/>
          <w:sz w:val="18"/>
          <w:szCs w:val="18"/>
          <w:color w:val="auto"/>
        </w:rPr>
        <w:t>$350.0 million loan arrangement provided by The Mann Group. To the extent that the outstanding principal amount owed under the loan arrangement is insufficient to pay the full purchase price for the shares of common stock to be acquired, The Mann Group will be obligated to pay cash for the balance of the shares of common stock it is obligated to purchase under the common stock purchase agreement. The common stock purchase agreement with The Mann Group will terminate on the day following the final closing under the Company’s common stock purchase agreement with Seaside or upon termination of the Seaside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Senior convertible notes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convertible notes consist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396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2011</w:t>
            </w: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Notes due 2013</w:t>
            </w:r>
          </w:p>
        </w:tc>
        <w:tc>
          <w:tcPr>
            <w:tcW w:w="32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43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$ 115,000</w:t>
            </w:r>
          </w:p>
        </w:tc>
        <w:tc>
          <w:tcPr>
            <w:tcW w:w="4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debt issuance expense</w:t>
            </w:r>
          </w:p>
        </w:tc>
        <w:tc>
          <w:tcPr>
            <w:tcW w:w="43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(1,562)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(1,699)</w:t>
            </w: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32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113,438</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84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Notes due 2015</w:t>
            </w:r>
          </w:p>
        </w:tc>
        <w:tc>
          <w:tcPr>
            <w:tcW w:w="3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43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$ 100,000</w:t>
            </w:r>
          </w:p>
        </w:tc>
        <w:tc>
          <w:tcPr>
            <w:tcW w:w="4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debt issuance expense</w:t>
            </w:r>
          </w:p>
        </w:tc>
        <w:tc>
          <w:tcPr>
            <w:tcW w:w="43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(3,783)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(3,966)</w:t>
            </w: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32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96,217</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84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convertible notes</w:t>
            </w:r>
          </w:p>
        </w:tc>
        <w:tc>
          <w:tcPr>
            <w:tcW w:w="43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$ 209,655</w:t>
            </w:r>
          </w:p>
        </w:tc>
        <w:tc>
          <w:tcPr>
            <w:tcW w:w="4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209,335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August 2010, the Company completed a Rule 144A offering of $100.0 million aggregate principal amount of 5.75% Senior Convertible Notes due 2015. The Notes due 2015 are governed by the terms of an indenture dated as of August 24, 2010. The Notes due 2015 bear interest at the rate of 5.75% per year on the principal amount, payable in cash semi-annually in arrears on February 15 and August 15 of each year, beginning February 15, 2011. As of March 31, 2011 and December 31, 2010, the Company had accrued interest of $0.7 million and $2.0 million, respectively related to the Notes due 2015. The Notes due 2015 are general, unsecured, senior obligations of the Company and effectively rank junior in right of payment to all of the Company’s secured debt, to the extent of the value of the assets securing such debt, and to the debt and all other liabilities of the Company’s subsidiaries. The maturity date of the Notes due 2015 is August 15, 2015 and payment is due in full on that date for unconverted securities. Holders of the Notes due 2015 may convert, at any time prior to the close of business on the business day immediately preceding the stated maturity date, any outstanding principal into shares of the Company’s common stock at an initial conversion rate of 147.0859 shares per $1,000 principal amount, which is equal to a conversion price of approximately $6.80 per share, subject to adjustment. Except in certain circumstances, if the Company undergoes a fundamental change: (1) the Company will pay a make-whole premium on the Notes due 2015 converted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connection with a fundamental change by increasing the conversion rate on such Notes, which amount, if any, will be based on the Company’s common stock price and the effective date of the fundamental change, and (2) each holder of Notes due 2015 will have the option to require the Company to repurchase all or any portion of such holder’s Notes at a repurchase price of 100% of the principal amount of the Notes to be repurchased plus accrued and unpaid interest, if any. The Company may elect to redeem some or all of the Notes due 2015 if the closing stock price has equaled 150% of the conversion price for at least 20 of the 30 consecutive trading days ending on the trading day before the Company’s redemption notice. The redemption price will equal 100% of the principal amount of the Notes due 2013 to be redeemed, plus accrued and unpaid interest, if any, to, but excluding, the redemption date, plus a make-whole payment equal to the sum of the present values of the remaining scheduled interest payments through and including August 15, 2015 (other than interest accrued up to, but excluding, the redemption date). The Company will be obligated to make the make-whole payment on all the Notes due 2015 called for redemption and converted during the period from the date the Company mailed the notice of redemption to and including the redemption date. The Company may elect to make the make-whole payment in cash or shares of its common stock, subject to certain limitations. The Company incurred approximately $4.2 million in issuance costs which are recorded as an offset to the Notes due 2015 in the accompanying condensed consolidated balance sheets. These costs are being amortized to interest expense using the effective interest method over the term of the Notes due 2015.</w:t>
      </w:r>
    </w:p>
    <w:p>
      <w:pPr>
        <w:spacing w:after="0" w:line="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December 2006, the Company completed a registered offering of $115.0 million aggregate principal amount of 3.75% Senior Convertible Notes due 2013. The Notes due 2013 are governed by the terms of an indenture dated as of November 1, 2006 and a First Supplemental Indenture, dated as of December 12, 2006. The Notes due 2013 bear interest at the rate of 3.75% per year on the principal amount, payable in cash semi-annually in arrears on June 15 and December 15 of each year, beginning June 15, 2007. As of March 31, 2011 and December 31, 2010, the Company had accrued interest of $1.3 million and $0.2 million, respectively, related to the Notes due 2013. The Notes due 2013 are general, unsecured, senior obligations of the Company and effectively rank junior in right of payment to all of the Company’s secured debt, to the extent of the value of the assets securing such debt, and to the debt and all other liabilities of the Company’s subsidiaries. The maturity date of the Notes due 2013 is December 15, 2013 and payment is due in full on that date for unconverted securities. Holders of the Notes due 2013 may convert, at any time prior to the close of business on the business day immediately preceding the stated maturity date, any outstanding principal into shares of the Company’s common stock at an initial conversion rate of 44.5002 shares per $1,000 principal amount, which is equal to a conversion price of approximately $22.47 per share, subject to adjustment. Except in certain circumstances, if the Company undergoes a fundamental change: (1) the Company will pay a make-whole premium on the Notes due 2013 converted in connection with a fundamental change by increasing the conversion rate on such Notes, which amount, if any, will be based on the Company’s common stock price and the effective date of the fundamental change, and (2) each holder of Notes due 2013 will have the option to require the Company to repurchase all or any portion of such holder’s Notes at a repurchase price of 100% of the principal amount of the Notes to be repurchased plus accrued and unpaid interest, if any. The Company incurred approximately $3.7 million in issuance costs which are recorded as an offset to the Notes due 2013 in the accompanying condensed consolidated balance sheets. These costs are being amortized to interest expense using the effective interest method over the term of the Notes due 2013.</w:t>
      </w:r>
    </w:p>
    <w:p>
      <w:pPr>
        <w:spacing w:after="0" w:line="8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Amortization of debt issuance expense in connection with the Notes offerings during the three months ended March 31, 2011 and 2010 was $320,000 and $132,000,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1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 xml:space="preserve">As required by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formerly FASB Statement No. 109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xml:space="preserve"> management of the Company has evaluated the positive and negative evidence bearing upon the realizability of its deferred tax assets. Management has concluded, in accordance with the applicable accounting standards, that it is more likely than not that the Company may not realize the benefit of its deferred tax assets. Accordingly, the net deferred tax assets have been fully reserved.</w:t>
      </w:r>
    </w:p>
    <w:p>
      <w:pPr>
        <w:spacing w:after="0" w:line="7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 xml:space="preserve">ASC 740-10-25 </w:t>
      </w:r>
      <w:r>
        <w:rPr>
          <w:rFonts w:ascii="Times New Roman" w:cs="Times New Roman" w:eastAsia="Times New Roman" w:hAnsi="Times New Roman"/>
          <w:sz w:val="18"/>
          <w:szCs w:val="18"/>
          <w:i w:val="1"/>
          <w:iCs w:val="1"/>
          <w:color w:val="auto"/>
        </w:rPr>
        <w:t>Income Taxes Recognition</w:t>
      </w:r>
      <w:r>
        <w:rPr>
          <w:rFonts w:ascii="Times New Roman" w:cs="Times New Roman" w:eastAsia="Times New Roman" w:hAnsi="Times New Roman"/>
          <w:sz w:val="18"/>
          <w:szCs w:val="18"/>
          <w:color w:val="auto"/>
        </w:rPr>
        <w:t xml:space="preserve"> clarifies the accounting and disclosure for uncertainty in tax positions, as defined. This guidance seeks to reduce the diversity in practice associated with certain aspects of the recognition and measurement related to accounting for income taxes. The Company believes that its income tax filing positions and deductions will be sustained on audit and does not anticipate any adjustments that will result in a material change to its financial position. Therefore, no reserves for uncertain income tax positions have been recorded pursuant to this guidance. Tax years since 1993 remain subject to examination by the major tax jurisdictions in which the Company is subject to tax.</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i w:val="1"/>
          <w:iCs w:val="1"/>
          <w:color w:val="auto"/>
        </w:rPr>
        <w:t>The following discussion contains forward-looking statements, which involve risks and uncertainties. Our actual results could differ materially from those anticipated in these forward-looking statements as a result of various factors, including those set forth below in Part II, Item 1A Risk Factors and elsewhere in this quarterly report on Form 10-Q. These interim condensed consolidated financial statements and this Management’s Discussion and Analysis of Financial Condition and Results of Operations should be read in conjunction with the financial statements and notes for the year ended December 31, 2010 and the related Management’s Discussion and Analysis of Financial Condition and Results of Operations, both of which are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are a biopharmaceutical company focused on the discovery, development and commercialization of therapeutic products for diseases such as diabetes and cancer. Our lead product candidate, AFREZZA (insulin human [rDNA origin]) Inhalation Powder, is an ultra rapid-acting insulin that is in late-stage clinical investigation for the treatment of adults with type 1 or type 2 diabetes for the control of hyperglycemia.</w:t>
      </w:r>
    </w:p>
    <w:p>
      <w:pPr>
        <w:spacing w:after="0" w:line="6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March 2009, we submitted a new drug application, or NDA, for AFREZZA to the U.S. Food and Drug Administration, or FDA. On March 12, 2010, we received a Complete Response letter from the FDA regarding the NDA for AFREZZA. A Complete Response letter is issued by the FDA’s Center for Drug Evaluation and Research when the review of a submitted file is completed and questions remain that preclude the approval of the NDA in its current form. One of the questions raised in the March 2010 Complete Response letter was a request for information about the comparability of the then proposed commercial version of the inhaler to the version of the device that was used in clinical trials, which we refer to as the MedTone (model C) inhaler.</w:t>
      </w:r>
    </w:p>
    <w:p>
      <w:pPr>
        <w:spacing w:after="0" w:line="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June 2010, we held an End-of-Review meeting with the FDA to discuss our approach for addressing their questions. During the meeting, we discussed a study in which we had demonstrated that the MedTone (model C) inhaler and our next-generation inhaler, which we sometimes refer to as the Dreamboat inhaler, are bioequivalent — that is, the same amount of the same insulin formulation passes quickly through the pulmonary membrane and reaches the bloodstream when either inhaler is used. Following the conclusion of this meeting, we determined that submitting our comparability data for the next-generation inhaler was the best approach for addressing the FDA’s inhaler-related questions. Accordingly, in late June 2010, we submitted the bioequivalency results as part of our response to the March 2010 Complete Response letter.</w:t>
      </w:r>
    </w:p>
    <w:p>
      <w:pPr>
        <w:spacing w:after="0" w:line="8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On January 18, 2011 we received a second Complete Response letter from the FDA, in which the principal issue was the usage of in vitro performance data and bioequivalence data to bridge our next-generation inhaler to the Phase 3 trials conducted using our MedTone (model C) inhaler. The FDA requested that we conduct two clinical studies with the next-generation inhaler (one in patients with type 1 diabetes and one in patients with type 2 diabetes), with at least one trial including a treatment group using the MedTone (model C) inhaler in order to obtain a head-to-head comparison of the pulmonary safety data for the two devices. In the January 2011 Complete Response letter, the FDA also stated that after an adequate titration of study medication there should be at least 12 weeks of relatively stable insulin dosing during the treatment period. In addition to this request, the FDA requested additional information concerning the performance characteristics, usage, handling, shipment and storage of the next-generation inhaler, an update of safety information related to AFREZZA as well as information on proposed user training and changes to the proposed labeling of the device, blister pack, foil wrap and cartons.</w:t>
      </w:r>
    </w:p>
    <w:p>
      <w:pPr>
        <w:spacing w:after="0" w:line="7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May 4, 2011, we held an End-of-Review meeting with the FDA to discuss the design of the requested Phase 3 clinical trials. In this meeting, we were able to clarify many details about the FDA’s requirements for approval of AFREZZA, particularly with respect to the study involving patients with type 1 diabetes. With respect to the study in type 2 diabetes patients, the agency indicated that its minutes of the meeting would contain additional advice regarding certain aspects of this study. Accordingly, following receipt of the meeting minutes, we are planning to prioritize our clinical trial resources on finalizing the protocol and initiating a Phase 3 trial of type 1 diabetes patients in which we evaluate A1C levels after an adequate titration of AFREZZA followed by a relatively stable insulin dose for at least 12 weeks. This study will also include a treatment group using the MedTone (model C) inhaler in order to obtain a head-to-head comparison of the pulmonary safety data for the two devices. We will continue to work closely with the FDA in an effort to ensure that the design of the corresponding trial in type 2 diabetes patients fully addresses the agency’s requests before we initiate this study. There can be no assurance that we will be able to satisfy all of the FDA’s requirements or that the FDA will find our proposed approach to these clinical studies acceptable. The FDA could also request that we conduct additional clinical studies beyond the currently planned studies in order to provide sufficient data for approval of the NDA.</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light of the guidance received from the FDA in our most recent End-of-Review meeting, we believe that our AFREZZA-related development activities are now entering a period in which the focus is on the tactical challenges of executing a robust Phase 3 clinical program and that questions of clinical and regulatory strategy have largely been resolved. At the same time, some of our early-stage oncology programs have progressed to a point where we are beginning to see their potential as assets. Accordingly, our Chief Scientific Officer, Dr. Peter Richardson, is now focused primarily on the task of advancing the development of our oncology programs, particularly MKC204 — a new chemical entity that is currently undergoing preclinical evaluation for its potential to treat multiple myeloma. Our President and Chief Operating Officer, Hakan Edstrom, will assume the responsibility of supervising the tactical operations of our clinical and regulatory groups.</w:t>
      </w:r>
    </w:p>
    <w:p>
      <w:pPr>
        <w:spacing w:after="0" w:line="8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a development stage enterprise and have incurred significant losses since our inception in 1991. As of March 31, 2011, we have incurred a cumulative net loss of $1.8 billion and an accumulated stockholders’ deficit of $203.5 million. To date, we have not generated any product revenues and have funded our operations primarily through the sale of equity securities, convertible debt securities and borrowings under our related party loan. As discussed below in “Liquidity and Capital Resources,” if we are unable to obtain additional funding in the future, there will be substantial doubt about our ability to continue as a going concern.</w:t>
      </w:r>
    </w:p>
    <w:p>
      <w:pPr>
        <w:spacing w:after="0" w:line="7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have held extensive discussions with a number of pharmaceutical companies concerning a potential strategic business collaboration for AFREZZA. To date we have not reached an agreement on a collaboration with any of these companies. There can be no assurance that any such collaboration will be available to us on a timely basis or on acceptable terms, if at all.</w:t>
      </w:r>
    </w:p>
    <w:p>
      <w:pPr>
        <w:spacing w:after="0" w:line="68"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We do not expect to record sales of any product prior to regulatory approval and commercialization of AFREZZA. We currently do not have the required approvals to market any of our product candidates, and we may not receive such approvals. We may not be profitable even if we succeed in commercializing any of our product candidates. We expect to make substantial expenditures and to incur additional operating losses for at least the next several years as we:</w:t>
      </w:r>
    </w:p>
    <w:p>
      <w:pPr>
        <w:spacing w:after="0" w:line="50" w:lineRule="exact"/>
        <w:rPr>
          <w:sz w:val="20"/>
          <w:szCs w:val="20"/>
          <w:color w:val="auto"/>
        </w:rPr>
      </w:pPr>
    </w:p>
    <w:p>
      <w:pPr>
        <w:ind w:left="660" w:hanging="314"/>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continue the clinical development of AFREZZA and new inhalation systems for the treatment of diabetes;</w:t>
      </w:r>
    </w:p>
    <w:p>
      <w:pPr>
        <w:spacing w:after="0" w:line="130" w:lineRule="exact"/>
        <w:rPr>
          <w:rFonts w:ascii="Times New Roman" w:cs="Times New Roman" w:eastAsia="Times New Roman" w:hAnsi="Times New Roman"/>
          <w:sz w:val="18"/>
          <w:szCs w:val="18"/>
          <w:b w:val="1"/>
          <w:bCs w:val="1"/>
          <w:color w:val="auto"/>
        </w:rPr>
      </w:pPr>
    </w:p>
    <w:p>
      <w:pPr>
        <w:ind w:left="660" w:hanging="314"/>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seek regulatory approval to sell AFREZZA in the United States and other markets;</w:t>
      </w:r>
    </w:p>
    <w:p>
      <w:pPr>
        <w:spacing w:after="0" w:line="130" w:lineRule="exact"/>
        <w:rPr>
          <w:rFonts w:ascii="Times New Roman" w:cs="Times New Roman" w:eastAsia="Times New Roman" w:hAnsi="Times New Roman"/>
          <w:sz w:val="18"/>
          <w:szCs w:val="18"/>
          <w:b w:val="1"/>
          <w:bCs w:val="1"/>
          <w:color w:val="auto"/>
        </w:rPr>
      </w:pPr>
    </w:p>
    <w:p>
      <w:pPr>
        <w:ind w:left="660" w:hanging="314"/>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seek development and commercialization collaborations for AFREZZA;</w:t>
      </w:r>
    </w:p>
    <w:p>
      <w:pPr>
        <w:spacing w:after="0" w:line="130" w:lineRule="exact"/>
        <w:rPr>
          <w:rFonts w:ascii="Times New Roman" w:cs="Times New Roman" w:eastAsia="Times New Roman" w:hAnsi="Times New Roman"/>
          <w:sz w:val="18"/>
          <w:szCs w:val="18"/>
          <w:b w:val="1"/>
          <w:bCs w:val="1"/>
          <w:color w:val="auto"/>
        </w:rPr>
      </w:pPr>
    </w:p>
    <w:p>
      <w:pPr>
        <w:ind w:left="660" w:hanging="314"/>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seek development collaborations for our cancer immunotherapy and cancer drug programs; and</w:t>
      </w:r>
    </w:p>
    <w:p>
      <w:pPr>
        <w:spacing w:after="0" w:line="130" w:lineRule="exact"/>
        <w:rPr>
          <w:rFonts w:ascii="Times New Roman" w:cs="Times New Roman" w:eastAsia="Times New Roman" w:hAnsi="Times New Roman"/>
          <w:sz w:val="18"/>
          <w:szCs w:val="18"/>
          <w:b w:val="1"/>
          <w:bCs w:val="1"/>
          <w:color w:val="auto"/>
        </w:rPr>
      </w:pPr>
    </w:p>
    <w:p>
      <w:pPr>
        <w:ind w:left="660" w:hanging="314"/>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develop additional applications of our proprietary Technosphere platform technology for the pulmonary delivery of other drugs.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is subject to significant risks, including but not limited to the risks inherent in our ongoing clinical trials and the regulatory approval process, our potential inability to enter into sales and marketing collaborations, to commercialize our lead product candidate in a timely manner, the results of our research and development efforts, competition from other products and technologies and uncertainties associated with obtaining and enforcing patent rights.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2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Our research and development expenses consist mainly of costs associated with the clinical trials of our product candidates that have not yet received regulatory approval for marketing and for which no alternative future use has been identified. This includes the salaries, benefits and stock-based compensation of research and development personnel, raw materials, such as insulin purchases, laboratory supplies and materials, facility costs, costs for consultants and related contract research, licensing fees, and depreciation of laboratory equipment. We track research and development costs by the type of cost incurred. We partially offset research and development expenses with the recognition of estimated amounts receivable from the State of Connecticut pursuant to a program under which we can exchange qualified research and development income tax credits for cash.</w:t>
      </w:r>
    </w:p>
    <w:p>
      <w:pPr>
        <w:spacing w:after="0" w:line="80"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Our research and development staff conducts our internal research and development activities, which include research, product development, clinical development, manufacturing and related activities. This staff is located in our facilities in Valencia, California; Paramus, New Jersey; and Danbury, Connecticut. We expense the majority of research and development costs as we incur them.</w:t>
      </w:r>
    </w:p>
    <w:p>
      <w:pPr>
        <w:spacing w:after="0" w:line="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Clinical development timelines, likelihood of success and total costs vary widely. We are focused primarily on advancing AFREZZA through regulatory filings. Based on the results of preclinical studies, we plan to develop additional applications of our Technosphere technology. Additionally, we anticipate that we will continue to determine which research and development projects to pursue, and how much funding to direct to each project, on an ongoing basis, in response to the scientific and clinical success of each product candidate. We cannot be certain when any revenues from the commercialization of our products will commence.</w:t>
      </w:r>
    </w:p>
    <w:p>
      <w:pPr>
        <w:spacing w:after="0" w:line="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At this time, due to the risks inherent in the clinical trial process and given the early stage of development of our product candidates other than AFREZZA, we are unable to estimate with any certainty the costs that we will incur in the continued development of our</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product candidates for commercialization. The costs required to complete the development of AFREZZA will be largely dependent on the cost and efficiency of our manufacturing process and discussions with the FDA regarding its requirements.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121"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Our general and administrative expenses consist primarily of salaries, benefits and stock-based compensation for administrative, finance, business development, human resources, legal and information systems support personnel. In addition, general and administrative expenses include professional service fees and business insurance costs.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as described in Item 7 of our Annual Report.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2011 and 2010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2011 we recognized revenue of $50,000 under a license agreement and we did not recognize any revenue during the same period in 2010. We do not anticipate sales of any product prior to regulatory approval and commercialization of AFREZZA.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comparison of the research and development expense categories for the three months ended March 31, 2011 and 2010 (dollars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vMerge w:val="restart"/>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vMerge w:val="restart"/>
          </w:tcPr>
          <w:p>
            <w:pPr>
              <w:spacing w:after="0"/>
              <w:rPr>
                <w:sz w:val="15"/>
                <w:szCs w:val="15"/>
                <w:color w:val="auto"/>
              </w:rPr>
            </w:pP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8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w:t>
            </w:r>
          </w:p>
        </w:tc>
        <w:tc>
          <w:tcPr>
            <w:tcW w:w="1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6,449</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6,929</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(480)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14,328</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17,987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(3,659)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4,215</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637</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528"/>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135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1,397</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(835)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26,289</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30,491</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(4,202</w:t>
            </w:r>
          </w:p>
        </w:tc>
        <w:tc>
          <w:tcPr>
            <w:tcW w:w="660" w:type="dxa"/>
            <w:vAlign w:val="bottom"/>
          </w:tcPr>
          <w:p>
            <w:pPr>
              <w:jc w:val="right"/>
              <w:ind w:right="5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decrease in research and development expenses for the three months ended March 31, 2011, as compared to the three months ended March 31, 2010, was primarily due to a $4.4 million decrease in manufacturing costs resulting from the termination of our supply contract with Organon as well as decreased costs associated with the clinical development of AFREZZA. Decreases were partially offset by $5.0 million of severance-related costs in the first quarter of 2011 associated with the reduction in force which occurred in February 2011.</w:t>
      </w:r>
    </w:p>
    <w:p>
      <w:pPr>
        <w:spacing w:after="0" w:line="7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anticipate that our research and development expenses will increase in 2011 compared to the prior year as we incur costs associated with the additional trials required by the FDA.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provides a comparison of the general and administrative expense categories for the three months ended March 31, 2011 and 2010 (dollars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gridSpan w:val="4"/>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Borders>
              <w:bottom w:val="single" w:sz="8" w:color="auto"/>
            </w:tcBorders>
          </w:tcPr>
          <w:p>
            <w:pPr>
              <w:spacing w:after="0"/>
              <w:rPr>
                <w:sz w:val="15"/>
                <w:szCs w:val="15"/>
                <w:color w:val="auto"/>
              </w:rPr>
            </w:pPr>
          </w:p>
        </w:tc>
        <w:tc>
          <w:tcPr>
            <w:tcW w:w="680" w:type="dxa"/>
            <w:vAlign w:val="bottom"/>
            <w:vMerge w:val="restart"/>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vMerge w:val="restart"/>
          </w:tcPr>
          <w:p>
            <w:pPr>
              <w:spacing w:after="0"/>
              <w:rPr>
                <w:sz w:val="15"/>
                <w:szCs w:val="15"/>
                <w:color w:val="auto"/>
              </w:rPr>
            </w:pP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680" w:type="dxa"/>
            <w:vAlign w:val="bottom"/>
            <w:vMerge w:val="continue"/>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employee related and other general expenses</w:t>
            </w:r>
          </w:p>
        </w:tc>
        <w:tc>
          <w:tcPr>
            <w:tcW w:w="1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10,451</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1,858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(206)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1,652</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72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74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March 31, 2011 increased as compared to the same period in the prior year primarily due to increased severance-related costs of $1.7 million in the first quarter of 2011 associated with the reduction in force which occurred in February 2011. Overall, we expect general and administrative expenses to decrease in 2011 as a result of a smaller workforce going forward.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and Expense</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Other income for the three months ended March 31, 2011 increased $2.1 million as compared to the same period in the prior year primarily because we recorded a realized gain of $1.3 million and a realized loss of $288,000 related to foreign exchange hedging contracts for the quarters ended March 31, 2011 and 2010, respectively. The Company terminated these contracts during the quarter ended March 31, 2011.</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 and Expense</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Interest income for the three months ended March 31, 2011 increased by $12,000 as compared to the same period in the prior year primarily due to a higher annualized yield on our investment account and a higher investment balance during the period.</w:t>
      </w:r>
    </w:p>
    <w:p>
      <w:pPr>
        <w:spacing w:after="0" w:line="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Interest expense for the three months ended March 31, 2011 increased by $1.6 million as compared to the same period in the prior year primarily due to the additional interest expense associated with our issuance of 5.75% Senior Convertible Notes in August 2010. (See Note 13 — Senior convertible notes, of the Notes to the accompanying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funded our operations primarily through the sale of equity securities, convertible debt securities and borrowings under our related party note.</w:t>
      </w:r>
    </w:p>
    <w:p>
      <w:pPr>
        <w:spacing w:after="0" w:line="11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In October 2007, we entered into a loan arrangement with our principal stockholder allowing us to borrow up to a total of $350.0 million. In February 2009, as a result of our principal stockholder being licensed as a finance lender under the California Finance Lenders Law, the promissory note underlying the loan arrangement was revised to reflect the lender as The Mann Group LLC, an entity controlled by our principal stockholder. Interest accrues on each outstanding advance at a fixed rate equal to the one-year LIBOR rate as reported by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xml:space="preserve"> on the date of such advance plus 3% per annum and is payable quarterly in arrears. In August 2010, we amended and restated the existing promissory note evidencing the loan arrangement with The Mann Group to extend the maturity date from December 31, 2011 to December 31, 2012. Under the amended and restated promissory note, The Mann Group can require us to prepay up to $200.0 million in advances that have been outstanding for at least 12 months. If The Mann Group exercises this right, we will have 90 days after The Mann Group provides written notice (or the number of days to maturity of the note if less than 90 days) to prepay such advances. In August 2010, we entered into a letter agreement confirming a previous commitment by The Mann Group to not require us to prepay amounts outstanding under the amended and restated promissory note if the prepayment would require us to use our working capital resources, including the proceeds from the sale of our 5.75% Senior Convertible Notes due 2015. In the event of a default, all unpaid principal and interest either becomes immediately due and payable or may be accelerated at the lender’s option, and the interest rate will increase to the one-year LIBOR rate calculated on the date of the initial advance or in effect on the date of default, whichever is greater, plus 5% per annum. All borrowings under the loan arrangement are unsecured. The loan arrangement contains no financial covenants. As of March 31, 2011, the amount borrowed and outstanding under the arrangement was $224.2 million and we had $98.0 million of available borrowings under the arrangement.</w:t>
      </w:r>
    </w:p>
    <w:p>
      <w:pPr>
        <w:spacing w:after="0" w:line="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August 2010, Seaside and we entered into a common stock purchase agreement, or the Seaside purchase agreement. The Seaside purchase agreement requires us to issue and sell, and Seaside to buy, up to 18,200,000 shares of our common stock in installments of 700,000 shares once every 14 days, subject to the satisfaction of certain closing conditions at each closing, beginning on September 22, 2010 and ending approximately 50 weeks after the initial closing. The price of the shares that we sell to Seaside is at an 8% discount to the volume weighted average trading price for our common stock for the ten consecutive trading days immediately preceding each closing date. For a particular closing to take place, the ten-day volume weighted average trading price for our common stock immediately prior to such closing must be at least $6.50 per share. If the ten-day volume weighted average trading price for a particular closing is below $6.50 per share, then that closing will not occur and the aggregate number of shares to be purchased will be reduced by 700,000 shares. Seaside also has the right not to complete a purchase of shares at a closing if it would cause Seaside’s beneficial ownership of our common stock, calculated in accordance with Rule 13d-3 under the Securities Exchange Act of 1934, as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amended, or the Exchange Act, to exceed 10% of our outstanding common stock immediately after such subsequent closing. Seaside has agreed not to engage in short sales of our common stock during the term of the Seaside purchase agreement and agreed that it will not sell more than 10% of the total number of shares of common stock traded on any trading day. In August 2010, we entered into an agreement with Omni Capital Corporation to pay that firm a finder’s fee in an amount equal to 1% of the aggregate value of all cash invested by Seaside under the Seaside purchase agreement. As of March 31, 2011, a total of 3,500,000 shares had been sold to Seaside under the Seaside purchase agreement for net proceeds of $23.8 million.</w:t>
      </w:r>
    </w:p>
    <w:p>
      <w:pPr>
        <w:spacing w:after="0" w:line="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conjunction with the Seaside agreement, in August 2010, The Mann Group and we entered into a common stock purchase agreement, or the Mann purchase agreement. Under the Mann purchase agreement, we are required to issue and sell, and The Mann Group is obligated to purchase, the same number of shares of our common stock that Seaside purchases on each closing date under the Seaside purchase agreement. The price of the shares that we issue and sell to The Mann Group is equal to the greater of $7.15 per share (the closing bid price of our common stock on August 10, 2010) and the closing bid price of our common stock on the trading day immediately preceding the applicable closing date. The aggregate purchase price for the shares of common stock we issue and sell to The Mann Group is paid by cancelling an equal amount of the outstanding principal under the $350.0 million revolving loan arrangement provided by The Mann Group. To the extent that the outstanding principal amount owed under the loan arrangement is insufficient to pay the full purchase price for the shares of common stock to be acquired, The Mann Group will be obligated to pay cash for the balance of the shares of common stock it is obligated to purchase under the Mann purchase agreement. The Mann purchase agreement will terminate on the day following the final closing under the Seaside purchase agreement or upon termination of the Seaside purchase agreement. As of March 31, 2011, a total of 3,500,000 shares had been issued to The Mann Group under the Mann purchase agreement, which were paid for by the cancellation of $27.8 million of outstanding principal under the loan arrangement.</w:t>
      </w:r>
    </w:p>
    <w:p>
      <w:pPr>
        <w:spacing w:after="0" w:line="83"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2011, we used $30.7 million of cash for our operations compared to using $38.5 million for our operations in the three months ended March 31, 2010. We had a net loss of $41.5 million for the three months ended March 31, 2011, of which $6.8 million consisted of non-cash charges such as depreciation and amortization, and stock-based compensation. We expect our negative operating cash flow to continue at least until we obtain regulatory approval and achieve commercialization of AFREZZA.</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had $1.8 million of cash inflows from investing activities during the three months ended March 31, 2011, compared to outflows of $1.7 million for the three months ended March 31, 2010. For the three months ended March 31, 2011 and 2010, $2.0 million and $1.7 million, respectively, were used to purchase machinery and equipment to expand our manufacturing operations and our quality systems that support clinical trials for AFREZZA. We had cash inflows of $3.8 million for the three months ended March 31, 2011 related to the early termination of certificates of deposit that were previously held as collateral for foreign exchange hedging instruments.</w:t>
      </w:r>
    </w:p>
    <w:p>
      <w:pPr>
        <w:spacing w:after="0" w:line="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financing activities generated $9.7 million of cash for the three months ended March 31, 2011, compared to $39.2 million for the same period in 2010. For the three months ended March 31, 2011, cash from financing activities was primarily from the sale of common stock to Seaside during the first quarter of 2011 as well as the exercise of stock options.</w:t>
      </w:r>
    </w:p>
    <w:p>
      <w:pPr>
        <w:spacing w:after="0" w:line="6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of March 31, 2011, we had $47.5 million in cash, cash equivalents and marketable securities. Although we believe our existing cash resources, including the $98.0 million remaining available under our loan arrangement with The Mann Group will be sufficient to fund our anticipated cash requirements through the first quarter of 2012, we will require significant additional financing in the future to fund our operations and if we are unable to do so, there will be substantial doubt about our ability to continue as a going concern. Accordingly, we expect that we will need to raise additional capital, either through the sale of equity or debt securities, the entry into a strategic business collaboration with a pharmaceutical or biotechnology company, the establishment of other funding facilities, licensing arrangements, asset sales or other means, or an increase in the borrowings available under the loan arrangement with our related party, in order to continue the development and commercialization of AFREZZA and other product candidates and to support our other ongoing activities.</w:t>
      </w:r>
    </w:p>
    <w:p>
      <w:pPr>
        <w:spacing w:after="0" w:line="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intend to use our capital resources to continue the development and commercialization of AFREZZA, if approved. In addition, portions of our capital resources will be devoted to expanding our other product development programs for the treatment of different types of cancers. We are expending a portion of our capital to scale up our manufacturing capabilities in our Danbury facilities. We also intend to use our capital resources for general corporate purposes.</w:t>
      </w:r>
    </w:p>
    <w:p>
      <w:pPr>
        <w:spacing w:after="0" w:line="6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have held extensive discussions with a number of pharmaceutical companies concerning a potential strategic business collaboration for AFREZZA. We cannot predict when, if ever, we could conclude an agreement with a partner. There can be no assurance that any such collaboration will be available to us on a timely basis or on acceptable terms, if at all.</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If we enter into a strategic business collaboration with a pharmaceutical or biotechnology company, we would expect, as part of the transaction, to receive additional capital. In addition, we expect to pursue the sale of equity and/or debt securities, or the establishment of other funding facilities.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we will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7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However, we cannot provide assurances that our plans will not change or that changed circumstances will not result in the depletion of our capital resources more rapidly than we currently anticipate. If planned operating results are not achieved or we are not successful in raising additional capital through equity or debt financing or entering a business collaboration, we may be required to reduce expenses through the delay, reduction or curtailment of our projects, including AFREZZA development activities, or further reduction of costs for facilities and administration, and there will be substantial doubt about our ability to continue as a going concern.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2011 we did not have any off-balance sheet arrangements.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On February 8, 2011, in accordance with the termination provisions of the supply agreement, we gave 30 days’ written notice to Organon to terminate the agreement, effective March 10, 2011. As a consequence of termination, Organon is not entitled to make (and we are not obliged to accept) any deliveries of insulin for which a delivery date under a purchase order has not yet passed, which includes all purchase orders previously placed for 2011 shipments. However, pursuant to the terms of the supply agreement, we may be required to pay Organon a termination fee if Organon is unable to sell certain quantities of insulin to third parties under commercially viable terms within 12 months after termination. We have held a series of discussions with Organon in order to attempt to resolve the basis for determining the amount, if any, potentially owed by us to Organon in connection with our termination of the supply agreement. On April 14, 2011, in accordance with the dispute resolution provisions of the supply agreement, we requested that the International Institute for Conflict Prevention &amp; Resolution appoint an independent mediator to endeavor to settle this dispute by mediation. (See Note 11 — Commitments and contingencies of the Notes to the accompanying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We are exposed to market risk related to changes in interest rates impacting our short-term investment portfolio as well as the interest rate on our credit facility with The Mann Group. The interest rate on our credit facility with The Mann Group is a fixed rate equal to the one-year LIBOR rate as reported by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xml:space="preserve"> on the date of such advance plus 3% per annum. Our current policy requires us to maintain a highly liquid short-term investment portfolio consisting mainly of U.S. money market funds and investment-grade corporate, government and municipal debt. None of these investments is entered into for trading purposes. Our cash is deposited in and invested through highly rated financial institutions in North America. Our short-term investments at March 31, 2011 are comprised mainly of a certificate of deposit and a common stock investment. We continue to utilize our $350.0 million credit facility to fund operations. As of March 31, 2011, the amount borrowed and outstanding under the credit facility was $224.2 million. The interest rate is fixed at the time of the draw. If interest rates were to increase from levels at March 31, 2011 we could experience a higher level of interest expense than assumed in our current operating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filed under the Exchange Act is recorded, processed, summarized and reported within the time periods specified in the SEC’s rules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auto"/>
        </w:rPr>
        <w:t>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57"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Our chief executive officer and chief financial officer performed an evaluation under the supervision and with the participation of our management, of our disclosure controls and procedures (as defined in Rules 13a-15(e) and 15d-15(e) of the Exchange Act) as of March 31, 2011. Based on that evaluation, our chief executive officer and chief financial officer concluded that our disclosure controls and procedures were effective at the reasonable assurance level.</w:t>
      </w:r>
    </w:p>
    <w:p>
      <w:pPr>
        <w:spacing w:after="0" w:line="6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fiscal quarter ended March 31, 2011 that has materially affected, or is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November 23, 2010, John Arditi, our former Senior Director — GCP — Regulatory Affairs, filed a Demand for Arbitration against us and three employees — our Chief Scientific Officer, our Vice President — World Wide Regulatory Affairs, and our Chief Financial Officer — claiming that we terminated his employment in retaliation for his purported reporting of alleged unlawful practices in connection with our clinical trials. Mr. Arditi has asserted claims for violation of the New Jersey Conscientious Employee Protection Act, wrongful discharge, breach of contract, breach of the implied covenant of good faith and fair dealing, defamation and intentional infliction of emotional distress. Mr. Arditi is seeking, among other relief, compensatory and punitive damages and counsel fees, costs and interest. Before Mr. Arditi filed his arbitration demand, we had completed an internal investigation and retained an independent outside firm to conduct an independent investigation of Mr. Arditi’s claims. Neither investigation found any basis for his claims. We believe the allegations made by Mr. Arditi are without merit and we intend to defend against them vigorously.</w:t>
      </w:r>
    </w:p>
    <w:p>
      <w:pPr>
        <w:spacing w:after="0" w:line="7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Following the receipt by us of the Complete Response letter from the FDA regarding the NDA for AFREZZA in January 2011 and the subsequent decline of the price of our common stock, several complaints were filed in the U.S. District Court for the Central District of California against us and certain of our officers and directors on behalf of certain purchasers of our common stock. The complaints include claims asserted under Sections 10(b) and 20(a) of the Exchange Act and have been brought as purported shareholder class actions. In general, the complaints allege that we and certain of our officers and directors violated federal securities laws by making materially false and misleading statements regarding our business and prospects for AFREZZA, thereby artificially inflating the price of our common stock. The plaintiffs are seeking unspecified monetary damages and other relief. The complaints have been transferred to a single court and consolidated for all purposes. The court has appointed a lead plaintiff and lead counsel and has ordered the lead plaintiff to file a consolidated complaint by June 27, 2011. We will vigorously defend against the claims advanced.</w:t>
      </w:r>
    </w:p>
    <w:p>
      <w:pPr>
        <w:spacing w:after="0" w:line="7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Starting in February 2011, shareholder derivative complaints were filed in the Superior Court of California for the County of Los Angeles against our directors and certain of our officers. The complaints in the shareholder derivative actions allege breaches of fiduciary duties by the defendants and other violations of law. In general, the complaints allege that our directors and certain of our officers caused or allowed for the dissemination of materially false and misleading statements regarding our business and prospects for AFREZZA, thereby artificially inflating the price of our common stock. The plaintiffs are seeking unspecified monetary damages and other relief, including reforms to our corporate governance and internal procedures. We will vigorously defend against the claims advanced.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with an asterisk (*) next to the title contain changes to the description of the risk factors previously disclosed in Item 1A to our annual report on Form 10-K.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heavily on the successful development and commercialization of our lead product candidate, AFREZZA, which is not yet approved. *</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To date, we have not commercialized any product candidates. We have expended significant time, money and effort in the development of our lead product candidate, AFREZZA, which has not yet received regulatory approval and which may not be approved by the FDA in a timely manner, or at all. Our other product candidates are generally in early clinical or preclinical development. We anticipate that in the near term, our ability to generate revenues will depend solely on the successful development and commercialization of AFREZZA.</w:t>
      </w:r>
    </w:p>
    <w:p>
      <w:pPr>
        <w:spacing w:after="0" w:line="7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January 2011, the FDA requested that we conduct additional clinical studies of AFREZZA using our next-generation inhaler. In early May 2011, we held an End-of-Review meeting with the agency to discuss the protocols for the additional studies and, during this meeting, we believe that we achieved an understanding of what the FDA would accept for consideration of approval of AFREZZA. We plan to work closely with the FDA in our effort to ensure that future clinical studies address the agency’s requests. There can be no assurance that we will be able to satisfy all of the FDA’s requirements or that the FDA will find our proposed approach to future clinical studies acceptable. The FDA could also again request that we conduct additional clinical trials to provide sufficient data for approval of the NDA. There can be no assurance that we will obtain approval of the NDA in a timely manner or at all.</w:t>
      </w:r>
    </w:p>
    <w:p>
      <w:pPr>
        <w:spacing w:after="0" w:line="80"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We must receive the necessary approvals from the FDA and similar foreign regulatory agencies before AFREZZA can be marketed and sold in the United States or elsewhere. Even if we were to receive regulatory approval, we ultimately may be unable to gain market acceptance of AFREZZA for a variety of reasons, including the treatment and dosage regimen, potential adverse effects, the availability of alternative treatments and cost effectiveness. If we fail to commercialize AFREZZA, our business, financial condition and results of operations will be materially and adversely affected.</w:t>
      </w:r>
    </w:p>
    <w:p>
      <w:pPr>
        <w:spacing w:after="0" w:line="7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have sought to develop our product candidates through our internal research programs. All of our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w:t>
      </w:r>
    </w:p>
    <w:p>
      <w:pPr>
        <w:spacing w:after="0" w:line="6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 significant portion of the research that we have conducted involves new and unproven compounds and technologies, including AFREZZA, Technosphere platform technology and immunotherapy product candidates. Even if our research programs identify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successfully complete the development and commercialization of AFREZZA or develop or expand our other product candidates, or are significantly delayed in doing so, our business and results of operations will be harmed and the value of our stock could decline.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we expect to continue to incur losses and we may never become profitable.*</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a development stage company with no commercial products. All of our product candidates are still being developed, and all but AFREZZA are still in the early stages of development. Our product candidates will require significant additional development, clinical trials, regulatory clearances and additional investment before they can be commercialized. We cannot be certain when AFREZZA may be approved or if it will be approved.</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never been profitable and, as of March 31, 2011, we had incurred a cumulative net loss of $1.8 billion. The cumulative net loss has resulted principally from costs incurred in our research and development programs, the write-off of goodwill and general operating expenses. We expect to make substantial expenditures and to incur increasing operating losses in the future in order to further develop and commercialize our product candidates, including costs and expenses to complete clinical trials, seek regulatory approvals and market our product candidates, including AFREZZA. This cumulative net loss may increase significantly as we continue development and clinical trial efforts.</w:t>
      </w:r>
    </w:p>
    <w:p>
      <w:pPr>
        <w:spacing w:after="0" w:line="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losses have had, and are expected to continue to have, an adverse impact on our working capital, total assets and stockholders’ equity. As of March 31, 2011, we had a stockholders’ deficit of $203.5 million. Our ability to achieve and sustain</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profitability depends upon obtaining regulatory approvals for and successfully commercializing AFREZZA, either alone or with third parties. We do not currently have the required approvals to market any of our product candidates, and we may not receive them. We may not be profitable even if we succeed in commercializing any of our product candidates. As a result, we cannot be sure when we will become profitable, if at all.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raise additional capital our financial condition and business would suffer.*</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It is costly to develop therapeutic product candidates and conduct clinical trials for these product candidates. Although we are currently focusing on AFREZZA as our lead product candidate, we had begun to conduct clinical trials for additional product candidates. Our existing capital resources will not be sufficient to support the expense of fully developing and commercializing AFREZZA or fully developing any of our other product candidates.</w:t>
      </w:r>
    </w:p>
    <w:p>
      <w:pPr>
        <w:spacing w:after="0" w:line="6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Based upon our current expectations, we believe that our existing capital resources, including the loan arrangement with The Mann Group. but excluding any proceeds to us from the common stock purchase agreement that we entered into with Seaside, will enable us to continue planned operations through the first quarter of 2012. However, we cannot assure you that our plans will not change or that changed circumstances will not result in the depletion of our capital resources more rapidly than we currently anticipate. In any event, we plan to raise additional funds, whether through the sale of equity or debt securities, the entry into strategic business collaborations, the establishment of other funding facilities, licensing arrangements, asset sales or other means, or an increase in the borrowings available under the loan arrangement with our related party, in order to continue the development and commercialization of AFREZZA and other product candidates and to support our other ongoing activities. However, it may be difficult for us to raise additional funds through these planned measures. As of March 31, 2011, we had a stockholders’ deficit of $203.5 million which may raise concerns about our solvency and affect our ability to raise additional capital. The amount of additional funds we need will depend on a number of factors, including:</w:t>
      </w:r>
    </w:p>
    <w:p>
      <w:pPr>
        <w:spacing w:after="0" w:line="81" w:lineRule="exact"/>
        <w:rPr>
          <w:sz w:val="20"/>
          <w:szCs w:val="20"/>
          <w:color w:val="auto"/>
        </w:rPr>
      </w:pPr>
    </w:p>
    <w:p>
      <w:pPr>
        <w:ind w:left="660" w:right="560" w:hanging="314"/>
        <w:spacing w:after="0" w:line="282" w:lineRule="auto"/>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rate of progress and costs of our clinical trials and research and development activities, including costs of procuring clinical materials and operating our manufacturing facilities;</w:t>
      </w:r>
    </w:p>
    <w:p>
      <w:pPr>
        <w:spacing w:after="0" w:line="67" w:lineRule="exact"/>
        <w:rPr>
          <w:rFonts w:ascii="Times New Roman" w:cs="Times New Roman" w:eastAsia="Times New Roman" w:hAnsi="Times New Roman"/>
          <w:sz w:val="18"/>
          <w:szCs w:val="18"/>
          <w:b w:val="1"/>
          <w:bCs w:val="1"/>
          <w:color w:val="auto"/>
        </w:rPr>
      </w:pPr>
    </w:p>
    <w:p>
      <w:pPr>
        <w:ind w:left="660" w:hanging="314"/>
        <w:spacing w:after="0" w:line="282" w:lineRule="auto"/>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success in establishing strategic business collaborations and the timing and amount of any payments we might receive from any collaboration we are able to establish;</w:t>
      </w:r>
    </w:p>
    <w:p>
      <w:pPr>
        <w:spacing w:after="0" w:line="67" w:lineRule="exact"/>
        <w:rPr>
          <w:rFonts w:ascii="Times New Roman" w:cs="Times New Roman" w:eastAsia="Times New Roman" w:hAnsi="Times New Roman"/>
          <w:sz w:val="18"/>
          <w:szCs w:val="18"/>
          <w:b w:val="1"/>
          <w:bCs w:val="1"/>
          <w:color w:val="auto"/>
        </w:rPr>
      </w:pPr>
    </w:p>
    <w:p>
      <w:pPr>
        <w:ind w:left="660" w:hanging="314"/>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actions taken by the FDA and other regulatory authorities affecting our products and competitive products;</w:t>
      </w:r>
    </w:p>
    <w:p>
      <w:pPr>
        <w:spacing w:after="0" w:line="130" w:lineRule="exact"/>
        <w:rPr>
          <w:rFonts w:ascii="Times New Roman" w:cs="Times New Roman" w:eastAsia="Times New Roman" w:hAnsi="Times New Roman"/>
          <w:sz w:val="18"/>
          <w:szCs w:val="18"/>
          <w:b w:val="1"/>
          <w:bCs w:val="1"/>
          <w:color w:val="auto"/>
        </w:rPr>
      </w:pPr>
    </w:p>
    <w:p>
      <w:pPr>
        <w:ind w:left="660" w:hanging="314"/>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degree of success in commercializing AFREZZA;</w:t>
      </w:r>
    </w:p>
    <w:p>
      <w:pPr>
        <w:spacing w:after="0" w:line="130" w:lineRule="exact"/>
        <w:rPr>
          <w:rFonts w:ascii="Times New Roman" w:cs="Times New Roman" w:eastAsia="Times New Roman" w:hAnsi="Times New Roman"/>
          <w:sz w:val="18"/>
          <w:szCs w:val="18"/>
          <w:b w:val="1"/>
          <w:bCs w:val="1"/>
          <w:color w:val="auto"/>
        </w:rPr>
      </w:pPr>
    </w:p>
    <w:p>
      <w:pPr>
        <w:ind w:left="660" w:hanging="314"/>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emergence of competing technologies and products and other adverse market developments;</w:t>
      </w:r>
    </w:p>
    <w:p>
      <w:pPr>
        <w:spacing w:after="0" w:line="130" w:lineRule="exact"/>
        <w:rPr>
          <w:rFonts w:ascii="Times New Roman" w:cs="Times New Roman" w:eastAsia="Times New Roman" w:hAnsi="Times New Roman"/>
          <w:sz w:val="18"/>
          <w:szCs w:val="18"/>
          <w:b w:val="1"/>
          <w:bCs w:val="1"/>
          <w:color w:val="auto"/>
        </w:rPr>
      </w:pPr>
    </w:p>
    <w:p>
      <w:pPr>
        <w:ind w:left="660" w:hanging="314"/>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timing and amount of payments we might receive from potential licensees;</w:t>
      </w:r>
    </w:p>
    <w:p>
      <w:pPr>
        <w:spacing w:after="0" w:line="130" w:lineRule="exact"/>
        <w:rPr>
          <w:rFonts w:ascii="Times New Roman" w:cs="Times New Roman" w:eastAsia="Times New Roman" w:hAnsi="Times New Roman"/>
          <w:sz w:val="18"/>
          <w:szCs w:val="18"/>
          <w:b w:val="1"/>
          <w:bCs w:val="1"/>
          <w:color w:val="auto"/>
        </w:rPr>
      </w:pPr>
    </w:p>
    <w:p>
      <w:pPr>
        <w:ind w:left="660" w:right="80" w:hanging="314"/>
        <w:spacing w:after="0" w:line="282" w:lineRule="auto"/>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costs of preparing, filing, prosecuting, maintaining and enforcing patent claims and other intellectual property rights or defending against claims of infringement by others;</w:t>
      </w:r>
    </w:p>
    <w:p>
      <w:pPr>
        <w:spacing w:after="0" w:line="67" w:lineRule="exact"/>
        <w:rPr>
          <w:rFonts w:ascii="Times New Roman" w:cs="Times New Roman" w:eastAsia="Times New Roman" w:hAnsi="Times New Roman"/>
          <w:sz w:val="18"/>
          <w:szCs w:val="18"/>
          <w:b w:val="1"/>
          <w:bCs w:val="1"/>
          <w:color w:val="auto"/>
        </w:rPr>
      </w:pPr>
    </w:p>
    <w:p>
      <w:pPr>
        <w:ind w:left="660" w:right="420" w:hanging="314"/>
        <w:spacing w:after="0" w:line="282" w:lineRule="auto"/>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level of our legal expenses, including those expenses associated with the securities class actions and derivative lawsuits filed against us and certain of our executive officers and directors and any settlement or damages payments associated with litigation;</w:t>
      </w:r>
    </w:p>
    <w:p>
      <w:pPr>
        <w:spacing w:after="0" w:line="67" w:lineRule="exact"/>
        <w:rPr>
          <w:rFonts w:ascii="Times New Roman" w:cs="Times New Roman" w:eastAsia="Times New Roman" w:hAnsi="Times New Roman"/>
          <w:sz w:val="18"/>
          <w:szCs w:val="18"/>
          <w:b w:val="1"/>
          <w:bCs w:val="1"/>
          <w:color w:val="auto"/>
        </w:rPr>
      </w:pPr>
    </w:p>
    <w:p>
      <w:pPr>
        <w:ind w:left="660" w:hanging="314"/>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costs of the restructuring that we implemented following receipt of the Complete Response letter from the FDA in January 2011;</w:t>
      </w:r>
    </w:p>
    <w:p>
      <w:pPr>
        <w:spacing w:after="0" w:line="130" w:lineRule="exact"/>
        <w:rPr>
          <w:rFonts w:ascii="Times New Roman" w:cs="Times New Roman" w:eastAsia="Times New Roman" w:hAnsi="Times New Roman"/>
          <w:sz w:val="18"/>
          <w:szCs w:val="18"/>
          <w:b w:val="1"/>
          <w:bCs w:val="1"/>
          <w:color w:val="auto"/>
        </w:rPr>
      </w:pPr>
    </w:p>
    <w:p>
      <w:pPr>
        <w:ind w:left="660" w:hanging="314"/>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costs of discontinuing projects and technologies; and</w:t>
      </w:r>
    </w:p>
    <w:p>
      <w:pPr>
        <w:spacing w:after="0" w:line="130" w:lineRule="exact"/>
        <w:rPr>
          <w:rFonts w:ascii="Times New Roman" w:cs="Times New Roman" w:eastAsia="Times New Roman" w:hAnsi="Times New Roman"/>
          <w:sz w:val="18"/>
          <w:szCs w:val="18"/>
          <w:b w:val="1"/>
          <w:bCs w:val="1"/>
          <w:color w:val="auto"/>
        </w:rPr>
      </w:pPr>
    </w:p>
    <w:p>
      <w:pPr>
        <w:ind w:left="660" w:hanging="314"/>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costs of decommissioning existing facilities, if we undertake such activities.</w:t>
      </w:r>
    </w:p>
    <w:p>
      <w:pPr>
        <w:spacing w:after="0" w:line="11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have raised capital in the past primarily through the sale of equity and debt securities. We may in the future pursue the sale of additional equity and/or debt securities, or the establishment of other funding facilities. In August 2010, we entered into the Seaside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purchase agreement and the Mann purchase agreement for the sale and issuance by us of up to 36,400,000 shares of our common stock over a period of approximately 50 weeks. To date, we have issued and sold a total of 7,000,000 shares to Seaside and The Mann Group under these agreements, and could issue and sell an additional 12,600,000 shares under both agreements if we are able to satisfy the conditions precedent for sales of shares under these agreements, including the minimum price requirement. Issuances of additional debt or equity securities or the conversion of any of our currently outstanding convertible debt securities into shares of our common stock could impact the rights of the holders of our common stock and may dilute their ownership percentage. We are seeking approval by our stockholders of an amendment to our certificate of incorporation to increase the authorized number of shares of our common stock to facilitate any future capital-raising transactions. Such a proposal requires approval by the holders of a majority of the outstanding shares of our common stock. If we were unable to obtain the requisite approval, our ability to raise additional capital by selling our equity securities would be constrained.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also may seek to raise additional capital by pursuing opportunities for the licensing or sale of certain intellectual property and other assets. We cannot offer assurances, however, that any strategic collaborations,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event that sufficient additional funds are not obtained through strategic collaboration opportunities, sales of securities, credit facilities, licensing arrangements and/or asset sales on a timely basis, we will be required to reduce expenses through the delay, reduction or curtailment of our projects, including AFREZZA commercialization, or further reduction of costs for facilities and administration. Moreover, if we do not obtain such additional funds, there will be substantial doubt about our ability to continue as a going concern and increased risk of insolvency and loss of investment to the holders of our securities. As of the date hereof, we have not obtained a solvency opinion or otherwise conducted a valuation of our properties to determine whether our debts exceed the fair value of our property within the meaning of applicable solvency laws. If we are or become insolvent, investors in our stock may lose the entire value of their investment.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Deteriorating global economic conditions may have an adverse impact on the loan facility with The Mann Group, which we currently cannot predict.*</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widely reported, financial markets in the United States, Europe and Asia have experienced a period of unprecedented turmoil and upheaval characterized by extreme volatility and declines in security prices, severely diminished liquidity and credit availability, inability to access capital markets, the bankruptcy, failure, collapse or sale of various financial institutions and an unprecedented level of intervention from the United States federal government and other governments. We cannot predict the impact of these events on the loan facility with The Mann Group. If we are unable to draw on this financial resource, our business and financial condition will be adversely affected.</w:t>
      </w:r>
    </w:p>
    <w:p>
      <w:pPr>
        <w:spacing w:after="0" w:line="7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and commercialization goals in the timeframes we announce and expect, our business would be harmed and the market price of our common stock could decline.*</w:t>
      </w:r>
    </w:p>
    <w:p>
      <w:pPr>
        <w:spacing w:after="0" w:line="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76" w:lineRule="exact"/>
        <w:rPr>
          <w:sz w:val="20"/>
          <w:szCs w:val="20"/>
          <w:color w:val="auto"/>
        </w:rPr>
      </w:pPr>
    </w:p>
    <w:p>
      <w:pPr>
        <w:ind w:left="660" w:right="40" w:hanging="314"/>
        <w:spacing w:after="0" w:line="282" w:lineRule="auto"/>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rate of progress, costs and results of our clinical trial and research and development activities, which will be impacted by the level of proficiency and experience of our clinical staff;</w:t>
      </w:r>
    </w:p>
    <w:p>
      <w:pPr>
        <w:spacing w:after="0" w:line="67" w:lineRule="exact"/>
        <w:rPr>
          <w:rFonts w:ascii="Times New Roman" w:cs="Times New Roman" w:eastAsia="Times New Roman" w:hAnsi="Times New Roman"/>
          <w:sz w:val="18"/>
          <w:szCs w:val="18"/>
          <w:b w:val="1"/>
          <w:bCs w:val="1"/>
          <w:color w:val="auto"/>
        </w:rPr>
      </w:pPr>
    </w:p>
    <w:p>
      <w:pPr>
        <w:ind w:left="660" w:hanging="314"/>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identify and enroll patients who meet clinical trial eligibility criteria;</w:t>
      </w:r>
    </w:p>
    <w:p>
      <w:pPr>
        <w:spacing w:after="0" w:line="130" w:lineRule="exact"/>
        <w:rPr>
          <w:rFonts w:ascii="Times New Roman" w:cs="Times New Roman" w:eastAsia="Times New Roman" w:hAnsi="Times New Roman"/>
          <w:sz w:val="18"/>
          <w:szCs w:val="18"/>
          <w:b w:val="1"/>
          <w:bCs w:val="1"/>
          <w:color w:val="auto"/>
        </w:rPr>
      </w:pPr>
    </w:p>
    <w:p>
      <w:pPr>
        <w:ind w:left="660" w:right="160" w:hanging="314"/>
        <w:spacing w:after="0" w:line="282" w:lineRule="auto"/>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access sufficient, reliable and affordable supplies of components used in the manufacture of our product candidates, including insulin and other materials for AFREZZA;</w:t>
      </w:r>
    </w:p>
    <w:p>
      <w:pPr>
        <w:spacing w:after="0" w:line="67" w:lineRule="exact"/>
        <w:rPr>
          <w:rFonts w:ascii="Times New Roman" w:cs="Times New Roman" w:eastAsia="Times New Roman" w:hAnsi="Times New Roman"/>
          <w:sz w:val="18"/>
          <w:szCs w:val="18"/>
          <w:b w:val="1"/>
          <w:bCs w:val="1"/>
          <w:color w:val="auto"/>
        </w:rPr>
      </w:pPr>
    </w:p>
    <w:p>
      <w:pPr>
        <w:ind w:left="660" w:hanging="314"/>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costs of expanding and maintaining manufacturing operations, as necessary;</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60" w:hanging="314"/>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extent of scheduling conflicts with participating clinicians and clinical institutions;</w:t>
      </w:r>
    </w:p>
    <w:p>
      <w:pPr>
        <w:spacing w:after="0" w:line="130" w:lineRule="exact"/>
        <w:rPr>
          <w:rFonts w:ascii="Times New Roman" w:cs="Times New Roman" w:eastAsia="Times New Roman" w:hAnsi="Times New Roman"/>
          <w:sz w:val="18"/>
          <w:szCs w:val="18"/>
          <w:b w:val="1"/>
          <w:bCs w:val="1"/>
          <w:color w:val="auto"/>
        </w:rPr>
      </w:pPr>
    </w:p>
    <w:p>
      <w:pPr>
        <w:ind w:left="660" w:hanging="314"/>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receipt of approvals by our competitors and by us from the FDA and other regulatory agencies;</w:t>
      </w:r>
    </w:p>
    <w:p>
      <w:pPr>
        <w:spacing w:after="0" w:line="130" w:lineRule="exact"/>
        <w:rPr>
          <w:rFonts w:ascii="Times New Roman" w:cs="Times New Roman" w:eastAsia="Times New Roman" w:hAnsi="Times New Roman"/>
          <w:sz w:val="18"/>
          <w:szCs w:val="18"/>
          <w:b w:val="1"/>
          <w:bCs w:val="1"/>
          <w:color w:val="auto"/>
        </w:rPr>
      </w:pPr>
    </w:p>
    <w:p>
      <w:pPr>
        <w:ind w:left="660" w:hanging="314"/>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enter into sales and marketing collaborations for AFREZZA; and</w:t>
      </w:r>
    </w:p>
    <w:p>
      <w:pPr>
        <w:spacing w:after="0" w:line="130" w:lineRule="exact"/>
        <w:rPr>
          <w:rFonts w:ascii="Times New Roman" w:cs="Times New Roman" w:eastAsia="Times New Roman" w:hAnsi="Times New Roman"/>
          <w:sz w:val="18"/>
          <w:szCs w:val="18"/>
          <w:b w:val="1"/>
          <w:bCs w:val="1"/>
          <w:color w:val="auto"/>
        </w:rPr>
      </w:pPr>
    </w:p>
    <w:p>
      <w:pPr>
        <w:ind w:left="660" w:hanging="314"/>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actions by regulators.</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if we do not obtain sufficient additional funds through sales of securities, strategic collaborations or the license or sale of certain of our assets on a timely basis, we will be required to reduce expenses by delaying, reducing or curtailing our development of AFREZZA. If we fail to commence or complete, or experience delays in or are forced to curtail, our proposed clinical programs or otherwise fail to adhere to our projected development goals in the timeframes we announce and expect (or within the timeframes expected by analysts or investors), our business and results of operations will be harmed and the market price of our common stock will decline.</w:t>
      </w:r>
    </w:p>
    <w:p>
      <w:pPr>
        <w:spacing w:after="0" w:line="7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in the development of our product candidates and may not be able to compete successfully, and our product candidates may be rendered obsolete by rapid technological change.</w:t>
      </w:r>
    </w:p>
    <w:p>
      <w:pPr>
        <w:spacing w:after="0" w:line="5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 number of established pharmaceutical companies have or are developing technologies for the treatment of diabetes. We also face substantial competition for the development of our other product candidates.</w:t>
      </w:r>
    </w:p>
    <w:p>
      <w:pPr>
        <w:spacing w:after="0" w:line="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Many of our existing or potential competitors have, or have access to, substantially greater financial, research and development, production, and sales and marketing resources than we do and have a greater depth and number of experienced managers. As a result, our competitors may be better equipped than we are to develop, manufacture, market and sell competing products. In addition, gaining favorable reimbursement is critical to the success of AFREZZA. Many of our competitors have existing infrastructure and relationships with managed care organizations and reimbursement authorities which can be used to their advantage.</w:t>
      </w:r>
    </w:p>
    <w:p>
      <w:pPr>
        <w:spacing w:after="0" w:line="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rapid rate of scientific discoveries and technological changes could result in one or more of our product candidates becoming obsolete or noncompetitive. Our competitors may develop or introduce new products that render our technology and AFREZZA less competitive, uneconomical or obsolete. Our future success will depend not only on our ability to develop our product candidates but to improve them and keep pace with emerging industry developments. We cannot assure you that we will be able to do so.</w:t>
      </w:r>
    </w:p>
    <w:p>
      <w:pPr>
        <w:spacing w:after="0" w:line="7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also expect to face increasing competition from universities and other non-profit research organizations. These institutions carry out a significant amount of research and development in the areas of diabetes and cancer. These institutions are becoming increasingly aware of the commercial value of their findings and are more active in seeking patent and other proprietary rights as well as licensing revenues.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enter into a strategic collaboration with respect to AFREZZA, we may not be able to execute on our business model.</w:t>
      </w:r>
    </w:p>
    <w:p>
      <w:pPr>
        <w:spacing w:after="0" w:line="12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We have held extensive discussions with a number of pharmaceutical companies concerning a potential strategic business collaboration for AFREZZA. To date we have not reached an agreement on a collaboration with any of these companies. We cannot predict when, if ever, we could conclude an agreement with a partner. There can be no assurance that any such collaboration will be available to us on a timely basis or on acceptable terms. If we are not able to enter into a collaboration on terms that are favorable to us, we may be unable to undertake and fund product development, clinical trials, manufacturing and/or marketing activities at our own expense, which would delay or otherwise impede the commercialization of AFREZZA. We will face similar challenges as we seek to develop our other product candidates. Our current strategy for developing, manufacturing and commercializing our other product candidates includes evaluating the potential for collaborating with pharmaceutical and biotechnology companies at some point in the drug development process and for these collaborators to undertake the advanced clinical development and commercialization of our product candidates. It may be difficult for us to find third parties that are willing to enter into collaborations on economic terms that are favorable to us, or at all. Failure to enter into a collaboration with respect to any other product candidate could substantially increase our requirements for capital and force us to substantially reduce our development effort.</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enter into collaborative agreements with respect to AFREZZA and if our third-party collaborators do not perform satisfactorily or if our collaborations fail, development or commercialization of AFREZZA may be delayed and our business could be harmed.</w:t>
      </w:r>
    </w:p>
    <w:p>
      <w:pPr>
        <w:spacing w:after="0" w:line="51"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We may enter into license agreements, partnerships or other collaborative arrangements to support the financing, development and marketing of AFREZZA. We may also license technology from others to enhance or supplement our technologies. These various collaborators may enter into arrangements that would make them potential competitors. These various collaborators also may breach their agreements with us and delay our progress or fail to perform under their agreements, which could harm our business.</w:t>
      </w:r>
    </w:p>
    <w:p>
      <w:pPr>
        <w:spacing w:after="0" w:line="7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If we enter into collaborative arrangements, we will have less control over the timing, planning and other aspects of our clinical trials, and the sale and marketing of AFREZZA and our other product candidates. We cannot offer assurances that we will be able to enter into satisfactory arrangements with third parties as contemplated or that any of our existing or future collaborations will be successful.</w:t>
      </w:r>
    </w:p>
    <w:p>
      <w:pPr>
        <w:spacing w:after="0" w:line="64"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Continued testing of AFREZZA or our other product candidates may not yield successful results, and even if it does, we may still be unable to commercialize our product candidates.*</w:t>
      </w:r>
    </w:p>
    <w:p>
      <w:pPr>
        <w:spacing w:after="0" w:line="51"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Our research and development programs are designed to test the safety and efficacy of AFREZZA and our other product candidates through extensive nonclinical and clinical testing. We may experience numerous unforeseen events during, or as a result of, the testing process that could delay or prevent commercialization of AFREZZA or any of our other product candidates, including the following:</w:t>
      </w:r>
    </w:p>
    <w:p>
      <w:pPr>
        <w:spacing w:after="0" w:line="68" w:lineRule="exact"/>
        <w:rPr>
          <w:sz w:val="20"/>
          <w:szCs w:val="20"/>
          <w:color w:val="auto"/>
        </w:rPr>
      </w:pPr>
    </w:p>
    <w:p>
      <w:pPr>
        <w:jc w:val="both"/>
        <w:ind w:left="660" w:right="200" w:hanging="314"/>
        <w:spacing w:after="0" w:line="282" w:lineRule="auto"/>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safety and efficacy results for AFREZZA obtained in our nonclinical and previous clinical testing may be inconclusive or may not be predictive of results that we may obtain in our future clinical trials or following long-term use, and we may as a result be forced to stop developing AFREZZA;</w:t>
      </w:r>
    </w:p>
    <w:p>
      <w:pPr>
        <w:spacing w:after="0" w:line="67" w:lineRule="exact"/>
        <w:rPr>
          <w:rFonts w:ascii="Times New Roman" w:cs="Times New Roman" w:eastAsia="Times New Roman" w:hAnsi="Times New Roman"/>
          <w:sz w:val="18"/>
          <w:szCs w:val="18"/>
          <w:b w:val="1"/>
          <w:bCs w:val="1"/>
          <w:color w:val="auto"/>
        </w:rPr>
      </w:pPr>
    </w:p>
    <w:p>
      <w:pPr>
        <w:ind w:left="660" w:hanging="314"/>
        <w:spacing w:after="0" w:line="282" w:lineRule="auto"/>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data collected from clinical trials of AFREZZA or our other product candidates may not reach statistical significance or otherwise be sufficient to support FDA or other regulatory approval;</w:t>
      </w:r>
    </w:p>
    <w:p>
      <w:pPr>
        <w:spacing w:after="0" w:line="67" w:lineRule="exact"/>
        <w:rPr>
          <w:rFonts w:ascii="Times New Roman" w:cs="Times New Roman" w:eastAsia="Times New Roman" w:hAnsi="Times New Roman"/>
          <w:sz w:val="18"/>
          <w:szCs w:val="18"/>
          <w:b w:val="1"/>
          <w:bCs w:val="1"/>
          <w:color w:val="auto"/>
        </w:rPr>
      </w:pPr>
    </w:p>
    <w:p>
      <w:pPr>
        <w:ind w:left="660" w:hanging="314"/>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reviewing test results, we or any potential collaborators may abandon projects that we previously believed were promising; and</w:t>
      </w:r>
    </w:p>
    <w:p>
      <w:pPr>
        <w:spacing w:after="0" w:line="130" w:lineRule="exact"/>
        <w:rPr>
          <w:rFonts w:ascii="Times New Roman" w:cs="Times New Roman" w:eastAsia="Times New Roman" w:hAnsi="Times New Roman"/>
          <w:sz w:val="18"/>
          <w:szCs w:val="18"/>
          <w:b w:val="1"/>
          <w:bCs w:val="1"/>
          <w:color w:val="auto"/>
        </w:rPr>
      </w:pPr>
    </w:p>
    <w:p>
      <w:pPr>
        <w:ind w:left="660" w:right="280" w:hanging="314"/>
        <w:spacing w:after="0" w:line="282" w:lineRule="auto"/>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product candidates may not produce the desired effects or may result in adverse health effects or other characteristics that preclude regulatory approval or limit their commercial use if approved.</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Forecasts about the effects of the use of drugs, including AFREZZA, over terms longer than the clinical trials or in much larger populations may not be consistent with the clinical results. If use of AFREZZA results in adverse health effects or reduced efficacy or both, the FDA or other regulatory agencies may terminate our ability to market and sell AFREZZA, may narrow the approved indications for use or otherwise require restrictive product labeling or marketing, or may require further clinical trials, which may be time-consuming and expensive and may not produce favorable results.</w:t>
      </w:r>
    </w:p>
    <w:p>
      <w:pPr>
        <w:spacing w:after="0" w:line="7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a result of any of these events, we, any collaborator, the FDA, or any other regulatory authorities, may suspend or terminate clinical trials or marketing of AFREZZA at any time. Any suspension or termination of our clinical trials or marketing activities may harm our business and results of operations and the market price of our common stock may decline.</w:t>
      </w:r>
    </w:p>
    <w:p>
      <w:pPr>
        <w:spacing w:after="0" w:line="6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suppliers fail to deliver materials and services needed for the production of AFREZZA in a timely and sufficient manner, or they fail to comply with applicable regulations, our business and results of operations would be harmed and the market price of our common stock could decline.</w:t>
      </w:r>
    </w:p>
    <w:p>
      <w:pPr>
        <w:spacing w:after="0" w:line="51"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For AFREZZA to be commercially viable, we need access to sufficient, reliable and affordable supplies of insulin, our AFREZZA inhaler, the related cartridges and other materials. In June 2009, we purchased from Pfizer, a portion of its inventory of bulk insulin and acquired an option to purchase the remainder of Pfizer’s insulin inventory, in whole or in part, at a specified price to the extent that Pfizer has not otherwise disposed of or used the retained insulin.</w:t>
      </w:r>
    </w:p>
    <w:p>
      <w:pPr>
        <w:spacing w:after="0" w:line="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obtain FDKP, the precursor raw material for AFREZZA, from a major multinational chemical manufacturer. We have completed a successful validation campaign of FDKP at commercial scale. We can also utilize our in-house chemical manufacturing plant for supplemental capacity. We believe our contract manufacturer has the capacity to supply our current clinical and future commercial requirements. We obtain our intended commercial AFREZZA inhaler and cartridges from a plastic molding company located in the United States.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must rely on our suppliers to comply with relevant regulatory and other legal requirements, including the production of insulin in accordance with the FDA’s current good manufacturing practices, or cGMP for drug products, and the production of the AFREZZA inhaler and related cartridges in accordance with Quality System Regulations, or QSR. The supply of any of these materials may be limited or any of the manufacturers may not meet relevant regulatory requirements, and if we are unable to obtain any of these materials in sufficient amounts, in a timely manner and at reasonable prices, or if we should encounter delays or difficulties in our relationships with manufacturers or suppliers, the development or manufacturing of AFREZZA may be delayed. Any such events could delay market introduction and subsequent sales of AFREZZA and, if so, our business and results of operations will be harmed and the market price of our common stock may decline.</w:t>
      </w:r>
    </w:p>
    <w:p>
      <w:pPr>
        <w:spacing w:after="0" w:line="77" w:lineRule="exact"/>
        <w:rPr>
          <w:sz w:val="20"/>
          <w:szCs w:val="20"/>
          <w:color w:val="auto"/>
        </w:rPr>
      </w:pPr>
    </w:p>
    <w:p>
      <w:pPr>
        <w:ind w:right="1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have never manufactured AFREZZA or any other product candidates in commercial quantities, and if we fail to develop an effective manufacturing capability for our product candidates or to engage third-party manufacturers with this capability, we may be unable to commercialize these products.*</w:t>
      </w:r>
    </w:p>
    <w:p>
      <w:pPr>
        <w:spacing w:after="0" w:line="2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use our Danbury facility to formulate AFREZZA, fill plastic cartridges with AFREZZA, blister package the cartridges, place the blister packs into foil bags and package three bags plus two inhalers and the package insert as units in 90-unit boxes (and single bag packs for trials). This facility has been qualified and undergone an inspection by the FDA in connection with our original NDA submission that sought approval of AFREZZA using the MedTone (model D) inhaler. We anticipate that our facility may need to undergo further inspection related to our ability to fill and package cartridges for the next-generation inhaler before we can be approved to manufacture commercially.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If we engage a third-party manufacturer, we would need to transfer our technology to that third-party manufacturer and gain FDA approval, potentially causing delays in product delivery. In addition, our third-party manufacturer may not perform as agreed or may terminate its agreement with us.</w:t>
      </w:r>
    </w:p>
    <w:p>
      <w:pPr>
        <w:spacing w:after="0" w:line="7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Any of these factors could cause us to delay or suspend clinical trials, regulatory submissions or required approvals of our product candidates, could entail higher costs and may result in our being unable to effectively commercialize our products. Furthermore, if we or a third-party manufacturer fail to deliver the required commercial quantities of any product on a timely basis, and at commercially reasonable prices and acceptable quality, and we were unable to promptly find one or more replacement manufacturers capable of production at a substantially equivalent cost, in substantially equivalent volume and quality on a timely basis, we would likely be unable to meet demand for such products and we would lose potential revenues.</w:t>
      </w:r>
    </w:p>
    <w:p>
      <w:pPr>
        <w:spacing w:after="0" w:line="7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certain of our executive officers and directors have been named as defendants in recently initiated securities class actions and derivative lawsuits that could result in substantial costs and divert management’s attention.*</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aware of lawsuits in which we, and certain of our executive officers, have been sued for alleged violations of federal securities laws related to alleged false and misleading statements regarding AFREZZA. We are also aware of state derivative lawsuits that have been filed against certain of our directors and executive officers. We intend to engage in a vigorous defense of such litigation. If we are not successful in our defense of such litigation, we could be forced to make significant payments to or other settlements with our stockholders and their lawyers, and such payments or settlement arrangements could have a material adverse effect on our business, operating results or financial condition. Even if such claims are not successful, the litigation could result in substantial costs and significant adverse impact on our reputation and divert management’s attention and resources, which could have a material adverse effect on our business, operating results or financial condition.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might be interrupted by the occurrence of a natural disaster or other catastrophic event.</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expect that at least for the foreseeable future, our manufacturing facility in Danbury, Connecticut will be the sole location for the manufacturing of AFREZZA. This facility and the manufacturing equipment we use would be costly to replace and could require substantial lead time to repair or replace. We depend on our facilities and on collaborators, contractors and vendors for the continued operation of our business, some of whom are located in Europe. Natural disasters or other catastrophic events, including interruptions in the supply of natural resources, political and governmental changes, severe weather conditions, wildfires and other fires, explosions, actions of animal rights activists, terrorist attacks, volcanic eruptions, earthquakes and wars could disrupt our operations or those of our collaborators, contractors and vendors. Even though we believe we carry commercially reasonable liability insurance and stage-appropriate business interruption insurance, and our contractors may carry liability insurance that protect us in certain events, we might suffer losses as a result of business interruptions that exceed the coverage available under our and our contractors’ insurance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and adversely affect, which may include stopping, our readiness for commercial production.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deal with hazardous materials and must comply with environmental laws and regulations, which can be expensive and restrict how we do business.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research and development work involves the controlled storage and use of hazardous materials, including chemical, radioactive and biological materials. In addition, our manufacturing operations involve the use of a chemical that is stable and non-hazardous under normal storage conditions, but may form an explosive mixture under certain conditions. Our operations also produce hazardous waste products. We are subject to federal, state and local laws and regulations governing how we use, manufacture, store, handle and dispose of these materials.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 million per occurrence and $2 million in the aggregate and is supplemented by an umbrella policy that provides a further $4 million of coverage; however, our insurance policy excludes pollution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w:t>
      </w:r>
    </w:p>
    <w:p>
      <w:pPr>
        <w:spacing w:after="0" w:line="7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When we purchased the facilities located in Danbury, Connecticut in 2001, there was a soil cleanup plan in process. As part of the purchase, we obtained an indemnification from the seller related to the remediation of the soil for all known environmental conditions that existed at the time the seller acquired the property. The seller was, in turn, indemnified for these known environmental conditions by the previous owner. We also received an indemnification from the seller for environmental conditions created during its ownership of the property and for environmental problems unknown at the time that the seller acquired the property. These additional indemnities are limited to the purchase price that we paid for the Danbury facilities.</w:t>
      </w:r>
    </w:p>
    <w:p>
      <w:pPr>
        <w:spacing w:after="0" w:line="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construction of our expanded manufacturing facility, we completed the final stages of the soil cleanup plan in the third quarter of 2008, at a cost of approximately $2.25 million. We reached an agreement with the party responsible for their contribution to past clean-up costs and were reimbursed</w:t>
      </w:r>
    </w:p>
    <w:p>
      <w:pPr>
        <w:ind w:right="40"/>
        <w:spacing w:after="0" w:line="255" w:lineRule="auto"/>
        <w:rPr>
          <w:sz w:val="20"/>
          <w:szCs w:val="20"/>
          <w:color w:val="auto"/>
        </w:rPr>
      </w:pPr>
      <w:r>
        <w:rPr>
          <w:rFonts w:ascii="Times New Roman" w:cs="Times New Roman" w:eastAsia="Times New Roman" w:hAnsi="Times New Roman"/>
          <w:sz w:val="18"/>
          <w:szCs w:val="18"/>
          <w:color w:val="auto"/>
        </w:rPr>
        <w:t>$1.625 million in July 2010. The responsible party has agreed to pay for or indemnify us for any future costs and expenses directly related to the final closure of the environmental remediation. If we are unable to collect these future costs and expenses, if any, from the responsible party, our business and results of operations may be harmed.</w:t>
      </w:r>
    </w:p>
    <w:p>
      <w:pPr>
        <w:spacing w:after="0" w:line="7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enter into collaborations with third parties, we would be required to establish our own sales, marketing and distribution capabilities, which could impact the commercialization of our products and harm our business.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products are intended to be used by a large number of healthcare professionals who will require substantial education and support. For example, a broad base of physicians, including primary care physicians and endocrinologists, treat patients with diabetes. A large sales force will be required in order to educate these physicians about the benefits and advantages of AFREZZA and to provide adequate support for them. Therefore, we plan to enter into collaborations with one or more pharmaceutical companies to market, distribute and sell AFREZZA, if it is approved. If we fail to enter into collaborations, we would be required to establish our own direct sales, marketing and distribution capabilities. Establishing these capabilities can be time-consuming and expensive and would delay our ability to commercialize AFREZZA. Because we lack experience in selling pharmaceutical products to the diabetes market, we would be at a disadvantage compared to our potential competitors, all of whom have substantially more resources and experience than we do. For example, several other companies selling products to treat diabetes have existing sales forces in excess of 1,500 sales representatives. We, acting alone, would not initially be able to field a sales force as large as our competitors or provide the same degree of marketing support. Also, we would not be able to match our competitor’s spending levels for pre-launch marketing preparation, including medical education. We cannot assure you that we will succeed in entering into acceptable collaborations, that any such collaboration will be successful or, if not, that we will successfully develop our own sales, marketing and distribution capabilities.</w:t>
      </w:r>
    </w:p>
    <w:p>
      <w:pPr>
        <w:spacing w:after="0" w:line="7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product that we may develop does not become widely accepted by physicians, patients, third-party payers and the healthcare community, we may be unable to generate significant revenue, if any.</w:t>
      </w:r>
    </w:p>
    <w:p>
      <w:pPr>
        <w:spacing w:after="0" w:line="5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AFREZZA and our other product candidates are new and unproven. Even if any of our product candidates obtain regulatory approval, they may not gain market acceptance among physicians, patients, third-party payers and the healthcare community. Failure to achieve market acceptance would limit our ability to generate revenue and would adversely affect our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degree of market acceptance of AFREZZA and our other product candidates will depend on many factors, including the:</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60" w:hanging="314"/>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claims for which FDA approval can be obtained, including superiority claims;</w:t>
      </w:r>
    </w:p>
    <w:p>
      <w:pPr>
        <w:spacing w:after="0" w:line="130" w:lineRule="exact"/>
        <w:rPr>
          <w:rFonts w:ascii="Times New Roman" w:cs="Times New Roman" w:eastAsia="Times New Roman" w:hAnsi="Times New Roman"/>
          <w:sz w:val="18"/>
          <w:szCs w:val="18"/>
          <w:b w:val="1"/>
          <w:bCs w:val="1"/>
          <w:color w:val="auto"/>
        </w:rPr>
      </w:pPr>
    </w:p>
    <w:p>
      <w:pPr>
        <w:ind w:left="660" w:hanging="314"/>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perceived advantages and disadvantages of competitive products;</w:t>
      </w:r>
    </w:p>
    <w:p>
      <w:pPr>
        <w:spacing w:after="0" w:line="130" w:lineRule="exact"/>
        <w:rPr>
          <w:rFonts w:ascii="Times New Roman" w:cs="Times New Roman" w:eastAsia="Times New Roman" w:hAnsi="Times New Roman"/>
          <w:sz w:val="18"/>
          <w:szCs w:val="18"/>
          <w:b w:val="1"/>
          <w:bCs w:val="1"/>
          <w:color w:val="auto"/>
        </w:rPr>
      </w:pPr>
    </w:p>
    <w:p>
      <w:pPr>
        <w:ind w:left="660" w:hanging="314"/>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willingness of the healthcare community and patients to adopt new technologies;</w:t>
      </w:r>
    </w:p>
    <w:p>
      <w:pPr>
        <w:spacing w:after="0" w:line="130" w:lineRule="exact"/>
        <w:rPr>
          <w:rFonts w:ascii="Times New Roman" w:cs="Times New Roman" w:eastAsia="Times New Roman" w:hAnsi="Times New Roman"/>
          <w:sz w:val="18"/>
          <w:szCs w:val="18"/>
          <w:b w:val="1"/>
          <w:bCs w:val="1"/>
          <w:color w:val="auto"/>
        </w:rPr>
      </w:pPr>
    </w:p>
    <w:p>
      <w:pPr>
        <w:ind w:left="660" w:hanging="314"/>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ability to manufacture the product in sufficient quantities with acceptable quality and cost;</w:t>
      </w:r>
    </w:p>
    <w:p>
      <w:pPr>
        <w:spacing w:after="0" w:line="130" w:lineRule="exact"/>
        <w:rPr>
          <w:rFonts w:ascii="Times New Roman" w:cs="Times New Roman" w:eastAsia="Times New Roman" w:hAnsi="Times New Roman"/>
          <w:sz w:val="18"/>
          <w:szCs w:val="18"/>
          <w:b w:val="1"/>
          <w:bCs w:val="1"/>
          <w:color w:val="auto"/>
        </w:rPr>
      </w:pPr>
    </w:p>
    <w:p>
      <w:pPr>
        <w:ind w:left="660" w:hanging="314"/>
        <w:spacing w:after="0" w:line="282" w:lineRule="auto"/>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perception of patients and the healthcare community, including third-party payers, regarding the safety, efficacy and benefits compared to competing products or therapies;</w:t>
      </w:r>
    </w:p>
    <w:p>
      <w:pPr>
        <w:spacing w:after="0" w:line="67" w:lineRule="exact"/>
        <w:rPr>
          <w:rFonts w:ascii="Times New Roman" w:cs="Times New Roman" w:eastAsia="Times New Roman" w:hAnsi="Times New Roman"/>
          <w:sz w:val="18"/>
          <w:szCs w:val="18"/>
          <w:b w:val="1"/>
          <w:bCs w:val="1"/>
          <w:color w:val="auto"/>
        </w:rPr>
      </w:pPr>
    </w:p>
    <w:p>
      <w:pPr>
        <w:ind w:left="660" w:hanging="314"/>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convenience and ease of administration relative to existing treatment methods;</w:t>
      </w:r>
    </w:p>
    <w:p>
      <w:pPr>
        <w:spacing w:after="0" w:line="130" w:lineRule="exact"/>
        <w:rPr>
          <w:rFonts w:ascii="Times New Roman" w:cs="Times New Roman" w:eastAsia="Times New Roman" w:hAnsi="Times New Roman"/>
          <w:sz w:val="18"/>
          <w:szCs w:val="18"/>
          <w:b w:val="1"/>
          <w:bCs w:val="1"/>
          <w:color w:val="auto"/>
        </w:rPr>
      </w:pPr>
    </w:p>
    <w:p>
      <w:pPr>
        <w:ind w:left="660" w:hanging="314"/>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pricing and reimbursement relative to other treatment therapeutics and methods; and</w:t>
      </w:r>
    </w:p>
    <w:p>
      <w:pPr>
        <w:spacing w:after="0" w:line="130" w:lineRule="exact"/>
        <w:rPr>
          <w:rFonts w:ascii="Times New Roman" w:cs="Times New Roman" w:eastAsia="Times New Roman" w:hAnsi="Times New Roman"/>
          <w:sz w:val="18"/>
          <w:szCs w:val="18"/>
          <w:b w:val="1"/>
          <w:bCs w:val="1"/>
          <w:color w:val="auto"/>
        </w:rPr>
      </w:pPr>
    </w:p>
    <w:p>
      <w:pPr>
        <w:ind w:left="660" w:hanging="314"/>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marketing and distribution support.</w:t>
      </w:r>
    </w:p>
    <w:p>
      <w:pPr>
        <w:spacing w:after="0" w:line="11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Because of these and other factors, any product that we may develop may not gain market acceptance, which would materially harm our business, financial condition and results of operations.</w:t>
      </w:r>
    </w:p>
    <w:p>
      <w:pPr>
        <w:spacing w:after="0" w:line="50"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third-party payers do not reimburse consumers for our products, our products might not be used or purchased, which would adversely affect our revenues.</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future revenues and potential for profitability may be affected by the continuing efforts of governments and third-party payers to contain or reduce the costs of healthcare through various means. For example, in certain foreign markets the pricing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payers for healthcare goods and services may take in response to any drug pricing reform proposals or legislation. Such reforms may make it difficult to complete the development and testing of AFREZZA and our other product candidates, and therefore may limit our ability to generate revenues from sales of our product candidates and achieve profitability. Further, to the extent that such reforms have a material adverse effect on the business, financial condition and profitability of other companies that are prospective collaborators for some of our product candidates, our ability to commercialize our product candidates under development may be adversely affected.</w:t>
      </w:r>
    </w:p>
    <w:p>
      <w:pPr>
        <w:spacing w:after="0" w:line="8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the United States and elsewhere, sales of prescription pharmaceuticals still depend in large part on the availability of reimbursement to the consumer from third-party payers, such as governmental and private insurance plans. Third-party payers are increasingly challenging the prices charged for medical products and services. In addition, because each third-party payer individually approves reimbursement, obtaining these approvals is a time-consuming and costly process. We would be required to provide scientific and clinical support for the use of any product to each third-party payer separately with no assurance that approval would be obtained. This process could delay the market acceptance of any product and could have a negative effect on our future revenues and operating results. Even if we succeed in bringing one or more products to market, we cannot be certain that any such products would be considered cost-effective or that reimbursement to the consumer would be available, in which case our business and results of operations would be harmed and the market price of our common stock could decline.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product liability claims are brought against us, we may incur significant liabilities and suffer damage to our reputation.</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testing, manufacturing, marketing and sale of AFREZZA and our other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trial volunteers and loss of revenues. We currently carry worldwide liability insurance in the amount of $10 million. We believe these limits are reasonable to cover us from potential damages arising from current and previous clinical trials of AFREZZA. In addition, we carry local policies per trial in each country in which we conduct clinical trials that require us to carry coverage based on local statutory requirements. We intend to obtain product liability coverage for commercial sales in the future if AFREZZA is approved. However, we may not be able to obtain insurance coverage that will be adequate to satisfy any liability that may arise, and because insurance coverage in our industry can be very expensive and difficult to obtain, we cannot assure you that we will be able to obtain sufficient coverage at an acceptable cost, if at all. If losses from such claims exceed our liability insurance coverage, we may ourselves incur substantial liabilities. If we are required to pay a product liability claim our business and results of operations would be harmed and the market price of our common stock may decline.</w:t>
      </w:r>
    </w:p>
    <w:p>
      <w:pPr>
        <w:spacing w:after="0" w:line="1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lose any key employees or scientific advisors, our operations and our ability to execute our business strategy could be materially harmed.</w:t>
      </w:r>
    </w:p>
    <w:p>
      <w:pPr>
        <w:spacing w:after="0" w:line="121"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In order to commercialize our product candidates successfully, we will be required to expand our work force, particularly in the areas of manufacturing, clinical trials management, regulatory affairs, business development, and sales and marketing. These activities will require the addition of new personnel, including management, and the development of additional expertise by existing personnel. 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w:t>
      </w:r>
    </w:p>
    <w:p>
      <w:pPr>
        <w:spacing w:after="0" w:line="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loss of the services of any principal member of our management and scientific staff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our product candidates successfully.</w:t>
      </w:r>
    </w:p>
    <w:p>
      <w:pPr>
        <w:spacing w:after="0" w:line="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our product candidates.</w:t>
      </w:r>
    </w:p>
    <w:p>
      <w:pPr>
        <w:spacing w:after="0" w:line="7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Chairman and Chief Executive Officer is unable to devote sufficient time and attention to our business, our operations and our ability to execute our business strategy could be materially harmed.</w:t>
      </w:r>
    </w:p>
    <w:p>
      <w:pPr>
        <w:spacing w:after="0" w:line="5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Alfred Mann, our Chairman and Chief Executive Officer, is involved in many other business and charitable activities. As a result, the time and attention Mr. Mann devotes to the operation of our business varies, and he may not expend the same time or focus on our activities as other, similarly situated chief executive officers. If Mr. Mann is unable to devote the time and attention necessary to running our business, we may not be able to execute our business strategy and our business could be materially harmed.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internal controls over financial reporting are not considered effective, our business and stock price could be adversely affected.</w:t>
      </w:r>
    </w:p>
    <w:p>
      <w:pPr>
        <w:spacing w:after="0" w:line="121"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our internal controls over financial reporting.</w:t>
      </w:r>
    </w:p>
    <w:p>
      <w:pPr>
        <w:spacing w:after="0" w:line="7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and on the market price of our common stock.</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APPROVALS</w:t>
      </w:r>
    </w:p>
    <w:p>
      <w:pPr>
        <w:spacing w:after="0" w:line="11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must undergo rigorous nonclinical and clinical testing and we must obtain regulatory approvals, which could be costly and time-consuming and subject us to unanticipated delays or prevent us from marketing any products.</w:t>
      </w:r>
    </w:p>
    <w:p>
      <w:pPr>
        <w:spacing w:after="0" w:line="51" w:lineRule="exact"/>
        <w:rPr>
          <w:sz w:val="20"/>
          <w:szCs w:val="20"/>
          <w:color w:val="auto"/>
        </w:rPr>
      </w:pPr>
    </w:p>
    <w:p>
      <w:pPr>
        <w:jc w:val="both"/>
        <w:ind w:right="720"/>
        <w:spacing w:after="0" w:line="266" w:lineRule="auto"/>
        <w:rPr>
          <w:sz w:val="20"/>
          <w:szCs w:val="20"/>
          <w:color w:val="auto"/>
        </w:rPr>
      </w:pPr>
      <w:r>
        <w:rPr>
          <w:rFonts w:ascii="Times New Roman" w:cs="Times New Roman" w:eastAsia="Times New Roman" w:hAnsi="Times New Roman"/>
          <w:sz w:val="18"/>
          <w:szCs w:val="18"/>
          <w:color w:val="auto"/>
        </w:rPr>
        <w:t>Our research and development activities, as well as the manufacturing and marketing of our product candidates, including AFREZZA,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68" w:lineRule="exact"/>
        <w:rPr>
          <w:sz w:val="20"/>
          <w:szCs w:val="20"/>
          <w:color w:val="auto"/>
        </w:rPr>
      </w:pPr>
    </w:p>
    <w:p>
      <w:pPr>
        <w:ind w:left="660" w:hanging="314"/>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product design, development, manufacture and testing;</w:t>
      </w:r>
    </w:p>
    <w:p>
      <w:pPr>
        <w:spacing w:after="0" w:line="130" w:lineRule="exact"/>
        <w:rPr>
          <w:rFonts w:ascii="Times New Roman" w:cs="Times New Roman" w:eastAsia="Times New Roman" w:hAnsi="Times New Roman"/>
          <w:sz w:val="18"/>
          <w:szCs w:val="18"/>
          <w:b w:val="1"/>
          <w:bCs w:val="1"/>
          <w:color w:val="auto"/>
        </w:rPr>
      </w:pPr>
    </w:p>
    <w:p>
      <w:pPr>
        <w:ind w:left="660" w:hanging="314"/>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product labeling;</w:t>
      </w:r>
    </w:p>
    <w:p>
      <w:pPr>
        <w:spacing w:after="0" w:line="130" w:lineRule="exact"/>
        <w:rPr>
          <w:rFonts w:ascii="Times New Roman" w:cs="Times New Roman" w:eastAsia="Times New Roman" w:hAnsi="Times New Roman"/>
          <w:sz w:val="18"/>
          <w:szCs w:val="18"/>
          <w:b w:val="1"/>
          <w:bCs w:val="1"/>
          <w:color w:val="auto"/>
        </w:rPr>
      </w:pPr>
    </w:p>
    <w:p>
      <w:pPr>
        <w:ind w:left="660" w:hanging="314"/>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product storage and shipping;</w:t>
      </w:r>
    </w:p>
    <w:p>
      <w:pPr>
        <w:spacing w:after="0" w:line="130" w:lineRule="exact"/>
        <w:rPr>
          <w:rFonts w:ascii="Times New Roman" w:cs="Times New Roman" w:eastAsia="Times New Roman" w:hAnsi="Times New Roman"/>
          <w:sz w:val="18"/>
          <w:szCs w:val="18"/>
          <w:b w:val="1"/>
          <w:bCs w:val="1"/>
          <w:color w:val="auto"/>
        </w:rPr>
      </w:pPr>
    </w:p>
    <w:p>
      <w:pPr>
        <w:ind w:left="660" w:hanging="314"/>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pre-market clearance or approval;</w:t>
      </w:r>
    </w:p>
    <w:p>
      <w:pPr>
        <w:spacing w:after="0" w:line="130" w:lineRule="exact"/>
        <w:rPr>
          <w:rFonts w:ascii="Times New Roman" w:cs="Times New Roman" w:eastAsia="Times New Roman" w:hAnsi="Times New Roman"/>
          <w:sz w:val="18"/>
          <w:szCs w:val="18"/>
          <w:b w:val="1"/>
          <w:bCs w:val="1"/>
          <w:color w:val="auto"/>
        </w:rPr>
      </w:pPr>
    </w:p>
    <w:p>
      <w:pPr>
        <w:ind w:left="660" w:hanging="314"/>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advertising and promotion; and</w:t>
      </w:r>
    </w:p>
    <w:p>
      <w:pPr>
        <w:spacing w:after="0" w:line="130" w:lineRule="exact"/>
        <w:rPr>
          <w:rFonts w:ascii="Times New Roman" w:cs="Times New Roman" w:eastAsia="Times New Roman" w:hAnsi="Times New Roman"/>
          <w:sz w:val="18"/>
          <w:szCs w:val="18"/>
          <w:b w:val="1"/>
          <w:bCs w:val="1"/>
          <w:color w:val="auto"/>
        </w:rPr>
      </w:pPr>
    </w:p>
    <w:p>
      <w:pPr>
        <w:ind w:left="660" w:hanging="314"/>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product sales and distribution.</w:t>
      </w:r>
    </w:p>
    <w:p>
      <w:pPr>
        <w:spacing w:after="0" w:line="11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Clinical testing can be costly and take many years, and the outcome is uncertain and susceptible to varying interpretations. We cannot be certain if or when the FDA might request additional studies, under what conditions such studies might be requested, or what the size or length of any such studies might be. The clinical trials of our product candidates may not be completed on schedule, the FDA or foreign regulatory agencies may order us to stop or modify our research, or these agencies may not ultimately approve any of our product candidates for commercial sale. The data collected from our clinical trials may not be sufficient to support regulatory approval of our various product candidates, including AFREZZA. Even if we believe the data collected from our clinical trials are sufficient, the FDA has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7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requirements governing the conduct of clinical trials and manufacturing and marketing of our product candidates, including AFREZZA, outside the United States vary widely from country to country. Foreign approvals may take longer to obtain than FDA approvals and can require, among other things, additional testing and different clinical trial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process of obtaining FDA and other required regulatory approvals, including foreign approvals, is expensive, often takes many years and can vary substantially based upon the type, complexity and novelty of the products involved. We are not aware of any precedent for the successful commercialization of products based on our technology. In January 2006, the FDA approved the first pulmonary insulin product, Exubera. This approval has had an impact on and notwithstanding the voluntary withdrawal of the product from the market by its manufacturer could still impact the development and registration of AFREZZA in different ways. For example, Exubera may be used as a reference for safety and efficacy evaluations of AFREZZA, and the approval standards set for Exubera may be applied to other products that follow, including AFREZZA.</w:t>
      </w:r>
    </w:p>
    <w:p>
      <w:pPr>
        <w:spacing w:after="0" w:line="80"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The FDA has advised us that it will regulate AFREZZA as a “combination product” because of the complex nature of the system that includes the combination of a new drug (AFREZZA) and a new medical device (the inhaler used to administer the insulin). The FDA indicated that the review of our NDA for AFREZZA will involve several separate review groups of the FDA including: (1) the Metabolic and Endocrine Drug Products Division; (2) the Pulmonary Drug Products Division; and (3) the Center for Devices and Radiological Health, which reviews medical devices. The Metabolic and Endocrine Drug Products Division is the lead group and obtains consulting reviews from the other two FDA groups. We can make no assurances at this time about what impact FDA review by multiple groups will have on the approvability of our product or that we will obtain approval of the NDA in a timely manner or at all.</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Also, questions that have been raised about the safety of marketed drugs generally, including pertaining to the lack of adequate labeling, may result in increased cautiousness by the FDA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 FDA review of AFREZZA as a combination product may lengthen the product development and regulatory approval process, increase our development costs and delay or prevent the commercialization of AFREZZA. Our product candidates that are currently in development for the treatment of cancer also face similar obstacles and costs.</w:t>
      </w:r>
    </w:p>
    <w:p>
      <w:pPr>
        <w:spacing w:after="0" w:line="7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only limited experience in filing and pursuing applications necessary to gain regulatory approvals, which may impede our ability to obtain timely approvals from the FDA or foreign regulatory agencies, if at all.</w:t>
      </w:r>
    </w:p>
    <w:p>
      <w:pPr>
        <w:spacing w:after="0" w:line="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will not be able to commercialize AFREZZA or any other product candidates until we have obtained regulatory approval. Until we prepared and submitted our NDA for AFREZZA, we had no experience as a company in late-stage regulatory filings, such as preparing and submitting NDAs, which may place us at risk of delays, overspending and human resources inefficiencies. Any delay in obtaining, or inability to obtain, regulatory approval could harm our business.</w:t>
      </w:r>
    </w:p>
    <w:p>
      <w:pPr>
        <w:spacing w:after="0" w:line="68"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comply with regulatory requirements at any stage, whether before or after marketing approval is obtained, we may be subject to criminal prosecution, fined or forced to remove a product from the market or experience other adverse consequences, including restrictions or delays in obtaining regulatory marketing approval.</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Even if we comply with regulatory requirements, we may not be able to obtain the labeling claims necessary or desirable for product promotion. We may also be required to undertake post-marketing trials. In addition, if we or other parties identify adverse effects after any of our products are on the market, or if manufacturing problems occur, regulatory approval may be withdrawn and a reformulation of our products, additional clinical trials, changes in labeling of, or indications of use for, our products and/or additional marketing applications may be required. If we encounter any of the foregoing problems, our business and results of operations will be harmed and the market price of our common stock may decline.</w:t>
      </w:r>
    </w:p>
    <w:p>
      <w:pPr>
        <w:spacing w:after="0" w:line="7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our product candidates, such approval may be limited and we will be subject to stringent, ongoing government regulation.</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Even if regulatory authorities approve any of our product candidates, they could approve less than the full scope of uses or labeling that we seek or otherwise require special warnings or other restrictions on use or marketing or could require potentially costly post-marketing follow-up clinical trials. Regulatory authorities may limit the segments of the diabetes population to which we or others may market AFREZZA or limit the target population for our other product candidates. Based on currently available clinical studies, we believe that AFREZZA may have certain advantages over currently approved insulin products including its approximation of the natural early insulin secretion normally seen in healthy individuals following the beginning of a meal. Nonetheless, there are no assurances that these or any other advantages of AFREZZA will be agreed to by the FDA or otherwise included in product labeling or advertising and, as a result, AFREZZA may not have our expected competitive advantages when compared to other insulin products.</w:t>
      </w:r>
    </w:p>
    <w:p>
      <w:pPr>
        <w:spacing w:after="0" w:line="8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manufacture, marketing and sale of any of our product candidates will be subject to stringent and ongoing government regulation. The FDA may also withdraw product approvals if problems concerning the safety or efficacy of a product appear following approval. We cannot be sure that FDA and United States Congressional initiatives pertaining to ensuring the safety of marketed drugs or other developments pertaining to the pharmaceutical industry will not adversely affect our operations.</w:t>
      </w:r>
    </w:p>
    <w:p>
      <w:pPr>
        <w:spacing w:after="0" w:line="7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If our facilities, or the facilities of our manufacturers or suppliers, cannot pass a preapproval plant inspection, the FDA will not approve the marketing of our product candidates.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recalls), promotion and advertising and general prohibitions against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and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suppliers will be subject to FDA inspection before the agency approves an NDA for AFREZZA.</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When we are required to find a new or additional supplier of insulin, we will be required to evaluate the new supplier’s ability to provide insulin that meets regulatory requirements, including cGMP requirements as well as our specifications and quality requirements, which would require significant time and expense and could delay the manufacturing and future commercialization of AFREZZA. We also depend on suppliers for other materials that comprise AFREZZA, including our AFREZZA inhaler and cartridges. Each supplier must comply with relevant regulatory requirements including QSR, and is subject to inspection by the FDA. There can be no assurance, in the conduct of an inspection of any of our suppliers, that the agency would find that the supplier substantially complies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73"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Reports of side effects or safety concerns in related technology fields or in other companies’ clinical trials could delay or prevent us from obtaining regulatory approval or negatively impact public perception of our product candidates.</w:t>
      </w:r>
    </w:p>
    <w:p>
      <w:pPr>
        <w:spacing w:after="0" w:line="5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At present, there are a number of clinical trials being conducted by us and other pharmaceutical companies involving insulin delivery systems. If we discover that AFREZZA is associated with a significantly increased frequency of adverse events, or if other pharmaceutical companies announce that they observed frequent adverse events in their trials involving insulin therapies, we could encounter delays in the timing of our clinical trials or difficulties in obtaining approval of AFREZZA. As well, the public perception of AFREZZA might be adversely affected, which could harm our business and results of operations and cause the market price of our common stock to decline, even if the concern relates to another company’s products or product candidates.</w:t>
      </w:r>
    </w:p>
    <w:p>
      <w:pPr>
        <w:spacing w:after="0" w:line="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There are also a number of clinical trials being conducted by other pharmaceutical companies involving compounds similar to, or competitive with, our other product candidates. Adverse results reported by these other companies in their clinical trials could delay or prevent us from obtaining regulatory approval or negatively impact public perception of our product candidates, which could harm our business and results of operations and cause the market price of our common stock to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proprietary rights, we may not be able to compete effectively, or operate profitably.</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8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Moreover,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re-examinations in the United States. If we attempt to enforce our patents, they may be challenged in court where they could be held invalid, unenforceable, or have their breadth narrowed to an extent that would destroy their value.</w:t>
      </w:r>
    </w:p>
    <w:p>
      <w:pPr>
        <w:spacing w:after="0" w:line="7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We also execute confidentiality agreements with outside collaborators. There can be no assurance, however, that these agreements will provide meaningful protection for our inventions, trade secrets, know-how or other proprietary information in the event of unauthorized use or disclosure of such information. If any trade secret, know-how or other</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technology not protected by a patent were to be disclosed to or independently developed by a competitor, our business, results of operations and financial condition could be adversely affected.</w:t>
      </w:r>
    </w:p>
    <w:p>
      <w:pPr>
        <w:spacing w:after="0" w:line="50"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Interference proceedings brought by the U.S. Patent and Trademark Office may be necessary to determine the priority of inventions with respect to our patent applications or those of our collaborators or licensors. Litigation or interference proceedings may fail and, even if successful, may result in substantial costs and be a distraction to our management. We may not be able, alone or with our collaborators and licensors, to prevent misappropriation of our proprietary rights, particularly in countries where the laws may not protect such rights as fully as in the United States. We may not prevail in any litigation or interference proceeding in which we are involved. Even if we do prevail, these proceedings can be very expensive and distract our management.</w:t>
      </w:r>
    </w:p>
    <w:p>
      <w:pPr>
        <w:spacing w:after="0" w:line="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6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w:t>
      </w:r>
    </w:p>
    <w:p>
      <w:pPr>
        <w:spacing w:after="0" w:line="5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Over the past three decades the number of patents issued to biotechnology companies has expanded dramatically.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6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Moreover, certain components of AFREZZA and/or our cancer vaccines may be manufactured outside the United States and imported into the United States. As such, third parties could file complaints under 19 U.S.C. Section 337(a)(1)(B), or a 337 action, with the International Trade Commission, or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into the United States. We also may not be able to develop a non-infringing product design on commercially reasonable terms, or at all.</w:t>
      </w:r>
    </w:p>
    <w:p>
      <w:pPr>
        <w:spacing w:after="0" w:line="11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Although we own a number of domestic and foreign patents and patent applications relating to AFREZZA and cancer vaccine products under development, we have identified certain third-party patents having claims relating to pulmonary insulin delivery that may trigger an allegation of infringement upon the commercial manufacture and sale of AFREZZA, as well as third-party patents disclosing methods of use and compositions of matter related to cancer vaccines that also may trigger an allegation of infringement upon the commercial manufacture and sale of our cancer immunotherapy. If a court were to determine that our insulin products or cancer therapies were infringing any of these patent rights, we would have to establish with the court that these patents were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would be harmed and our profitability could be materially adversely impacted.</w:t>
      </w:r>
    </w:p>
    <w:p>
      <w:pPr>
        <w:spacing w:after="0" w:line="8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and results of operations and cause the market price of our common stock to decline.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obtain trademark registrations for our potential trade names.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not selected trade names for some of our product candidates; therefore, we have not filed trademark registrations for all of our potential trade names for our product candidates in all jurisdictions, nor can we assure that we will be granted registration of those potential trade names for which we have filed. Although we intend to defend any opposition to our trademark registrations, no assurance can be given that any of our trademarks will be registered in the United States or elsewhere or that the use of any of our trademarks will confer a competitive advantage in the marketplace. 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volatile.</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stock market, particularly in recent years, has experienced significant volatility particularly with respect to pharmaceutical and biotechnology stocks, and this trend may continue.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68" w:lineRule="exact"/>
        <w:rPr>
          <w:sz w:val="20"/>
          <w:szCs w:val="20"/>
          <w:color w:val="auto"/>
        </w:rPr>
      </w:pPr>
    </w:p>
    <w:p>
      <w:pPr>
        <w:ind w:left="660" w:hanging="314"/>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progress and results of our clinical trials;</w:t>
      </w:r>
    </w:p>
    <w:p>
      <w:pPr>
        <w:spacing w:after="0" w:line="130" w:lineRule="exact"/>
        <w:rPr>
          <w:rFonts w:ascii="Times New Roman" w:cs="Times New Roman" w:eastAsia="Times New Roman" w:hAnsi="Times New Roman"/>
          <w:sz w:val="18"/>
          <w:szCs w:val="18"/>
          <w:b w:val="1"/>
          <w:bCs w:val="1"/>
          <w:color w:val="auto"/>
        </w:rPr>
      </w:pPr>
    </w:p>
    <w:p>
      <w:pPr>
        <w:ind w:left="660" w:hanging="314"/>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 economic, political or stock market conditions;</w:t>
      </w:r>
    </w:p>
    <w:p>
      <w:pPr>
        <w:spacing w:after="0" w:line="130" w:lineRule="exact"/>
        <w:rPr>
          <w:rFonts w:ascii="Times New Roman" w:cs="Times New Roman" w:eastAsia="Times New Roman" w:hAnsi="Times New Roman"/>
          <w:sz w:val="18"/>
          <w:szCs w:val="18"/>
          <w:b w:val="1"/>
          <w:bCs w:val="1"/>
          <w:color w:val="auto"/>
        </w:rPr>
      </w:pPr>
    </w:p>
    <w:p>
      <w:pPr>
        <w:ind w:left="660" w:hanging="314"/>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legislative developments;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60" w:right="40" w:hanging="314"/>
        <w:spacing w:after="0" w:line="282" w:lineRule="auto"/>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announcements by us or our competitors concerning clinical trial results, acquisitions, strategic alliances, technological innovations, newly approved commercial products, product discontinuations, or other developments;</w:t>
      </w:r>
    </w:p>
    <w:p>
      <w:pPr>
        <w:spacing w:after="0" w:line="67" w:lineRule="exact"/>
        <w:rPr>
          <w:rFonts w:ascii="Times New Roman" w:cs="Times New Roman" w:eastAsia="Times New Roman" w:hAnsi="Times New Roman"/>
          <w:sz w:val="18"/>
          <w:szCs w:val="18"/>
          <w:b w:val="1"/>
          <w:bCs w:val="1"/>
          <w:color w:val="auto"/>
        </w:rPr>
      </w:pPr>
    </w:p>
    <w:p>
      <w:pPr>
        <w:ind w:left="660" w:hanging="314"/>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availability of critical materials used in developing and manufacturing AFREZZA or other product candidates;</w:t>
      </w:r>
    </w:p>
    <w:p>
      <w:pPr>
        <w:spacing w:after="0" w:line="130" w:lineRule="exact"/>
        <w:rPr>
          <w:rFonts w:ascii="Times New Roman" w:cs="Times New Roman" w:eastAsia="Times New Roman" w:hAnsi="Times New Roman"/>
          <w:sz w:val="18"/>
          <w:szCs w:val="18"/>
          <w:b w:val="1"/>
          <w:bCs w:val="1"/>
          <w:color w:val="auto"/>
        </w:rPr>
      </w:pPr>
    </w:p>
    <w:p>
      <w:pPr>
        <w:ind w:left="660" w:hanging="314"/>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developments or disputes concerning our patents or proprietary rights;</w:t>
      </w:r>
    </w:p>
    <w:p>
      <w:pPr>
        <w:spacing w:after="0" w:line="130" w:lineRule="exact"/>
        <w:rPr>
          <w:rFonts w:ascii="Times New Roman" w:cs="Times New Roman" w:eastAsia="Times New Roman" w:hAnsi="Times New Roman"/>
          <w:sz w:val="18"/>
          <w:szCs w:val="18"/>
          <w:b w:val="1"/>
          <w:bCs w:val="1"/>
          <w:color w:val="auto"/>
        </w:rPr>
      </w:pPr>
    </w:p>
    <w:p>
      <w:pPr>
        <w:ind w:left="660" w:hanging="314"/>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expense and time associated with, and the extent of our ultimate success in, securing regulatory approvals;</w:t>
      </w:r>
    </w:p>
    <w:p>
      <w:pPr>
        <w:spacing w:after="0" w:line="130" w:lineRule="exact"/>
        <w:rPr>
          <w:rFonts w:ascii="Times New Roman" w:cs="Times New Roman" w:eastAsia="Times New Roman" w:hAnsi="Times New Roman"/>
          <w:sz w:val="18"/>
          <w:szCs w:val="18"/>
          <w:b w:val="1"/>
          <w:bCs w:val="1"/>
          <w:color w:val="auto"/>
        </w:rPr>
      </w:pPr>
    </w:p>
    <w:p>
      <w:pPr>
        <w:ind w:left="660" w:hanging="314"/>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announcements by us concerning our financial condition or operating performance;</w:t>
      </w:r>
    </w:p>
    <w:p>
      <w:pPr>
        <w:spacing w:after="0" w:line="130" w:lineRule="exact"/>
        <w:rPr>
          <w:rFonts w:ascii="Times New Roman" w:cs="Times New Roman" w:eastAsia="Times New Roman" w:hAnsi="Times New Roman"/>
          <w:sz w:val="18"/>
          <w:szCs w:val="18"/>
          <w:b w:val="1"/>
          <w:bCs w:val="1"/>
          <w:color w:val="auto"/>
        </w:rPr>
      </w:pPr>
    </w:p>
    <w:p>
      <w:pPr>
        <w:ind w:left="660" w:hanging="314"/>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securities analysts’ estimates of our financial condition or operating performance;</w:t>
      </w:r>
    </w:p>
    <w:p>
      <w:pPr>
        <w:spacing w:after="0" w:line="130" w:lineRule="exact"/>
        <w:rPr>
          <w:rFonts w:ascii="Times New Roman" w:cs="Times New Roman" w:eastAsia="Times New Roman" w:hAnsi="Times New Roman"/>
          <w:sz w:val="18"/>
          <w:szCs w:val="18"/>
          <w:b w:val="1"/>
          <w:bCs w:val="1"/>
          <w:color w:val="auto"/>
        </w:rPr>
      </w:pPr>
    </w:p>
    <w:p>
      <w:pPr>
        <w:ind w:left="660" w:hanging="314"/>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 market conditions and fluctuations for emerging growth and pharmaceutical market sectors;</w:t>
      </w:r>
    </w:p>
    <w:p>
      <w:pPr>
        <w:spacing w:after="0" w:line="130" w:lineRule="exact"/>
        <w:rPr>
          <w:rFonts w:ascii="Times New Roman" w:cs="Times New Roman" w:eastAsia="Times New Roman" w:hAnsi="Times New Roman"/>
          <w:sz w:val="18"/>
          <w:szCs w:val="18"/>
          <w:b w:val="1"/>
          <w:bCs w:val="1"/>
          <w:color w:val="auto"/>
        </w:rPr>
      </w:pPr>
    </w:p>
    <w:p>
      <w:pPr>
        <w:ind w:left="660" w:right="280" w:hanging="314"/>
        <w:spacing w:after="0" w:line="282" w:lineRule="auto"/>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issuance and sale of our common stock pursuant to the Seaside purchase agreement and the Mann purchase agreement over the terms of these agreements;</w:t>
      </w:r>
    </w:p>
    <w:p>
      <w:pPr>
        <w:spacing w:after="0" w:line="67" w:lineRule="exact"/>
        <w:rPr>
          <w:rFonts w:ascii="Times New Roman" w:cs="Times New Roman" w:eastAsia="Times New Roman" w:hAnsi="Times New Roman"/>
          <w:sz w:val="18"/>
          <w:szCs w:val="18"/>
          <w:b w:val="1"/>
          <w:bCs w:val="1"/>
          <w:color w:val="auto"/>
        </w:rPr>
      </w:pPr>
    </w:p>
    <w:p>
      <w:pPr>
        <w:ind w:left="660" w:hanging="314"/>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sales of large blocks of our common stock, including sales by our executive officers, directors and significant stockholders;</w:t>
      </w:r>
    </w:p>
    <w:p>
      <w:pPr>
        <w:spacing w:after="0" w:line="130" w:lineRule="exact"/>
        <w:rPr>
          <w:rFonts w:ascii="Times New Roman" w:cs="Times New Roman" w:eastAsia="Times New Roman" w:hAnsi="Times New Roman"/>
          <w:sz w:val="18"/>
          <w:szCs w:val="18"/>
          <w:b w:val="1"/>
          <w:bCs w:val="1"/>
          <w:color w:val="auto"/>
        </w:rPr>
      </w:pPr>
    </w:p>
    <w:p>
      <w:pPr>
        <w:ind w:left="660" w:hanging="314"/>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status of litigation against us and certain of our executive officers and directors;</w:t>
      </w:r>
    </w:p>
    <w:p>
      <w:pPr>
        <w:spacing w:after="0" w:line="130" w:lineRule="exact"/>
        <w:rPr>
          <w:rFonts w:ascii="Times New Roman" w:cs="Times New Roman" w:eastAsia="Times New Roman" w:hAnsi="Times New Roman"/>
          <w:sz w:val="18"/>
          <w:szCs w:val="18"/>
          <w:b w:val="1"/>
          <w:bCs w:val="1"/>
          <w:color w:val="auto"/>
        </w:rPr>
      </w:pPr>
    </w:p>
    <w:p>
      <w:pPr>
        <w:ind w:left="660" w:right="160" w:hanging="314"/>
        <w:spacing w:after="0" w:line="282" w:lineRule="auto"/>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existence of, and the issuance of shares of our common stock pursuant to, the share lending agreement and the short sales of our common stock effected in connection with the recently-completed sale of our 5.75% convertible notes due 2015; and</w:t>
      </w:r>
    </w:p>
    <w:p>
      <w:pPr>
        <w:spacing w:after="0" w:line="67" w:lineRule="exact"/>
        <w:rPr>
          <w:rFonts w:ascii="Times New Roman" w:cs="Times New Roman" w:eastAsia="Times New Roman" w:hAnsi="Times New Roman"/>
          <w:sz w:val="18"/>
          <w:szCs w:val="18"/>
          <w:b w:val="1"/>
          <w:bCs w:val="1"/>
          <w:color w:val="auto"/>
        </w:rPr>
      </w:pPr>
    </w:p>
    <w:p>
      <w:pPr>
        <w:ind w:left="660" w:right="100" w:hanging="314"/>
        <w:spacing w:after="0" w:line="261" w:lineRule="auto"/>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discussion of AFREZZA, our other product candidates, competitors’ products, or our stock price by the financial and scientific press, the healthcare community and online investor communities such as chat rooms. In particular, statements about us and our investigational products that appear on interactive websites that permit users to generate content anonymously or under a pseudonym may be difficult to verify and statements attributed to company officials may, in fact, have originated elsewhere.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risks, as well as other factors, could cause the market price of our common stock to decline.</w:t>
      </w:r>
    </w:p>
    <w:p>
      <w:pPr>
        <w:spacing w:after="0" w:line="11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other biotechnology and biopharmaceutical companies or the securities markets in general encounter problems, the market price of our common stock could be adversely affected.</w:t>
      </w:r>
    </w:p>
    <w:p>
      <w:pPr>
        <w:spacing w:after="0" w:line="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Public companies in general and companies included on the Nasdaq Global Market in particular have experienced extreme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to decline, regardless of our operating performance. We have no control over this volatility and can only focus our efforts on our own operations, and even these may be affected due to the state of the capital markets.</w:t>
      </w:r>
    </w:p>
    <w:p>
      <w:pPr>
        <w:spacing w:after="0" w:line="8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6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Chairman and Chief Executive Officer and principal stockholder can individually control our direction and policies, and his interests may be adverse to the interests of our other stockholders. After his death, his stock will be left to his funding foundations for distribution to various charities, and we cannot assure you of the manner in which those entities will manage their holdings.*</w:t>
      </w:r>
    </w:p>
    <w:p>
      <w:pPr>
        <w:spacing w:after="0" w:line="6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At March 31, 2011, Mr. Mann beneficially owned approximately 39.4% of our outstanding shares of capital stock. By virtue of his holdings, Mr. Mann may be able to continue to effectively control the election of the members of our board of directors, our</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management and our affairs and prevent corporate transactions such as mergers, consolidations or the sale of all or substantially all of our assets that may be favorable from our standpoint or that of our other stockholders or cause a transaction that we or our other stockholders may view as unfavorable.</w:t>
      </w:r>
    </w:p>
    <w:p>
      <w:pPr>
        <w:spacing w:after="0" w:line="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Subject to compliance with United States federal and state securities laws, Mr. Mann is free to sell the shares of our stock he holds at any time. Upon his death, we have been advised by Mr. Mann that his shares of our capital stock will be left to the Alfred E. Mann Medical Research Organization, or AEMMRO, and AEM Foundation for Biomedical Engineering, or AEMFBE, not-for-profit medical research foundations that serve as funding organizations for Mr. Mann’s various charities, including the Alfred Mann Foundation, or AMF, and the Alfred Mann Institutes at the University of Southern California, the Technion-Israel Institute of Technology, and Purdue University, and that may serve as funding organizations for any other charities that he may establish. The AEMMRO is a membership foundation consisting of six members, including Mr. Mann, his wife, three of his children and Dr. Joseph Schulman, the chief scientist of the AEMFBE. The AEMFBE is a membership foundation consisting of five members, including Mr. Mann, his wife, and the same three of his children. Although we understand that the members of AEMMRO and AEMFBE have been advised of Mr. Mann’s objectives for these foundations, once Mr. Mann’s shares of our capital stock become the property of the foundations, we cannot assure you as to how those shares will be distributed or how they will be voted.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future sale of our common stock or the conversion of our senior convertible notes into common stock could negatively affect our stock price.*</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March 31, 2011, we had 130,674,783 shares of common stock outstanding. Substantially all of these shares are available for public sale, subject in some cases to volume and other limitations or delivery of a prospectus. If our common stockholders sell substantial amounts of common stock in the public market, or the market perceives that such sales may occur, the market price of our common stock may decline. Likewise the issuance of additional shares of our common stock upon the conversion of some or all of our senior convertible notes could adversely affect the trading price of our common stock. In addition, the existence of these notes may encourage short selling of our common stock by market participants. Furthermore, if we were to include in a company-initiated registration statement shares held by our stockholders pursuant to the exercise of their registration rights, the sale of those shares could impair our ability to raise needed capital by depressing the price at which we could sell our common stock.</w:t>
      </w:r>
    </w:p>
    <w:p>
      <w:pPr>
        <w:spacing w:after="0" w:line="8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August 2010, we entered into the Seaside purchase agreement and the Mann purchase agreement, which together provide for the sale and issuance by us of up to 36,400,000 shares of our common stock over a period of approximately 50 weeks. As of March 31, 2011, we had issued and sold a total of 7,000,000 shares under these agreements and 12,600,000 shares remained subject to future sale pursuant to these agreements if we are able to satisfy the conditions precedent for sales of shares under these agreements, including the minimum price requirement. The future issuance of shares of our common stock pursuant to these two agreements, or the expectation that these issuances will occur, may further depress the price of our common stock.</w:t>
      </w:r>
    </w:p>
    <w:p>
      <w:pPr>
        <w:spacing w:after="0" w:line="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addition, we will need to raise substantial additional capital in the future to fund our operations. If we raise additional funds by issuing equity securities or additional convertible debt, the market price of our common stock may decline and our existing stockholders may experience significant dilution.</w:t>
      </w:r>
    </w:p>
    <w:p>
      <w:pPr>
        <w:spacing w:after="0" w:line="5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reserved for future issuance substantially all of our authorized but unissued shares of common stock, which may impair our ability to conduct future financing and other transactions.*</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currently authorizes us to issue up to 200,000,000 shares of common stock and 10,000,000 shares of preferred stock. As of March 31, 2011, we had a total of 69,325,217 shares of common stock that were authorized but unissued. We have reserved substantially all of our authorized but unissued shares for future issuance pursuant to outstanding equity awards, our equity plans, our 3.75% senior convertible notes due 2013, our 5.75% senior convertible notes due 2015 and the Seaside purchase agreement and Mann purchase agreement. As a result, our ability to issue shares of common stock other than pursuant to existing arrangements will be limited until such time, if ever, that we are able to amend our certificate of incorporation to further increase our authorized shares of common stock or shares currently reserved for issuance otherwise become available (for example, due to the termination of the underlying agreement to issue the shares). At the annual meeting of stockholders to be held in June 2011, our stockholders will vote on a proposed amendment to our amended and restated certificate of incorporation to increase the authorized number of shares of common stock from 200,000,000 shares to 250,000,000 shares. This proposal will require the approval by the holders of a majority of our outstanding shares of common stock, and we cannot assure you that such a proposal will be adopted. If we are unable to complete financing, strategic or other transactions due to our inability to issue additional shares of common stock or securities convertible or exercisable into our common stock, our financial condition and business prospects may be materially harmed.</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we are unable to enter into new arrangements to issue shares of our common stock or securities convertible or exercisable into shares of our common stock, our ability to complete equity-based financings or other transactions that involve the potential issuance of our common stock or securities convertible or exercisable into our common stock, will be limited. In lieu of issuing common stock or securities convertible into our common stock in any future equity financing transactions, we may need to issue some or all of our authorized but unissued shares of preferred stock, which would likely have superior rights, preferences and privileges to those of our common stock, or we may need to issue debt that is not convertible into shares of our common stock, which may require us to grant security interests in our assets and property and/or impose covenants upon us that restrict our business. If we are unable to issue additional shares of common stock or securities convertible or exercisable into our common stock, our ability to enter into strategic transactions such as acquisitions of companies or technologies, may also be limited.</w:t>
      </w:r>
    </w:p>
    <w:p>
      <w:pPr>
        <w:spacing w:after="0" w:line="73" w:lineRule="exact"/>
        <w:rPr>
          <w:sz w:val="20"/>
          <w:szCs w:val="20"/>
          <w:color w:val="auto"/>
        </w:rPr>
      </w:pPr>
    </w:p>
    <w:p>
      <w:pPr>
        <w:ind w:right="9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5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in the foreseeable future, you must rely on stock appreciation for any return on your investment.</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Furthermore, we may in the future become subject to contractual restrictions on, or prohibitions against, the payment of dividends. Accordingly, the success of your investment in our common stock will likely depend entirely upon any future appreciation. There is no guarantee that our common stock will appreciate or maintain its current price. You could lose the entire value of your investment in our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list sets forth information regarding all securities sold by us during the three months ended March 31, 2011 without registration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 of 1933, as amended, or the Securities Act:</w:t>
      </w:r>
    </w:p>
    <w:p>
      <w:pPr>
        <w:spacing w:after="0" w:line="99" w:lineRule="exact"/>
        <w:rPr>
          <w:sz w:val="20"/>
          <w:szCs w:val="20"/>
          <w:color w:val="auto"/>
        </w:rPr>
      </w:pPr>
    </w:p>
    <w:p>
      <w:pPr>
        <w:ind w:left="500" w:hanging="264"/>
        <w:spacing w:after="0"/>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12, 2011, we issued 700,000 shares of our common stock to The Mann Group.</w:t>
      </w:r>
    </w:p>
    <w:p>
      <w:pPr>
        <w:spacing w:after="0" w:line="117" w:lineRule="exact"/>
        <w:rPr>
          <w:rFonts w:ascii="Times New Roman" w:cs="Times New Roman" w:eastAsia="Times New Roman" w:hAnsi="Times New Roman"/>
          <w:sz w:val="18"/>
          <w:szCs w:val="18"/>
          <w:color w:val="auto"/>
        </w:rPr>
      </w:pPr>
    </w:p>
    <w:p>
      <w:pPr>
        <w:ind w:left="500" w:hanging="264"/>
        <w:spacing w:after="0"/>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26, 2011, we issued 700,000 shares of our common stock to The Mann Group.</w:t>
      </w:r>
    </w:p>
    <w:p>
      <w:pPr>
        <w:spacing w:after="0" w:line="11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aggregate purchase price of the above transactions was approximately $11.1 million, which was paid by cancelling an equal amount of the outstanding principal under an existing $350.0 million revolving loan arrangement provided by The Mann Group. The offers, sales, and issuances of the securities described above were deemed to be exempt from registration under the Securities Act in reliance on Section 4(2) of the Securities Act and/or Rule 506 of Regulation D in that the issuance of securities to the accredited investors did not involve a public offering. The Mann Group was an accredited investor under Rule 501 of Regulation D. The Mann Group acquired the securities for investment only and not with a view to or for sale in connection with any distribution thereof and appropriate legends were affixed to the securities issued in these transactions.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(REMOVED AND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firstLine="225"/>
        <w:spacing w:after="0" w:line="255" w:lineRule="auto"/>
        <w:rPr>
          <w:sz w:val="20"/>
          <w:szCs w:val="20"/>
          <w:color w:val="auto"/>
        </w:rPr>
      </w:pPr>
      <w:r>
        <w:rPr>
          <w:rFonts w:ascii="Times New Roman" w:cs="Times New Roman" w:eastAsia="Times New Roman" w:hAnsi="Times New Roman"/>
          <w:sz w:val="18"/>
          <w:szCs w:val="18"/>
          <w:color w:val="auto"/>
        </w:rPr>
        <w:t>In light of the guidance received from the FDA in our most recent End-of-Review meeting, we believe that our AFREZZA-related development activities are now entering a period in which the focus is on the tactical challenges of executing a robust Phase 3 clinical program and that questions of clinical and regulatory strategy have largely been resolved. At the same time, some of our early-stage oncology programs have progressed to a point where we are beginning to see their potential as assets. Accordingly, effective May 9, 2011, our Chief Scientific Officer, Dr. Peter Richardson, will be focusing primarily on the task of advancing the development of our oncology programs, particularly MKC204 – a new chemical entity that is currently undergoing preclinical evaluation for its potential to treat multiple myeloma, and our President and Chief Operating Officer, Hakan Edstrom, will assume the responsibility of supervising the tactical operations of our clinical and regulatory groups.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240" w:type="dxa"/>
            <w:vAlign w:val="bottom"/>
            <w:vMerge w:val="restart"/>
          </w:tcPr>
          <w:p>
            <w:pPr>
              <w:ind w:left="468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55"/>
        </w:trPr>
        <w:tc>
          <w:tcPr>
            <w:tcW w:w="8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10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Amended and Restated Certificate of Incorporation.</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Certificate of Amendment of Amended and Restated Certificate of Incorporation.</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3.3(3)</w:t>
            </w:r>
          </w:p>
        </w:tc>
        <w:tc>
          <w:tcPr>
            <w:tcW w:w="10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Certificate of Amendment of Amended and Restated Certificate of Incorporation.</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3.4(4)</w:t>
            </w:r>
          </w:p>
        </w:tc>
        <w:tc>
          <w:tcPr>
            <w:tcW w:w="10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Amended and Restated Bylaws.</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4.1(5)</w:t>
            </w:r>
          </w:p>
        </w:tc>
        <w:tc>
          <w:tcPr>
            <w:tcW w:w="10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Indenture, by and between MannKind and Wells Fargo Bank, N.A., dated November 1, 2006.</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4.2(6)</w:t>
            </w:r>
          </w:p>
        </w:tc>
        <w:tc>
          <w:tcPr>
            <w:tcW w:w="10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First Supplemental Indenture, by and between MannKind and Wells Fargo Bank, N.A., dated December 12, 2006.</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4.3(6)</w:t>
            </w:r>
          </w:p>
        </w:tc>
        <w:tc>
          <w:tcPr>
            <w:tcW w:w="10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 of 3.75% Senior Convertible Note due 2013.</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4.4(1)</w:t>
            </w:r>
          </w:p>
        </w:tc>
        <w:tc>
          <w:tcPr>
            <w:tcW w:w="10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 of common stock certificate.</w:t>
            </w:r>
          </w:p>
        </w:tc>
        <w:tc>
          <w:tcPr>
            <w:tcW w:w="0" w:type="dxa"/>
            <w:vAlign w:val="bottom"/>
          </w:tcPr>
          <w:p>
            <w:pPr>
              <w:spacing w:after="0"/>
              <w:rPr>
                <w:sz w:val="1"/>
                <w:szCs w:val="1"/>
                <w:color w:val="auto"/>
              </w:rPr>
            </w:pPr>
          </w:p>
        </w:tc>
      </w:tr>
      <w:tr>
        <w:trPr>
          <w:trHeight w:val="41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4.5(1)</w:t>
            </w:r>
          </w:p>
        </w:tc>
        <w:tc>
          <w:tcPr>
            <w:tcW w:w="10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Registration Rights Agreement, dated October 15, 1998 by and among CTL ImmunoTherapies Corp., Medical Research Group, LLC,</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10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McLean Watson Advisory Inc. and Alfred E. Mann, as amended.</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4.6(7)</w:t>
            </w:r>
          </w:p>
        </w:tc>
        <w:tc>
          <w:tcPr>
            <w:tcW w:w="10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Indenture, by and between MannKind and Wells Fargo Bank, N.A., dated August 24, 2010.</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4.7(7)</w:t>
            </w:r>
          </w:p>
        </w:tc>
        <w:tc>
          <w:tcPr>
            <w:tcW w:w="10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 of 5.75% Senior Convertible Note due 2015.</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2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Certification of the Chief Executive Officer Pursuant to Rule 13a-14(a) or 15d-14(a) of the Securities Exchange Act of 1934, as amended.</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Certification of the Chief Financial Officer Pursuant to Rule 13a-14(a) or 15d-14(a) of the Securities Exchange Act of 1934, as amended.</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160" w:right="80" w:hanging="1152"/>
        <w:spacing w:after="0" w:line="282" w:lineRule="auto"/>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 of the Chief Executive Officer and Chief Financial Officer Pursuant to Rule 13a-14(b) or 15d-14(b) of the Securities Exchange Act of 1934, as amended and Section 1350 of Chapter 63 of Title 18 of the United States Code (18 U.S.C. §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3036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04"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to MannKind’s registration statement on Form S-1 (File No. 333-115020), filed with the SEC on April 30, 2004, as amended.</w:t>
      </w:r>
    </w:p>
    <w:p>
      <w:pPr>
        <w:spacing w:after="0" w:line="88" w:lineRule="exact"/>
        <w:rPr>
          <w:rFonts w:ascii="Times New Roman" w:cs="Times New Roman" w:eastAsia="Times New Roman" w:hAnsi="Times New Roman"/>
          <w:sz w:val="17"/>
          <w:szCs w:val="17"/>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MannKind’s quarterly report on Form 10-Q (File No. 000-50865), filed with the SEC on August 9, 2007.</w:t>
      </w:r>
    </w:p>
    <w:p>
      <w:pPr>
        <w:spacing w:after="0" w:line="7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MannKind’s current report on Form 10-Q (File No. 000-50865), filed with the SEC on August 2, 2010.</w:t>
      </w:r>
    </w:p>
    <w:p>
      <w:pPr>
        <w:spacing w:after="0" w:line="7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MannKind’s current report on Form 8-K (File No. 000-50865), filed with the SEC on November 19, 2007.</w:t>
      </w:r>
    </w:p>
    <w:p>
      <w:pPr>
        <w:spacing w:after="0" w:line="7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MannKind’s registration statement on Form S-3 (File No. 333-138373), filed with the SEC on November 2, 2006.</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77" w:lineRule="exact"/>
        <w:rPr>
          <w:sz w:val="20"/>
          <w:szCs w:val="20"/>
          <w:color w:val="auto"/>
        </w:rPr>
      </w:pPr>
    </w:p>
    <w:p>
      <w:pPr>
        <w:ind w:left="460" w:hanging="452"/>
        <w:spacing w:after="0"/>
        <w:tabs>
          <w:tab w:leader="none" w:pos="4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to MannKind’s current report on Form 8-K (File No. 000-50865), filed with the SEC on December 12, 2006.</w:t>
      </w:r>
    </w:p>
    <w:p>
      <w:pPr>
        <w:spacing w:after="0" w:line="88" w:lineRule="exact"/>
        <w:rPr>
          <w:rFonts w:ascii="Times New Roman" w:cs="Times New Roman" w:eastAsia="Times New Roman" w:hAnsi="Times New Roman"/>
          <w:sz w:val="17"/>
          <w:szCs w:val="17"/>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MannKind’s current report on Form 8-K (File No. 000-50865), filed with the SEC on August 24, 2010.</w:t>
      </w:r>
    </w:p>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p>
      <w:pPr>
        <w:spacing w:after="0"/>
        <w:tabs>
          <w:tab w:leader="none" w:pos="5340" w:val="left"/>
        </w:tabs>
        <w:rPr>
          <w:sz w:val="20"/>
          <w:szCs w:val="20"/>
          <w:color w:val="auto"/>
        </w:rPr>
      </w:pPr>
      <w:r>
        <w:rPr>
          <w:rFonts w:ascii="Times New Roman" w:cs="Times New Roman" w:eastAsia="Times New Roman" w:hAnsi="Times New Roman"/>
          <w:sz w:val="18"/>
          <w:szCs w:val="18"/>
          <w:color w:val="auto"/>
        </w:rPr>
        <w:t>Dated: May 10, 2011</w:t>
      </w:r>
      <w:r>
        <w:rPr>
          <w:sz w:val="20"/>
          <w:szCs w:val="20"/>
          <w:color w:val="auto"/>
        </w:rPr>
        <w:tab/>
      </w:r>
      <w:r>
        <w:rPr>
          <w:rFonts w:ascii="Times New Roman" w:cs="Times New Roman" w:eastAsia="Times New Roman" w:hAnsi="Times New Roman"/>
          <w:sz w:val="17"/>
          <w:szCs w:val="17"/>
          <w:color w:val="auto"/>
        </w:rPr>
        <w:t>MANNKIND CORPORATION</w:t>
      </w:r>
    </w:p>
    <w:p>
      <w:pPr>
        <w:spacing w:after="0" w:line="22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By: /s/ Matthew J. Pfeffer</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9159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i w:val="1"/>
          <w:iCs w:val="1"/>
          <w:color w:val="auto"/>
        </w:rPr>
        <w:t>Corporate Vice President and Chief Financial Officer</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3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20"/>
          </w:cols>
          <w:pgMar w:left="240" w:top="415" w:right="4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333"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RULE 13a-14(a) OR 15d-14(a) OF THE SECURITIES EXCHANGE ACT OF 1934, AS AMENDED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Alfred E. Mann, certify that:</w:t>
      </w:r>
    </w:p>
    <w:p>
      <w:pPr>
        <w:spacing w:after="0" w:line="117" w:lineRule="exact"/>
        <w:rPr>
          <w:sz w:val="20"/>
          <w:szCs w:val="20"/>
          <w:color w:val="auto"/>
        </w:rPr>
      </w:pPr>
    </w:p>
    <w:p>
      <w:pPr>
        <w:ind w:left="180" w:hanging="172"/>
        <w:spacing w:after="0"/>
        <w:tabs>
          <w:tab w:leader="none" w:pos="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three months ended March 31, 2011 of MannKind Corporation;</w:t>
      </w:r>
    </w:p>
    <w:p>
      <w:pPr>
        <w:spacing w:after="0" w:line="117"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240" w:right="440" w:firstLine="221"/>
        <w:spacing w:after="0" w:line="266" w:lineRule="auto"/>
        <w:tabs>
          <w:tab w:leader="none" w:pos="71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240" w:right="660" w:firstLine="221"/>
        <w:spacing w:after="0" w:line="266" w:lineRule="auto"/>
        <w:tabs>
          <w:tab w:leader="none" w:pos="7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240" w:right="20" w:firstLine="221"/>
        <w:spacing w:after="0" w:line="282" w:lineRule="auto"/>
        <w:tabs>
          <w:tab w:leader="none" w:pos="71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240" w:right="60" w:firstLine="221"/>
        <w:spacing w:after="0" w:line="266" w:lineRule="auto"/>
        <w:tabs>
          <w:tab w:leader="none" w:pos="7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right="640" w:firstLine="8"/>
        <w:spacing w:after="0" w:line="282" w:lineRule="auto"/>
        <w:tabs>
          <w:tab w:leader="none" w:pos="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240" w:right="400" w:firstLine="221"/>
        <w:spacing w:after="0" w:line="282" w:lineRule="auto"/>
        <w:tabs>
          <w:tab w:leader="none" w:pos="71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240" w:right="360" w:firstLine="221"/>
        <w:spacing w:after="0" w:line="282" w:lineRule="auto"/>
        <w:tabs>
          <w:tab w:leader="none" w:pos="7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2011</w:t>
            </w: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Alfred E. Mann</w:t>
            </w:r>
          </w:p>
        </w:tc>
      </w:tr>
      <w:tr>
        <w:trPr>
          <w:trHeight w:val="191"/>
        </w:trPr>
        <w:tc>
          <w:tcPr>
            <w:tcW w:w="5500" w:type="dxa"/>
            <w:vAlign w:val="bottom"/>
          </w:tcPr>
          <w:p>
            <w:pPr>
              <w:spacing w:after="0"/>
              <w:rPr>
                <w:sz w:val="16"/>
                <w:szCs w:val="16"/>
                <w:color w:val="auto"/>
              </w:rPr>
            </w:pPr>
          </w:p>
        </w:tc>
        <w:tc>
          <w:tcPr>
            <w:tcW w:w="4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Alfred E. Mann</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33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RULE 13a-14(a) OR 15d-14(a) OF THE SECURITIES EXCHANGE ACT OF 1934, AS AMENDED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J. Pfeffer, certify that:</w:t>
      </w:r>
    </w:p>
    <w:p>
      <w:pPr>
        <w:spacing w:after="0" w:line="117" w:lineRule="exact"/>
        <w:rPr>
          <w:sz w:val="20"/>
          <w:szCs w:val="20"/>
          <w:color w:val="auto"/>
        </w:rPr>
      </w:pPr>
    </w:p>
    <w:p>
      <w:pPr>
        <w:ind w:left="180" w:hanging="172"/>
        <w:spacing w:after="0"/>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three months ended March 31, 2011 of MannKind Corporation;</w:t>
      </w:r>
    </w:p>
    <w:p>
      <w:pPr>
        <w:spacing w:after="0" w:line="117"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240" w:right="440" w:firstLine="221"/>
        <w:spacing w:after="0" w:line="266" w:lineRule="auto"/>
        <w:tabs>
          <w:tab w:leader="none" w:pos="71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240" w:right="660" w:firstLine="221"/>
        <w:spacing w:after="0" w:line="266" w:lineRule="auto"/>
        <w:tabs>
          <w:tab w:leader="none" w:pos="7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240" w:right="20" w:firstLine="221"/>
        <w:spacing w:after="0" w:line="282" w:lineRule="auto"/>
        <w:tabs>
          <w:tab w:leader="none" w:pos="71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240" w:right="60" w:firstLine="221"/>
        <w:spacing w:after="0" w:line="266" w:lineRule="auto"/>
        <w:tabs>
          <w:tab w:leader="none" w:pos="7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right="640" w:firstLine="8"/>
        <w:spacing w:after="0" w:line="282" w:lineRule="auto"/>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240" w:right="400" w:firstLine="221"/>
        <w:spacing w:after="0" w:line="282" w:lineRule="auto"/>
        <w:tabs>
          <w:tab w:leader="none" w:pos="71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240" w:right="360" w:firstLine="221"/>
        <w:spacing w:after="0" w:line="282" w:lineRule="auto"/>
        <w:tabs>
          <w:tab w:leader="none" w:pos="7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2011</w:t>
            </w: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J. Pfeffer</w:t>
            </w:r>
          </w:p>
        </w:tc>
      </w:tr>
      <w:tr>
        <w:trPr>
          <w:trHeight w:val="191"/>
        </w:trPr>
        <w:tc>
          <w:tcPr>
            <w:tcW w:w="5500" w:type="dxa"/>
            <w:vAlign w:val="bottom"/>
          </w:tcPr>
          <w:p>
            <w:pPr>
              <w:spacing w:after="0"/>
              <w:rPr>
                <w:sz w:val="16"/>
                <w:szCs w:val="16"/>
                <w:color w:val="auto"/>
              </w:rPr>
            </w:pPr>
          </w:p>
        </w:tc>
        <w:tc>
          <w:tcPr>
            <w:tcW w:w="4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Matthew J. Pfeffer</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420"/>
          </w:cols>
          <w:pgMar w:left="240" w:top="553" w:right="2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RULE 13a-14(b) OR 15d-14(b) OF THE SECURITIES EXCHANGE ACT OF 1934, AS AMENDED, AND SECTION 1350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CHAPTER 63 OF TITLE 18 OF THE UNITED STATES CODE (18 U.S.C. § 1350)</w:t>
      </w:r>
    </w:p>
    <w:p>
      <w:pPr>
        <w:spacing w:after="0" w:line="9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filing of the quarterly report of MannKind Corporation (the “Company”) on Form 10-Q for the quarterly period ended March 31, 2011, as filed with the Securities and Exchange Commission on or about the date hereof to which this certification is attached as Exhibit 32 (the “Report”) and pursuant to the requirement set forth in Rule 13a-14(b) of the Securities Exchange Act of 1934, as amended (the “Exchange Act”), and Section 1350 of Chapter 63 of Title 18 of the United States Code (18 U.S.C. §1350), Alfred E. Mann, Chief Executive Officer of the Company, and Matthew J. Pfeffer, Chief Financial Officer of the Company, each hereby certifies that to the best of his knowledge:</w:t>
      </w:r>
    </w:p>
    <w:p>
      <w:pPr>
        <w:spacing w:after="0" w:line="76" w:lineRule="exact"/>
        <w:rPr>
          <w:sz w:val="20"/>
          <w:szCs w:val="20"/>
          <w:color w:val="auto"/>
        </w:rPr>
      </w:pPr>
    </w:p>
    <w:p>
      <w:pPr>
        <w:ind w:left="400" w:hanging="167"/>
        <w:spacing w:after="0"/>
        <w:tabs>
          <w:tab w:leader="none" w:pos="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Exchange Act; and</w:t>
      </w:r>
    </w:p>
    <w:p>
      <w:pPr>
        <w:spacing w:after="0" w:line="117" w:lineRule="exact"/>
        <w:rPr>
          <w:rFonts w:ascii="Times New Roman" w:cs="Times New Roman" w:eastAsia="Times New Roman" w:hAnsi="Times New Roman"/>
          <w:sz w:val="18"/>
          <w:szCs w:val="18"/>
          <w:color w:val="auto"/>
        </w:rPr>
      </w:pPr>
    </w:p>
    <w:p>
      <w:pPr>
        <w:ind w:right="560" w:firstLine="233"/>
        <w:spacing w:after="0" w:line="375" w:lineRule="auto"/>
        <w:tabs>
          <w:tab w:leader="none" w:pos="40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10, 2011</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witness whereof, the undersigned have set their hands hereto as of the 10th day of May, 2011.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 Alfred E. Mann</w:t>
            </w:r>
          </w:p>
        </w:tc>
        <w:tc>
          <w:tcPr>
            <w:tcW w:w="4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 Matthew J. Pfeffer</w:t>
            </w:r>
          </w:p>
        </w:tc>
      </w:tr>
      <w:tr>
        <w:trPr>
          <w:trHeight w:val="205"/>
        </w:trPr>
        <w:tc>
          <w:tcPr>
            <w:tcW w:w="42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Alfred E. Mann</w:t>
            </w:r>
          </w:p>
        </w:tc>
        <w:tc>
          <w:tcPr>
            <w:tcW w:w="360" w:type="dxa"/>
            <w:vAlign w:val="bottom"/>
          </w:tcPr>
          <w:p>
            <w:pPr>
              <w:spacing w:after="0"/>
              <w:rPr>
                <w:sz w:val="17"/>
                <w:szCs w:val="17"/>
                <w:color w:val="auto"/>
              </w:rPr>
            </w:pPr>
          </w:p>
        </w:tc>
        <w:tc>
          <w:tcPr>
            <w:tcW w:w="42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Matthew J. Pfeffer</w:t>
            </w: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4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9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32"/>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6"/>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2019-12-14T00:54:18Z</dcterms:created>
  <dcterms:modified xsi:type="dcterms:W3CDTF">2019-12-14T00:54:18Z</dcterms:modified>
</cp:coreProperties>
</file>