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-151130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22"/>
          <w:szCs w:val="22"/>
          <w:b w:val="1"/>
          <w:bCs w:val="1"/>
          <w:color w:val="auto"/>
        </w:rPr>
        <w:t>1934</w:t>
      </w: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520" w:hanging="512"/>
        <w:spacing w:after="0" w:line="23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520"/>
        <w:spacing w:after="0" w:line="235" w:lineRule="auto"/>
        <w:rPr>
          <w:sz w:val="20"/>
          <w:szCs w:val="20"/>
          <w:color w:val="auto"/>
        </w:rPr>
      </w:pPr>
      <w:r>
        <w:rPr>
          <w:rFonts w:ascii="Arial" w:cs="Arial" w:eastAsia="Arial" w:hAnsi="Arial"/>
          <w:sz w:val="22"/>
          <w:szCs w:val="22"/>
          <w:b w:val="1"/>
          <w:bCs w:val="1"/>
          <w:color w:val="auto"/>
        </w:rPr>
        <w:t>1934</w:t>
      </w:r>
    </w:p>
    <w:tbl>
      <w:tblPr>
        <w:tblLayout w:type="fixed"/>
        <w:tblInd w:w="3660" w:type="dxa"/>
        <w:tblCellMar>
          <w:top w:w="0" w:type="dxa"/>
          <w:left w:w="0" w:type="dxa"/>
          <w:bottom w:w="0" w:type="dxa"/>
          <w:right w:w="0" w:type="dxa"/>
        </w:tblCellMar>
      </w:tblPr>
      <w:tr>
        <w:trPr>
          <w:trHeight w:val="174"/>
        </w:trPr>
        <w:tc>
          <w:tcPr>
            <w:tcW w:w="2380" w:type="dxa"/>
            <w:vAlign w:val="bottom"/>
          </w:tcPr>
          <w:p>
            <w:pPr>
              <w:spacing w:after="0" w:line="175" w:lineRule="exact"/>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5"/>
                <w:szCs w:val="15"/>
                <w:color w:val="auto"/>
              </w:rPr>
            </w:pPr>
          </w:p>
        </w:tc>
        <w:tc>
          <w:tcPr>
            <w:tcW w:w="240" w:type="dxa"/>
            <w:vAlign w:val="bottom"/>
          </w:tcPr>
          <w:p>
            <w:pPr>
              <w:ind w:left="40"/>
              <w:spacing w:after="0" w:line="175" w:lineRule="exact"/>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37"/>
        </w:trPr>
        <w:tc>
          <w:tcPr>
            <w:tcW w:w="4060" w:type="dxa"/>
            <w:vAlign w:val="bottom"/>
            <w:gridSpan w:val="4"/>
          </w:tcPr>
          <w:p>
            <w:pPr>
              <w:ind w:left="660"/>
              <w:spacing w:after="0"/>
              <w:rPr>
                <w:sz w:val="20"/>
                <w:szCs w:val="20"/>
                <w:color w:val="auto"/>
              </w:rPr>
            </w:pPr>
            <w:r>
              <w:rPr>
                <w:rFonts w:ascii="Arial" w:cs="Arial" w:eastAsia="Arial" w:hAnsi="Arial"/>
                <w:sz w:val="18"/>
                <w:szCs w:val="18"/>
                <w:b w:val="1"/>
                <w:bCs w:val="1"/>
                <w:color w:val="auto"/>
              </w:rPr>
              <w:t>Commission file number: 000-50865</w:t>
            </w:r>
          </w:p>
        </w:tc>
        <w:tc>
          <w:tcPr>
            <w:tcW w:w="40" w:type="dxa"/>
            <w:vAlign w:val="bottom"/>
          </w:tcPr>
          <w:p>
            <w:pPr>
              <w:spacing w:after="0"/>
              <w:rPr>
                <w:sz w:val="20"/>
                <w:szCs w:val="20"/>
                <w:color w:val="auto"/>
              </w:rPr>
            </w:pPr>
          </w:p>
        </w:tc>
      </w:tr>
    </w:tbl>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6240" w:type="dxa"/>
            <w:vAlign w:val="bottom"/>
          </w:tcPr>
          <w:p>
            <w:pPr>
              <w:jc w:val="center"/>
              <w:ind w:right="33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31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574"/>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89"/>
              </w:rPr>
              <w:t>30930 Russell Ranch Road, Suite 301</w:t>
            </w:r>
          </w:p>
        </w:tc>
        <w:tc>
          <w:tcPr>
            <w:tcW w:w="1460" w:type="dxa"/>
            <w:vAlign w:val="bottom"/>
          </w:tcPr>
          <w:p>
            <w:pPr>
              <w:spacing w:after="0"/>
              <w:rPr>
                <w:sz w:val="24"/>
                <w:szCs w:val="24"/>
                <w:color w:val="auto"/>
              </w:rPr>
            </w:pPr>
          </w:p>
        </w:tc>
      </w:tr>
      <w:tr>
        <w:trPr>
          <w:trHeight w:val="225"/>
        </w:trPr>
        <w:tc>
          <w:tcPr>
            <w:tcW w:w="6240" w:type="dxa"/>
            <w:vAlign w:val="bottom"/>
          </w:tcPr>
          <w:p>
            <w:pPr>
              <w:jc w:val="center"/>
              <w:ind w:right="3319"/>
              <w:spacing w:after="0"/>
              <w:rPr>
                <w:sz w:val="20"/>
                <w:szCs w:val="20"/>
                <w:color w:val="auto"/>
              </w:rPr>
            </w:pPr>
            <w:r>
              <w:rPr>
                <w:rFonts w:ascii="Arial" w:cs="Arial" w:eastAsia="Arial" w:hAnsi="Arial"/>
                <w:sz w:val="18"/>
                <w:szCs w:val="18"/>
                <w:b w:val="1"/>
                <w:bCs w:val="1"/>
                <w:color w:val="auto"/>
                <w:w w:val="92"/>
              </w:rPr>
              <w:t>Westlake Village, California</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91362</w:t>
            </w:r>
          </w:p>
        </w:tc>
      </w:tr>
      <w:tr>
        <w:trPr>
          <w:trHeight w:val="153"/>
        </w:trPr>
        <w:tc>
          <w:tcPr>
            <w:tcW w:w="6240" w:type="dxa"/>
            <w:vAlign w:val="bottom"/>
          </w:tcPr>
          <w:p>
            <w:pPr>
              <w:jc w:val="center"/>
              <w:ind w:right="3299"/>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line="153" w:lineRule="exact"/>
              <w:rPr>
                <w:sz w:val="20"/>
                <w:szCs w:val="20"/>
                <w:color w:val="auto"/>
              </w:rPr>
            </w:pPr>
            <w:r>
              <w:rPr>
                <w:rFonts w:ascii="Arial" w:cs="Arial" w:eastAsia="Arial" w:hAnsi="Arial"/>
                <w:sz w:val="14"/>
                <w:szCs w:val="14"/>
                <w:b w:val="1"/>
                <w:bCs w:val="1"/>
                <w:color w:val="auto"/>
                <w:w w:val="95"/>
              </w:rPr>
              <w:t>(Zip Code)</w:t>
            </w:r>
          </w:p>
        </w:tc>
      </w:tr>
      <w:tr>
        <w:trPr>
          <w:trHeight w:val="212"/>
        </w:trPr>
        <w:tc>
          <w:tcPr>
            <w:tcW w:w="6240" w:type="dxa"/>
            <w:vAlign w:val="bottom"/>
          </w:tcPr>
          <w:p>
            <w:pPr>
              <w:jc w:val="right"/>
              <w:ind w:right="1319"/>
              <w:spacing w:after="0"/>
              <w:rPr>
                <w:sz w:val="20"/>
                <w:szCs w:val="20"/>
                <w:color w:val="auto"/>
              </w:rPr>
            </w:pPr>
            <w:r>
              <w:rPr>
                <w:rFonts w:ascii="Arial" w:cs="Arial" w:eastAsia="Arial" w:hAnsi="Arial"/>
                <w:sz w:val="18"/>
                <w:szCs w:val="18"/>
                <w:b w:val="1"/>
                <w:bCs w:val="1"/>
                <w:color w:val="auto"/>
              </w:rPr>
              <w:t>(818) 661-5000</w:t>
            </w:r>
          </w:p>
        </w:tc>
        <w:tc>
          <w:tcPr>
            <w:tcW w:w="1460" w:type="dxa"/>
            <w:vAlign w:val="bottom"/>
          </w:tcPr>
          <w:p>
            <w:pPr>
              <w:spacing w:after="0"/>
              <w:rPr>
                <w:sz w:val="18"/>
                <w:szCs w:val="18"/>
                <w:color w:val="auto"/>
              </w:rPr>
            </w:pPr>
          </w:p>
        </w:tc>
      </w:tr>
      <w:tr>
        <w:trPr>
          <w:trHeight w:val="186"/>
        </w:trPr>
        <w:tc>
          <w:tcPr>
            <w:tcW w:w="6240" w:type="dxa"/>
            <w:vAlign w:val="bottom"/>
          </w:tcPr>
          <w:p>
            <w:pPr>
              <w:jc w:val="center"/>
              <w:ind w:left="22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5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528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4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18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74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3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17, 2018, there were 152,988,367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433705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1064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640" w:type="dxa"/>
            <w:vAlign w:val="bottom"/>
            <w:gridSpan w:val="20"/>
            <w:vMerge w:val="continue"/>
          </w:tcPr>
          <w:p>
            <w:pPr>
              <w:spacing w:after="0"/>
              <w:rPr>
                <w:sz w:val="14"/>
                <w:szCs w:val="14"/>
                <w:color w:val="auto"/>
              </w:rPr>
            </w:pPr>
          </w:p>
        </w:tc>
        <w:tc>
          <w:tcPr>
            <w:tcW w:w="6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June 30, 2018 and December 31, 2017</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Three and six months ended June 30, 2018 and 2017</w:t>
              </w:r>
            </w:hyperlink>
          </w:p>
        </w:tc>
        <w:tc>
          <w:tcPr>
            <w:tcW w:w="3080" w:type="dxa"/>
            <w:vAlign w:val="bottom"/>
            <w:gridSpan w:val="2"/>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2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Three and six months ended June 30, 2018 and 2017</w:t>
              </w:r>
            </w:hyperlink>
          </w:p>
        </w:tc>
        <w:tc>
          <w:tcPr>
            <w:tcW w:w="2360" w:type="dxa"/>
            <w:vAlign w:val="bottom"/>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Six months ended June 30, 2018 and 2017</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780" w:type="dxa"/>
            <w:vAlign w:val="bottom"/>
            <w:gridSpan w:val="4"/>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20" w:type="dxa"/>
            <w:vAlign w:val="bottom"/>
            <w:gridSpan w:val="3"/>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4. Controls and Procedures</w:t>
              </w:r>
            </w:hyperlink>
          </w:p>
        </w:tc>
        <w:tc>
          <w:tcPr>
            <w:tcW w:w="8280" w:type="dxa"/>
            <w:vAlign w:val="bottom"/>
            <w:gridSpan w:val="12"/>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II: OTHER INFORMATION</w:t>
              </w:r>
            </w:hyperlink>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060" w:type="dxa"/>
            <w:vAlign w:val="bottom"/>
            <w:gridSpan w:val="11"/>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 1A. Risk Factors</w:t>
              </w:r>
            </w:hyperlink>
          </w:p>
        </w:tc>
        <w:tc>
          <w:tcPr>
            <w:tcW w:w="9040" w:type="dxa"/>
            <w:vAlign w:val="bottom"/>
            <w:gridSpan w:val="16"/>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Item 2. Unregistered Sales of Equity Securities and Use of Proceeds</w:t>
              </w:r>
            </w:hyperlink>
          </w:p>
        </w:tc>
        <w:tc>
          <w:tcPr>
            <w:tcW w:w="5720" w:type="dxa"/>
            <w:vAlign w:val="bottom"/>
            <w:gridSpan w:val="7"/>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3. Defaults Upon Senior Securities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Item 4. Mine Safety Disclosures</w:t>
              </w:r>
            </w:hyperlink>
          </w:p>
        </w:tc>
        <w:tc>
          <w:tcPr>
            <w:tcW w:w="560" w:type="dxa"/>
            <w:vAlign w:val="bottom"/>
            <w:tcBorders>
              <w:top w:val="single" w:sz="8" w:color="0000EE"/>
            </w:tcBorders>
            <w:gridSpan w:val="3"/>
          </w:tcPr>
          <w:p>
            <w:pPr>
              <w:spacing w:after="0"/>
              <w:rPr>
                <w:sz w:val="17"/>
                <w:szCs w:val="17"/>
                <w:color w:val="auto"/>
              </w:rPr>
            </w:pPr>
          </w:p>
        </w:tc>
        <w:tc>
          <w:tcPr>
            <w:tcW w:w="7740" w:type="dxa"/>
            <w:vAlign w:val="bottom"/>
            <w:gridSpan w:val="10"/>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5. Other Information</w:t>
              </w:r>
            </w:hyperlink>
          </w:p>
        </w:tc>
        <w:tc>
          <w:tcPr>
            <w:tcW w:w="8760" w:type="dxa"/>
            <w:vAlign w:val="bottom"/>
            <w:gridSpan w:val="15"/>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6. Exhibits</w:t>
              </w:r>
            </w:hyperlink>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w w:val="97"/>
              </w:rPr>
            </w:pPr>
            <w:hyperlink w:anchor="page67">
              <w:r>
                <w:rPr>
                  <w:rFonts w:ascii="Arial" w:cs="Arial" w:eastAsia="Arial" w:hAnsi="Arial"/>
                  <w:sz w:val="18"/>
                  <w:szCs w:val="18"/>
                  <w:color w:val="0000EE"/>
                  <w:w w:val="97"/>
                </w:rPr>
                <w:t>SIGNATURES</w:t>
              </w:r>
            </w:hyperlink>
          </w:p>
        </w:tc>
        <w:tc>
          <w:tcPr>
            <w:tcW w:w="9480" w:type="dxa"/>
            <w:vAlign w:val="bottom"/>
            <w:gridSpan w:val="17"/>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69"/>
        </w:trPr>
        <w:tc>
          <w:tcPr>
            <w:tcW w:w="100" w:type="dxa"/>
            <w:vAlign w:val="bottom"/>
            <w:gridSpan w:val="2"/>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700" w:type="dxa"/>
            <w:vAlign w:val="bottom"/>
            <w:gridSpan w:val="13"/>
          </w:tcPr>
          <w:p>
            <w:pPr>
              <w:jc w:val="right"/>
              <w:ind w:right="12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 June 30, 2018</w:t>
            </w:r>
          </w:p>
        </w:tc>
        <w:tc>
          <w:tcPr>
            <w:tcW w:w="160" w:type="dxa"/>
            <w:vAlign w:val="bottom"/>
          </w:tcPr>
          <w:p>
            <w:pPr>
              <w:spacing w:after="0"/>
              <w:rPr>
                <w:sz w:val="14"/>
                <w:szCs w:val="14"/>
                <w:color w:val="auto"/>
              </w:rPr>
            </w:pPr>
          </w:p>
        </w:tc>
        <w:tc>
          <w:tcPr>
            <w:tcW w:w="1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As of December 31, 2017</w:t>
            </w:r>
          </w:p>
        </w:tc>
      </w:tr>
      <w:tr>
        <w:trPr>
          <w:trHeight w:val="223"/>
        </w:trPr>
        <w:tc>
          <w:tcPr>
            <w:tcW w:w="6400" w:type="dxa"/>
            <w:vAlign w:val="bottom"/>
            <w:tcBorders>
              <w:top w:val="single" w:sz="8" w:color="CFF0FC"/>
            </w:tcBorders>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43,946</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3,676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 from commercial product sales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2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57,216</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26,036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26,922</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FF0FC"/>
          </w:tcPr>
          <w:p>
            <w:pPr>
              <w:spacing w:after="0"/>
              <w:rPr>
                <w:sz w:val="19"/>
                <w:szCs w:val="19"/>
                <w:color w:val="auto"/>
              </w:rPr>
            </w:pPr>
          </w:p>
        </w:tc>
      </w:tr>
      <w:tr>
        <w:trPr>
          <w:trHeight w:val="263"/>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62,155</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84,575</w:t>
            </w:r>
          </w:p>
        </w:tc>
        <w:tc>
          <w:tcPr>
            <w:tcW w:w="120" w:type="dxa"/>
            <w:vAlign w:val="bottom"/>
            <w:tcBorders>
              <w:bottom w:val="single" w:sz="8" w:color="CFF0FC"/>
            </w:tcBorders>
          </w:tcPr>
          <w:p>
            <w:pPr>
              <w:spacing w:after="0"/>
              <w:rPr>
                <w:sz w:val="22"/>
                <w:szCs w:val="22"/>
                <w:color w:val="auto"/>
              </w:rPr>
            </w:pPr>
          </w:p>
        </w:tc>
      </w:tr>
      <w:tr>
        <w:trPr>
          <w:trHeight w:val="210"/>
        </w:trPr>
        <w:tc>
          <w:tcPr>
            <w:tcW w:w="6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00" w:type="dxa"/>
            <w:vAlign w:val="bottom"/>
          </w:tcPr>
          <w:p>
            <w:pPr>
              <w:ind w:left="1520"/>
              <w:spacing w:after="0"/>
              <w:rPr>
                <w:sz w:val="20"/>
                <w:szCs w:val="20"/>
                <w:color w:val="auto"/>
              </w:rPr>
            </w:pPr>
            <w:r>
              <w:rPr>
                <w:rFonts w:ascii="Arial" w:cs="Arial" w:eastAsia="Arial" w:hAnsi="Arial"/>
                <w:sz w:val="18"/>
                <w:szCs w:val="18"/>
                <w:b w:val="1"/>
                <w:bCs w:val="1"/>
                <w:color w:val="auto"/>
              </w:rPr>
              <w:t>LIABILITIES AND STOCKHOLDERS' DEFICIT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9,237</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6,984</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12,449</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Facility financing obligation</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38,002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52,745</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net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Deferred payments from collaboration - current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13,191</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120" w:type="dxa"/>
            <w:vAlign w:val="bottom"/>
            <w:shd w:val="clear" w:color="auto" w:fill="CFF0FC"/>
          </w:tcPr>
          <w:p>
            <w:pPr>
              <w:spacing w:after="0"/>
              <w:rPr>
                <w:sz w:val="19"/>
                <w:szCs w:val="19"/>
                <w:color w:val="auto"/>
              </w:rPr>
            </w:pP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74,901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87,597</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Note payable to related party</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72,196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Accrued interest - note payable to related party</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4,566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Recognized loss on purchase commitments - long term</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88,346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97,585</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payments from collaboration - long term</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Milestone rights liability</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12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268,774</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299,307</w:t>
            </w:r>
          </w:p>
        </w:tc>
        <w:tc>
          <w:tcPr>
            <w:tcW w:w="120" w:type="dxa"/>
            <w:vAlign w:val="bottom"/>
            <w:shd w:val="clear" w:color="auto" w:fill="CFF0FC"/>
          </w:tcPr>
          <w:p>
            <w:pPr>
              <w:spacing w:after="0"/>
              <w:rPr>
                <w:sz w:val="19"/>
                <w:szCs w:val="19"/>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no shares issued or outstanding at June 30, 2018 and December 31, 2017</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- 280,000,000 shares authorized, 145,619,293</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119,053,414 shares issued and outstanding at June 30, 2018 and</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2017, respectively</w:t>
            </w: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FF0FC"/>
          </w:tcPr>
          <w:p>
            <w:pPr>
              <w:spacing w:after="0"/>
              <w:rPr>
                <w:sz w:val="20"/>
                <w:szCs w:val="20"/>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2,698,028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2,638,992</w:t>
            </w:r>
          </w:p>
        </w:tc>
        <w:tc>
          <w:tcPr>
            <w:tcW w:w="120" w:type="dxa"/>
            <w:vAlign w:val="bottom"/>
          </w:tcPr>
          <w:p>
            <w:pPr>
              <w:spacing w:after="0"/>
              <w:rPr>
                <w:sz w:val="19"/>
                <w:szCs w:val="19"/>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Accumulated deficit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(2,906,085)</w:t>
            </w:r>
          </w:p>
        </w:tc>
        <w:tc>
          <w:tcPr>
            <w:tcW w:w="160" w:type="dxa"/>
            <w:vAlign w:val="bottom"/>
          </w:tcPr>
          <w:p>
            <w:pPr>
              <w:spacing w:after="0"/>
              <w:rPr>
                <w:sz w:val="19"/>
                <w:szCs w:val="19"/>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(2,854,898)</w:t>
            </w:r>
          </w:p>
        </w:tc>
      </w:tr>
      <w:tr>
        <w:trPr>
          <w:trHeight w:val="223"/>
        </w:trPr>
        <w:tc>
          <w:tcPr>
            <w:tcW w:w="6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(206,619)</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7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62,155</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84,575</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8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3,753</w:t>
            </w:r>
          </w:p>
        </w:tc>
        <w:tc>
          <w:tcPr>
            <w:tcW w:w="14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1,548</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7,155</w:t>
            </w:r>
          </w:p>
        </w:tc>
        <w:tc>
          <w:tcPr>
            <w:tcW w:w="16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 collaboration</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Revenue - other</w:t>
            </w:r>
          </w:p>
        </w:tc>
        <w:tc>
          <w:tcPr>
            <w:tcW w:w="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Expenses: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Property and equipment impairment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foreign currency translation</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6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Other (expense) income:</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Interest expense on note payable to related party</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extinguishment of debt</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6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(52,820)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(51,663)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6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9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1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(51,663)</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 gain</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(35,336)</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(53,060)</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(51,660)</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jc w:val="right"/>
              <w:ind w:right="25"/>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60"/>
              <w:spacing w:after="0"/>
              <w:rPr>
                <w:sz w:val="20"/>
                <w:szCs w:val="20"/>
                <w:color w:val="auto"/>
              </w:rPr>
            </w:pPr>
            <w:r>
              <w:rPr>
                <w:rFonts w:ascii="Arial" w:cs="Arial" w:eastAsia="Arial" w:hAnsi="Arial"/>
                <w:sz w:val="15"/>
                <w:szCs w:val="15"/>
                <w:color w:val="auto"/>
              </w:rPr>
              <w:t>Net loss</w:t>
            </w:r>
          </w:p>
        </w:tc>
        <w:tc>
          <w:tcPr>
            <w:tcW w:w="2160" w:type="dxa"/>
            <w:vAlign w:val="bottom"/>
            <w:gridSpan w:val="2"/>
          </w:tcPr>
          <w:p>
            <w:pPr>
              <w:jc w:val="right"/>
              <w:ind w:right="865"/>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(53,060)</w:t>
            </w:r>
          </w:p>
        </w:tc>
        <w:tc>
          <w:tcPr>
            <w:tcW w:w="114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(51,663)</w:t>
            </w: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500"/>
              <w:spacing w:after="0"/>
              <w:rPr>
                <w:sz w:val="20"/>
                <w:szCs w:val="20"/>
                <w:color w:val="auto"/>
              </w:rPr>
            </w:pPr>
            <w:r>
              <w:rPr>
                <w:rFonts w:ascii="Arial" w:cs="Arial" w:eastAsia="Arial" w:hAnsi="Arial"/>
                <w:sz w:val="15"/>
                <w:szCs w:val="15"/>
                <w:color w:val="auto"/>
              </w:rPr>
              <w:t>Depreciation, amortization and accretion</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1,459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 expense</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500"/>
              <w:spacing w:after="0"/>
              <w:rPr>
                <w:sz w:val="20"/>
                <w:szCs w:val="20"/>
                <w:color w:val="auto"/>
              </w:rPr>
            </w:pPr>
            <w:r>
              <w:rPr>
                <w:rFonts w:ascii="Arial" w:cs="Arial" w:eastAsia="Arial" w:hAnsi="Arial"/>
                <w:sz w:val="15"/>
                <w:szCs w:val="15"/>
                <w:color w:val="auto"/>
              </w:rPr>
              <w:t>Loss on extinguishment of debt, net</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on sale, abandonment/disposal or impairment of property and equipment</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500"/>
              <w:spacing w:after="0"/>
              <w:rPr>
                <w:sz w:val="20"/>
                <w:szCs w:val="20"/>
                <w:color w:val="auto"/>
              </w:rPr>
            </w:pPr>
            <w:r>
              <w:rPr>
                <w:rFonts w:ascii="Arial" w:cs="Arial" w:eastAsia="Arial" w:hAnsi="Arial"/>
                <w:sz w:val="15"/>
                <w:szCs w:val="15"/>
                <w:color w:val="auto"/>
              </w:rPr>
              <w:t>(Gain) Loss on foreign currency translation</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(2,379)</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8,392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Interest on note payable to related party</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500"/>
              <w:spacing w:after="0"/>
              <w:rPr>
                <w:sz w:val="20"/>
                <w:szCs w:val="20"/>
                <w:color w:val="auto"/>
              </w:rPr>
            </w:pPr>
            <w:r>
              <w:rPr>
                <w:rFonts w:ascii="Arial" w:cs="Arial" w:eastAsia="Arial" w:hAnsi="Arial"/>
                <w:sz w:val="15"/>
                <w:szCs w:val="15"/>
                <w:color w:val="auto"/>
              </w:rPr>
              <w:t>Change in fair value of warrant liability</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(6,776)</w:t>
            </w: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Write-off of inventory</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500"/>
              <w:spacing w:after="0"/>
              <w:rPr>
                <w:sz w:val="20"/>
                <w:szCs w:val="20"/>
                <w:color w:val="auto"/>
              </w:rPr>
            </w:pPr>
            <w:r>
              <w:rPr>
                <w:rFonts w:ascii="Arial" w:cs="Arial" w:eastAsia="Arial" w:hAnsi="Arial"/>
                <w:sz w:val="15"/>
                <w:szCs w:val="15"/>
                <w:color w:val="auto"/>
              </w:rPr>
              <w:t>Other, net</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740"/>
              <w:spacing w:after="0"/>
              <w:rPr>
                <w:sz w:val="20"/>
                <w:szCs w:val="20"/>
                <w:color w:val="auto"/>
              </w:rPr>
            </w:pPr>
            <w:r>
              <w:rPr>
                <w:rFonts w:ascii="Arial" w:cs="Arial" w:eastAsia="Arial" w:hAnsi="Arial"/>
                <w:sz w:val="15"/>
                <w:szCs w:val="15"/>
                <w:color w:val="auto"/>
              </w:rPr>
              <w:t>Accounts receivable, net</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(170)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(1,010)</w:t>
            </w: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740"/>
              <w:spacing w:after="0"/>
              <w:rPr>
                <w:sz w:val="20"/>
                <w:szCs w:val="20"/>
                <w:color w:val="auto"/>
              </w:rPr>
            </w:pPr>
            <w:r>
              <w:rPr>
                <w:rFonts w:ascii="Arial" w:cs="Arial" w:eastAsia="Arial" w:hAnsi="Arial"/>
                <w:sz w:val="15"/>
                <w:szCs w:val="15"/>
                <w:color w:val="auto"/>
              </w:rPr>
              <w:t>Receivable from Sanofi</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740"/>
              <w:spacing w:after="0"/>
              <w:rPr>
                <w:sz w:val="20"/>
                <w:szCs w:val="20"/>
                <w:color w:val="auto"/>
              </w:rPr>
            </w:pPr>
            <w:r>
              <w:rPr>
                <w:rFonts w:ascii="Arial" w:cs="Arial" w:eastAsia="Arial" w:hAnsi="Arial"/>
                <w:sz w:val="15"/>
                <w:szCs w:val="15"/>
                <w:color w:val="auto"/>
              </w:rPr>
              <w:t>Inventory</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(1,798)</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(2,301)</w:t>
            </w: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costs from commercial product sales</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76"/>
        </w:trPr>
        <w:tc>
          <w:tcPr>
            <w:tcW w:w="6700" w:type="dxa"/>
            <w:vAlign w:val="bottom"/>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440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Other assets</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2,253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expenses and other current liabilities</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176"/>
        </w:trPr>
        <w:tc>
          <w:tcPr>
            <w:tcW w:w="6700" w:type="dxa"/>
            <w:vAlign w:val="bottom"/>
          </w:tcPr>
          <w:p>
            <w:pPr>
              <w:ind w:left="740"/>
              <w:spacing w:after="0"/>
              <w:rPr>
                <w:sz w:val="20"/>
                <w:szCs w:val="20"/>
                <w:color w:val="auto"/>
              </w:rPr>
            </w:pPr>
            <w:r>
              <w:rPr>
                <w:rFonts w:ascii="Arial" w:cs="Arial" w:eastAsia="Arial" w:hAnsi="Arial"/>
                <w:sz w:val="15"/>
                <w:szCs w:val="15"/>
                <w:color w:val="auto"/>
              </w:rPr>
              <w:t>Deferred revenue</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(827)</w:t>
            </w: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payments from collaboration</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76"/>
        </w:trPr>
        <w:tc>
          <w:tcPr>
            <w:tcW w:w="6700" w:type="dxa"/>
            <w:vAlign w:val="bottom"/>
          </w:tcPr>
          <w:p>
            <w:pPr>
              <w:ind w:left="740"/>
              <w:spacing w:after="0"/>
              <w:rPr>
                <w:sz w:val="20"/>
                <w:szCs w:val="20"/>
                <w:color w:val="auto"/>
              </w:rPr>
            </w:pPr>
            <w:r>
              <w:rPr>
                <w:rFonts w:ascii="Arial" w:cs="Arial" w:eastAsia="Arial" w:hAnsi="Arial"/>
                <w:sz w:val="15"/>
                <w:szCs w:val="15"/>
                <w:color w:val="auto"/>
              </w:rPr>
              <w:t>Recognized loss on purchase commitments</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(5,800)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ind w:left="1000"/>
              <w:spacing w:after="0"/>
              <w:rPr>
                <w:sz w:val="20"/>
                <w:szCs w:val="20"/>
                <w:color w:val="auto"/>
              </w:rPr>
            </w:pPr>
            <w:r>
              <w:rPr>
                <w:rFonts w:ascii="Arial" w:cs="Arial" w:eastAsia="Arial" w:hAnsi="Arial"/>
                <w:sz w:val="15"/>
                <w:szCs w:val="15"/>
                <w:color w:val="auto"/>
              </w:rPr>
              <w:t>Net cash used in operating activities</w:t>
            </w:r>
          </w:p>
        </w:tc>
        <w:tc>
          <w:tcPr>
            <w:tcW w:w="11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0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(48,800)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(11,527)</w:t>
            </w:r>
          </w:p>
        </w:tc>
        <w:tc>
          <w:tcPr>
            <w:tcW w:w="0" w:type="dxa"/>
            <w:vAlign w:val="bottom"/>
          </w:tcPr>
          <w:p>
            <w:pPr>
              <w:spacing w:after="0"/>
              <w:rPr>
                <w:sz w:val="1"/>
                <w:szCs w:val="1"/>
                <w:color w:val="auto"/>
              </w:rPr>
            </w:pPr>
          </w:p>
        </w:tc>
      </w:tr>
      <w:tr>
        <w:trPr>
          <w:trHeight w:val="169"/>
        </w:trPr>
        <w:tc>
          <w:tcPr>
            <w:tcW w:w="6700" w:type="dxa"/>
            <w:vAlign w:val="bottom"/>
          </w:tcPr>
          <w:p>
            <w:pPr>
              <w:spacing w:after="0" w:line="169" w:lineRule="exact"/>
              <w:rPr>
                <w:sz w:val="20"/>
                <w:szCs w:val="20"/>
                <w:color w:val="auto"/>
              </w:rPr>
            </w:pPr>
            <w:r>
              <w:rPr>
                <w:rFonts w:ascii="Arial" w:cs="Arial" w:eastAsia="Arial" w:hAnsi="Arial"/>
                <w:sz w:val="15"/>
                <w:szCs w:val="15"/>
                <w:color w:val="auto"/>
              </w:rPr>
              <w:t>CASH FLOWS FROM INVESTING ACTIVITIES:</w:t>
            </w:r>
          </w:p>
        </w:tc>
        <w:tc>
          <w:tcPr>
            <w:tcW w:w="11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proceeds from sale of asset held for sale</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Proceeds from sale of property and equipment</w:t>
            </w:r>
          </w:p>
        </w:tc>
        <w:tc>
          <w:tcPr>
            <w:tcW w:w="11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00" w:type="dxa"/>
            <w:vAlign w:val="bottom"/>
            <w:shd w:val="clear" w:color="auto" w:fill="CFF0FC"/>
          </w:tcPr>
          <w:p>
            <w:pPr>
              <w:ind w:left="1000"/>
              <w:spacing w:after="0" w:line="169" w:lineRule="exact"/>
              <w:rPr>
                <w:sz w:val="20"/>
                <w:szCs w:val="20"/>
                <w:color w:val="auto"/>
              </w:rPr>
            </w:pPr>
            <w:r>
              <w:rPr>
                <w:rFonts w:ascii="Arial" w:cs="Arial" w:eastAsia="Arial" w:hAnsi="Arial"/>
                <w:sz w:val="15"/>
                <w:szCs w:val="15"/>
                <w:color w:val="auto"/>
              </w:rPr>
              <w:t>Net cash provided by investing activities</w:t>
            </w:r>
          </w:p>
        </w:tc>
        <w:tc>
          <w:tcPr>
            <w:tcW w:w="1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16,675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11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direct placement of common stock</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28,000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00" w:type="dxa"/>
            <w:vAlign w:val="bottom"/>
          </w:tcPr>
          <w:p>
            <w:pPr>
              <w:ind w:left="260"/>
              <w:spacing w:after="0"/>
              <w:rPr>
                <w:sz w:val="20"/>
                <w:szCs w:val="20"/>
                <w:color w:val="auto"/>
              </w:rPr>
            </w:pPr>
            <w:r>
              <w:rPr>
                <w:rFonts w:ascii="Arial" w:cs="Arial" w:eastAsia="Arial" w:hAnsi="Arial"/>
                <w:sz w:val="15"/>
                <w:szCs w:val="15"/>
                <w:color w:val="auto"/>
              </w:rPr>
              <w:t>Issuance cost associated with direct placement</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(1,610)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Principal payments on facility financing obligation</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176"/>
        </w:trPr>
        <w:tc>
          <w:tcPr>
            <w:tcW w:w="6700" w:type="dxa"/>
            <w:vAlign w:val="bottom"/>
          </w:tcPr>
          <w:p>
            <w:pPr>
              <w:ind w:left="260"/>
              <w:spacing w:after="0"/>
              <w:rPr>
                <w:sz w:val="20"/>
                <w:szCs w:val="20"/>
                <w:color w:val="auto"/>
              </w:rPr>
            </w:pPr>
            <w:r>
              <w:rPr>
                <w:rFonts w:ascii="Arial" w:cs="Arial" w:eastAsia="Arial" w:hAnsi="Arial"/>
                <w:sz w:val="15"/>
                <w:szCs w:val="15"/>
                <w:color w:val="auto"/>
              </w:rPr>
              <w:t>Borrowings on note payable to related party</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19,429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employment taxes related to vested restricted stock units</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(184)</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76"/>
        </w:trPr>
        <w:tc>
          <w:tcPr>
            <w:tcW w:w="6700" w:type="dxa"/>
            <w:vAlign w:val="bottom"/>
          </w:tcPr>
          <w:p>
            <w:pPr>
              <w:ind w:left="260"/>
              <w:spacing w:after="0"/>
              <w:rPr>
                <w:sz w:val="20"/>
                <w:szCs w:val="20"/>
                <w:color w:val="auto"/>
              </w:rPr>
            </w:pPr>
            <w:r>
              <w:rPr>
                <w:rFonts w:ascii="Arial" w:cs="Arial" w:eastAsia="Arial" w:hAnsi="Arial"/>
                <w:sz w:val="15"/>
                <w:szCs w:val="15"/>
                <w:color w:val="auto"/>
              </w:rPr>
              <w:t>Proceeds from issuance of common stock pursuant to at-the-market issuance</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634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cost of at-the-market transactions</w:t>
            </w:r>
          </w:p>
        </w:tc>
        <w:tc>
          <w:tcPr>
            <w:tcW w:w="1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00" w:type="dxa"/>
            <w:vAlign w:val="bottom"/>
          </w:tcPr>
          <w:p>
            <w:pPr>
              <w:ind w:left="260"/>
              <w:spacing w:after="0"/>
              <w:rPr>
                <w:sz w:val="20"/>
                <w:szCs w:val="20"/>
                <w:color w:val="auto"/>
              </w:rPr>
            </w:pPr>
            <w:r>
              <w:rPr>
                <w:rFonts w:ascii="Arial" w:cs="Arial" w:eastAsia="Arial" w:hAnsi="Arial"/>
                <w:sz w:val="15"/>
                <w:szCs w:val="15"/>
                <w:color w:val="auto"/>
              </w:rPr>
              <w:t>Proceeds from executive stock purchase plan</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700" w:type="dxa"/>
            <w:vAlign w:val="bottom"/>
            <w:tcBorders>
              <w:top w:val="single" w:sz="8" w:color="CFF0FC"/>
            </w:tcBorders>
            <w:shd w:val="clear" w:color="auto" w:fill="CFF0FC"/>
          </w:tcPr>
          <w:p>
            <w:pPr>
              <w:ind w:left="10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27,150</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15,341</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700" w:type="dxa"/>
            <w:vAlign w:val="bottom"/>
          </w:tcPr>
          <w:p>
            <w:pPr>
              <w:spacing w:after="0" w:line="152" w:lineRule="exact"/>
              <w:rPr>
                <w:sz w:val="20"/>
                <w:szCs w:val="20"/>
                <w:color w:val="auto"/>
              </w:rPr>
            </w:pPr>
            <w:r>
              <w:rPr>
                <w:rFonts w:ascii="Arial" w:cs="Arial" w:eastAsia="Arial" w:hAnsi="Arial"/>
                <w:sz w:val="15"/>
                <w:szCs w:val="15"/>
                <w:b w:val="1"/>
                <w:bCs w:val="1"/>
                <w:color w:val="auto"/>
              </w:rPr>
              <w:t>NET (DECREASE) INCREASE IN CASH AND CASH EQUIVALENTS AND</w:t>
            </w: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700" w:type="dxa"/>
            <w:vAlign w:val="bottom"/>
          </w:tcPr>
          <w:p>
            <w:pPr>
              <w:ind w:left="120"/>
              <w:spacing w:after="0"/>
              <w:rPr>
                <w:sz w:val="20"/>
                <w:szCs w:val="20"/>
                <w:color w:val="auto"/>
              </w:rPr>
            </w:pPr>
            <w:r>
              <w:rPr>
                <w:rFonts w:ascii="Arial" w:cs="Arial" w:eastAsia="Arial" w:hAnsi="Arial"/>
                <w:sz w:val="15"/>
                <w:szCs w:val="15"/>
                <w:b w:val="1"/>
                <w:bCs w:val="1"/>
                <w:color w:val="auto"/>
              </w:rPr>
              <w:t>RESTRICTED CASH</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(21,650)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20,489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700" w:type="dxa"/>
            <w:vAlign w:val="bottom"/>
            <w:tcBorders>
              <w:top w:val="single" w:sz="8" w:color="CFF0FC"/>
            </w:tcBorders>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CASH AND CASH EQUIVALENTS AND RESTRICTED CASH, BEGINNING OF</w:t>
            </w:r>
          </w:p>
        </w:tc>
        <w:tc>
          <w:tcPr>
            <w:tcW w:w="11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70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PERIOD</w:t>
            </w:r>
          </w:p>
        </w:tc>
        <w:tc>
          <w:tcPr>
            <w:tcW w:w="114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48,355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22,895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line="169" w:lineRule="exact"/>
              <w:rPr>
                <w:sz w:val="20"/>
                <w:szCs w:val="20"/>
                <w:color w:val="auto"/>
              </w:rPr>
            </w:pPr>
            <w:r>
              <w:rPr>
                <w:rFonts w:ascii="Arial" w:cs="Arial" w:eastAsia="Arial" w:hAnsi="Arial"/>
                <w:sz w:val="15"/>
                <w:szCs w:val="15"/>
                <w:b w:val="1"/>
                <w:bCs w:val="1"/>
                <w:color w:val="auto"/>
              </w:rPr>
              <w:t>CASH AND CASH EQUIVALENTS AND RESTRICTED CASH, END OF PERIOD</w:t>
            </w:r>
          </w:p>
        </w:tc>
        <w:tc>
          <w:tcPr>
            <w:tcW w:w="2160" w:type="dxa"/>
            <w:vAlign w:val="bottom"/>
            <w:gridSpan w:val="2"/>
          </w:tcPr>
          <w:p>
            <w:pPr>
              <w:jc w:val="right"/>
              <w:ind w:right="865"/>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26,705</w:t>
            </w:r>
          </w:p>
        </w:tc>
        <w:tc>
          <w:tcPr>
            <w:tcW w:w="180" w:type="dxa"/>
            <w:vAlign w:val="bottom"/>
          </w:tcPr>
          <w:p>
            <w:pPr>
              <w:spacing w:after="0"/>
              <w:rPr>
                <w:sz w:val="18"/>
                <w:szCs w:val="18"/>
                <w:color w:val="auto"/>
              </w:rPr>
            </w:pPr>
          </w:p>
        </w:tc>
        <w:tc>
          <w:tcPr>
            <w:tcW w:w="1140" w:type="dxa"/>
            <w:vAlign w:val="bottom"/>
            <w:gridSpan w:val="2"/>
          </w:tcPr>
          <w:p>
            <w:pPr>
              <w:jc w:val="right"/>
              <w:ind w:right="940"/>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43,384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70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SUPPLEMENTAL CASH FLOWS DISCLOSURES:</w:t>
            </w:r>
          </w:p>
        </w:tc>
        <w:tc>
          <w:tcPr>
            <w:tcW w:w="11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5"/>
                <w:szCs w:val="15"/>
                <w:color w:val="auto"/>
              </w:rPr>
              <w:t>Interest paid in cash, net of amounts capitalized</w:t>
            </w:r>
          </w:p>
        </w:tc>
        <w:tc>
          <w:tcPr>
            <w:tcW w:w="2160" w:type="dxa"/>
            <w:vAlign w:val="bottom"/>
            <w:gridSpan w:val="2"/>
          </w:tcPr>
          <w:p>
            <w:pPr>
              <w:jc w:val="right"/>
              <w:ind w:right="865"/>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1,860</w:t>
            </w:r>
          </w:p>
        </w:tc>
        <w:tc>
          <w:tcPr>
            <w:tcW w:w="180" w:type="dxa"/>
            <w:vAlign w:val="bottom"/>
          </w:tcPr>
          <w:p>
            <w:pPr>
              <w:spacing w:after="0"/>
              <w:rPr>
                <w:sz w:val="18"/>
                <w:szCs w:val="18"/>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70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NON-CASH INVESTING AND FINANCING ACTIVITIES:</w:t>
            </w:r>
          </w:p>
        </w:tc>
        <w:tc>
          <w:tcPr>
            <w:tcW w:w="114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260"/>
              <w:spacing w:after="0"/>
              <w:rPr>
                <w:sz w:val="20"/>
                <w:szCs w:val="20"/>
                <w:color w:val="auto"/>
              </w:rPr>
            </w:pPr>
            <w:r>
              <w:rPr>
                <w:rFonts w:ascii="Arial" w:cs="Arial" w:eastAsia="Arial" w:hAnsi="Arial"/>
                <w:sz w:val="15"/>
                <w:szCs w:val="15"/>
                <w:color w:val="auto"/>
              </w:rPr>
              <w:t>Payment of note obligations through common stock issuance, net of issuance costs</w:t>
            </w:r>
          </w:p>
        </w:tc>
        <w:tc>
          <w:tcPr>
            <w:tcW w:w="1140" w:type="dxa"/>
            <w:vAlign w:val="bottom"/>
          </w:tcPr>
          <w:p>
            <w:pPr>
              <w:spacing w:after="0"/>
              <w:rPr>
                <w:sz w:val="17"/>
                <w:szCs w:val="17"/>
                <w:color w:val="auto"/>
              </w:rPr>
            </w:pP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20,405</w:t>
            </w:r>
          </w:p>
        </w:tc>
        <w:tc>
          <w:tcPr>
            <w:tcW w:w="180" w:type="dxa"/>
            <w:vAlign w:val="bottom"/>
          </w:tcPr>
          <w:p>
            <w:pPr>
              <w:spacing w:after="0"/>
              <w:rPr>
                <w:sz w:val="17"/>
                <w:szCs w:val="17"/>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5"/>
                <w:szCs w:val="15"/>
                <w:color w:val="auto"/>
              </w:rPr>
              <w:t>Payment of note payable to related party through common stock issuance</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65"/>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8,160</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Capitalization of interest on note payable to related party</w:t>
            </w:r>
          </w:p>
        </w:tc>
        <w:tc>
          <w:tcPr>
            <w:tcW w:w="1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jc w:val="right"/>
              <w:ind w:right="865"/>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940"/>
              <w:spacing w:after="0" w:line="156"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56" w:lineRule="exact"/>
              <w:rPr>
                <w:sz w:val="20"/>
                <w:szCs w:val="20"/>
                <w:color w:val="auto"/>
              </w:rPr>
            </w:pPr>
            <w:r>
              <w:rPr>
                <w:rFonts w:ascii="Arial" w:cs="Arial" w:eastAsia="Arial" w:hAnsi="Arial"/>
                <w:sz w:val="15"/>
                <w:szCs w:val="15"/>
                <w:color w:val="auto"/>
              </w:rPr>
              <w:t>10,716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5"/>
                <w:szCs w:val="15"/>
                <w:color w:val="auto"/>
              </w:rPr>
              <w:t>Accrued but unpaid debt issuance costs</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65"/>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156</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74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2017 filed with the SEC on February 27, 2018 (the “Annual Report”).</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2018 may not be indicative of the results that may be expected for the full year.</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condensed consolidated financial statements include revenue recognition and gross-to-net adjustments, assessing long-lived assets for impairment, clinical trial expenses, inventory costing and recoverability, recognized loss on purchase commitments, milestone rights liability, stock-based compensation and the determination of the provision for income taxes and corresponding deferred tax assets and liabilities and the valuation allowance recorded against net deferred tax assets.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 MannKind is a biopharmaceutical company focused on the development and commercialization of inhaled therapeutic products for diseases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diabetes and pulmonary arterial hypertension. The Company’s only approved product, Afrezza (insulin human) Inhalation Powder, is a rapid-acting inhaled insulin that was approved by the U.S. Food and Drug Administration (the “FDA”) in June 2014 to improve glycemic control in adults with diabetes. Afrezza became available by prescription in U.S. retail pharmacies in February 2015. Currently, the Company promotes Afrezza to endocrinologists and certain high-prescribing primary care physicians in the United States through its own specialty sales force. Outside of the United States, subject to receipt of the necessary foreign regulatory approvals, the Company is seeking to establish regional partnerships for the commercialization of Afrezza in foreign jurisdictions where there are commercial opportunities.</w:t>
      </w:r>
    </w:p>
    <w:p>
      <w:pPr>
        <w:spacing w:after="0" w:line="18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accompanying condensed consolidated financial statements have been prepared assuming that the Company will continue as a</w:t>
      </w:r>
      <w:r>
        <w:rPr>
          <w:rFonts w:ascii="Arial" w:cs="Arial" w:eastAsia="Arial" w:hAnsi="Arial"/>
          <w:sz w:val="16"/>
          <w:szCs w:val="16"/>
          <w:i w:val="1"/>
          <w:iCs w:val="1"/>
          <w:color w:val="auto"/>
        </w:rPr>
        <w:t xml:space="preserve"> </w:t>
      </w:r>
      <w:r>
        <w:rPr>
          <w:rFonts w:ascii="Arial" w:cs="Arial" w:eastAsia="Arial" w:hAnsi="Arial"/>
          <w:sz w:val="16"/>
          <w:szCs w:val="16"/>
          <w:color w:val="auto"/>
        </w:rPr>
        <w:t>going concern which contemplates the realization of assets and satisfaction of liabilities in the normal course of business. The Company is not currently profitable and has rarely generated positive net cash flow from operations. As of June 30, 2018, the Company had an accumulated deficit of $2.9 billion.</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June 30, 2018, the Company’s capital resources consisted of cash and cash equivalents of $26.2 million. The Company expects to continue to incur significant expenditures to support commercial manufacturing, sales and marketing of Afrezza and the development of product candidates in the Company’s pipeline. The facility agreement (the “Facility Agreement”) with Deerfield Private Design Fund II, L.P. (“Deerfield Private Design Fund”) and Deerfield Private Design International II, L.P. (collectively, “Deerfield”) that resulted in the issuance of 9.75% Senior Convertible Notes due 2019 (“2019 notes”) and the First Amendment to Facility Agreement and Registration Rights Agreement (the “First Amendment”) that resulted in the issuance of an additional tranche of 8.75% Senior Convertible Notes due 2019 (“Tranche B notes”) (see Note 7 — Borrowings) requires the Company to maintain at least $20.0 million in cash and cash equivalents as of the end of each fiscal quarter through December 31, 2018 and $25.0 million for fiscal quarters thereafter.</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June 30, 2018, the Company had $129.2 million principal amount of outstanding borrowings. The Company entered into certain transactions related to these borrowings during 2017 and 2018 that are more fully described in Note 6 — Related-Party Arrangements, Note 7 – Borrowings and Note 15 – Subsequent Events.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60"/>
        <w:spacing w:after="0" w:line="271" w:lineRule="auto"/>
        <w:rPr>
          <w:sz w:val="20"/>
          <w:szCs w:val="20"/>
          <w:color w:val="auto"/>
        </w:rPr>
      </w:pPr>
      <w:r>
        <w:rPr>
          <w:rFonts w:ascii="Arial" w:cs="Arial" w:eastAsia="Arial" w:hAnsi="Arial"/>
          <w:sz w:val="17"/>
          <w:szCs w:val="17"/>
          <w:color w:val="auto"/>
        </w:rPr>
        <w:t>The Company’s current available cash and financing sources will not be sufficient to meet its current and anticipated cash requirements. The Company plans to raise additional capital, whether through a sale of equity or debt securities, a strategic business collaboration with another company,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Successful completion of these plans is dependent on factors outside of the Company’s control. As such, management cannot be certain that such plans will be effectively implemented within one year after the date that the financial statements are issued. These factors raise substantial doubt about the Company’s ability to continue as a going concern. The financial statements do not include any adjustments that might result from the outcome of this uncertainty.</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Reverse Stock-Split </w:t>
      </w:r>
      <w:r>
        <w:rPr>
          <w:rFonts w:ascii="Arial" w:cs="Arial" w:eastAsia="Arial" w:hAnsi="Arial"/>
          <w:sz w:val="18"/>
          <w:szCs w:val="18"/>
          <w:color w:val="auto"/>
        </w:rPr>
        <w:t>- On March 1, 2017, following stockholder approval, the Company’s board of directors approved a 1-for-5 reverse stock split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common stock. On March 1, 2017, the Company filed with the Secretary of State of the State of Delaware a Certificate of Amendment of the Company’s Amended and Restated Certificate of Incorporation (the “Charter Amendment”) to effect the 1-for-5 reverse stock split of the Company’s outstanding common stock (the “Reverse Stock Split”) . The Company’s common stock began trading on the Nasdaq Global Market on a split-adjusted basis when the market opened on March 3, 2017.</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a result, prior to March 3, 2017, all common stock share amounts included in these condensed consolidated financial statements have been retroactively reduced by a factor of five, and all common stock per share amounts have been increased by a factor of five, with the exception of the Company’s common stock par value.</w:t>
      </w:r>
    </w:p>
    <w:p>
      <w:pPr>
        <w:spacing w:after="0" w:line="181"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the Company and its wholly-owned subsidiaries.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and transactions have been eliminated.</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adopted Accounting Standards Codification (“ASC”) Topic 606 -</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(“the new</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guidance”), on January 1, 2018. Under Topic 606, the Company recognizes revenue when its customers obtain control of promised goods or services, in an amount that reflects the consideration which the Company expects to be entitled in exchange for those goods or services. See below for more information about the impact of adoption of the new revenue guidance.</w:t>
      </w:r>
    </w:p>
    <w:p>
      <w:pPr>
        <w:spacing w:after="0" w:line="21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three types of contracts with customers: contracts with wholesale distributors and specialty pharmacies for commercial product sales, collaboration arrangements, and arrangements with parties to whom it has sold intellectual property.</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These Customers subsequently resell the Company’s products to retail pharmacies and certain medical centers or hospitals. Specialty pharmacies sell directly to patients. In addition to distribution agreements with Customers, the Company enters into arrangements with health care providers and payors that provide for government mandated and/or privately negotiated rebates, chargebacks, and discounts with respect to the purchase of the Company’s products.</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a point in time (based on the terms of the relevant contracts which are at delivery for wholesale distributors and at shipment for specialty pharmacies). Product revenues are recorded net of applicable reserves for variable consideration, including discounts and allowances.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 w:name="page9"/>
    <w:bookmarkEnd w:id="8"/>
    <w:p>
      <w:pPr>
        <w:ind w:right="40"/>
        <w:spacing w:after="0" w:line="297" w:lineRule="auto"/>
        <w:rPr>
          <w:sz w:val="20"/>
          <w:szCs w:val="20"/>
          <w:color w:val="auto"/>
        </w:rPr>
      </w:pPr>
      <w:r>
        <w:rPr>
          <w:rFonts w:ascii="Arial" w:cs="Arial" w:eastAsia="Arial" w:hAnsi="Arial"/>
          <w:sz w:val="16"/>
          <w:szCs w:val="16"/>
          <w:i w:val="1"/>
          <w:iCs w:val="1"/>
          <w:color w:val="auto"/>
        </w:rPr>
        <w:t xml:space="preserve">Voucher Program – </w:t>
      </w:r>
      <w:r>
        <w:rPr>
          <w:rFonts w:ascii="Arial" w:cs="Arial" w:eastAsia="Arial" w:hAnsi="Arial"/>
          <w:sz w:val="16"/>
          <w:szCs w:val="16"/>
          <w:color w:val="auto"/>
        </w:rPr>
        <w:t>Under the voucher program, potential new patients are given vouchers which they can provide to retailers for a free product. The retailers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the product to the patient for free and pay the wholesaler for the product, who pays the Company. The retailers submit the vouchers to a program administrator which pays the retailer for the product. The administrator then invoices the Company for the amount of vouchers paid plus a fee. Accordingly, on a net basis, it is not probable that the Company will receive the consideration to which it is entitled for these products. Therefore, the Company excludes such amounts from both gross and net revenue. The cost of product associated with the voucher program is included in cost of goods sold.</w:t>
      </w:r>
    </w:p>
    <w:p>
      <w:pPr>
        <w:spacing w:after="0" w:line="1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Reserves for Variable Consideration </w:t>
      </w:r>
      <w:r>
        <w:rPr>
          <w:rFonts w:ascii="Arial" w:cs="Arial" w:eastAsia="Arial" w:hAnsi="Arial"/>
          <w:sz w:val="18"/>
          <w:szCs w:val="18"/>
          <w:color w:val="auto"/>
        </w:rPr>
        <w:t>— Revenues from product sales are recorded at the net sales price (transaction price), which includes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amounts earned, or to be claimed on the related sales, and result in a reduction of accounts receivable or establishment of a current liability.</w:t>
      </w:r>
    </w:p>
    <w:p>
      <w:pPr>
        <w:spacing w:after="0" w:line="2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analyses also contemplates application of the constraint in accordance with the guidance, under which it determined a material reversal of revenue would not occur in a future period for the estimates detailed below as of June 30, 2018 and, therefore, the transaction price was not reduced further during the six months ended June 30, 2018.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216" w:lineRule="exact"/>
        <w:rPr>
          <w:sz w:val="20"/>
          <w:szCs w:val="20"/>
          <w:color w:val="auto"/>
        </w:rPr>
      </w:pPr>
    </w:p>
    <w:p>
      <w:pPr>
        <w:ind w:left="760" w:right="60"/>
        <w:spacing w:after="0" w:line="297"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 fees, such as prompt pay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 reduction to accounts receivable, net.</w:t>
      </w:r>
    </w:p>
    <w:p>
      <w:pPr>
        <w:spacing w:after="0" w:line="199" w:lineRule="exact"/>
        <w:rPr>
          <w:sz w:val="20"/>
          <w:szCs w:val="20"/>
          <w:color w:val="auto"/>
        </w:rPr>
      </w:pPr>
    </w:p>
    <w:p>
      <w:pPr>
        <w:ind w:left="760"/>
        <w:spacing w:after="0" w:line="273"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twelve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 currently estimates that 2.46% of products will be returned.</w:t>
      </w:r>
    </w:p>
    <w:p>
      <w:pPr>
        <w:spacing w:after="0" w:line="219" w:lineRule="exact"/>
        <w:rPr>
          <w:sz w:val="20"/>
          <w:szCs w:val="20"/>
          <w:color w:val="auto"/>
        </w:rPr>
      </w:pPr>
    </w:p>
    <w:p>
      <w:pPr>
        <w:ind w:left="760" w:right="20"/>
        <w:spacing w:after="0" w:line="270" w:lineRule="auto"/>
        <w:rPr>
          <w:sz w:val="20"/>
          <w:szCs w:val="20"/>
          <w:color w:val="auto"/>
        </w:rPr>
      </w:pPr>
      <w:r>
        <w:rPr>
          <w:rFonts w:ascii="Arial" w:cs="Arial" w:eastAsia="Arial" w:hAnsi="Arial"/>
          <w:sz w:val="17"/>
          <w:szCs w:val="17"/>
          <w:i w:val="1"/>
          <w:iCs w:val="1"/>
          <w:color w:val="auto"/>
        </w:rPr>
        <w:t xml:space="preserve">Provider Chargebacks and Discounts </w:t>
      </w:r>
      <w:r>
        <w:rPr>
          <w:rFonts w:ascii="Arial" w:cs="Arial" w:eastAsia="Arial" w:hAnsi="Arial"/>
          <w:sz w:val="17"/>
          <w:szCs w:val="17"/>
          <w:color w:val="auto"/>
        </w:rPr>
        <w:t>— Chargebacks for fees and discounts to providers represent the estimated obligations resulting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which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9" w:name="page10"/>
    <w:bookmarkEnd w:id="9"/>
    <w:p>
      <w:pPr>
        <w:ind w:left="760"/>
        <w:spacing w:after="0" w:line="272"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 The Company is subject to discount obligations under state Medicaid programs and Medicare. These reserves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218" w:lineRule="exact"/>
        <w:rPr>
          <w:sz w:val="20"/>
          <w:szCs w:val="20"/>
          <w:color w:val="auto"/>
        </w:rPr>
      </w:pPr>
    </w:p>
    <w:p>
      <w:pPr>
        <w:ind w:left="760"/>
        <w:spacing w:after="0" w:line="259" w:lineRule="auto"/>
        <w:rPr>
          <w:sz w:val="20"/>
          <w:szCs w:val="20"/>
          <w:color w:val="auto"/>
        </w:rPr>
      </w:pPr>
      <w:r>
        <w:rPr>
          <w:rFonts w:ascii="Arial" w:cs="Arial" w:eastAsia="Arial" w:hAnsi="Arial"/>
          <w:sz w:val="18"/>
          <w:szCs w:val="18"/>
          <w:i w:val="1"/>
          <w:iCs w:val="1"/>
          <w:color w:val="auto"/>
        </w:rPr>
        <w:t xml:space="preserve">Payor Rebates </w:t>
      </w:r>
      <w:r>
        <w:rPr>
          <w:rFonts w:ascii="Arial" w:cs="Arial" w:eastAsia="Arial" w:hAnsi="Arial"/>
          <w:sz w:val="18"/>
          <w:szCs w:val="18"/>
          <w:color w:val="auto"/>
        </w:rPr>
        <w:t>— The Company contracts with certain private payor organizations, primarily insurance companies and pharmacy benefit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payment of rebates with respect to utilization of its products. The Company estimates these rebates and records such estimates in the same period the related revenue is recognized, resulting in a reduction of product revenue and the establishment of a current liability which is included in accrued expenses and other current liabilities.</w:t>
      </w:r>
    </w:p>
    <w:p>
      <w:pPr>
        <w:spacing w:after="0" w:line="214" w:lineRule="exact"/>
        <w:rPr>
          <w:sz w:val="20"/>
          <w:szCs w:val="20"/>
          <w:color w:val="auto"/>
        </w:rPr>
      </w:pPr>
    </w:p>
    <w:p>
      <w:pPr>
        <w:ind w:left="760" w:right="60"/>
        <w:spacing w:after="0" w:line="293"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 Other incentives which the Company offers include voluntary patient support programs, such as the Company's co-pay</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in accrued expenses and other current liabilities.</w:t>
      </w:r>
    </w:p>
    <w:p>
      <w:pPr>
        <w:spacing w:after="0" w:line="2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December 31, 2017, prior to the adoption of Topic 606, the ending balance for net deferred revenue, was $3.0 million, on the Company’s condensed consolidated balance sheets which is presented net of $1.5 million in gross-to-net revenue adjustments. On January 1, 2018, deferred revenue was adjusted to zero as a result of the adoption of Topic 606 as disclosed below. For the three and six months ended June 30, 2018, shipments to three wholesale distributors represented 89% and 88%, respectively, compared with 93% and 93% respectively, for the same periods in 2017.</w:t>
      </w:r>
    </w:p>
    <w:p>
      <w:pPr>
        <w:spacing w:after="0" w:line="19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Revenue Recognition – Net Revenue – Collaborations </w:t>
      </w:r>
      <w:r>
        <w:rPr>
          <w:rFonts w:ascii="Arial" w:cs="Arial" w:eastAsia="Arial" w:hAnsi="Arial"/>
          <w:sz w:val="17"/>
          <w:szCs w:val="17"/>
          <w:color w:val="auto"/>
        </w:rPr>
        <w:t>— The Company enters into out-licensing agreements under which the Company licenses certain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to its product candidates to third parties. The terms of these arrangements may include payment to the Company of one or more of the following: non-refundable, up-front license fees; development, regulatory, and commercial milestone payments; payments for manufacturing supply services the Company provides; and royalties on net sales of licensed products and sublicenses of the rights. Each of these payments may result in license, collaboration, or other revenue, except revenue from royalties on net sales of licensed products, which would be classified as royalty revenue.</w:t>
      </w:r>
    </w:p>
    <w:p>
      <w:pPr>
        <w:spacing w:after="0" w:line="20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 If the license to the Company’s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the Company recognizes revenue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will evaluate the measure of progress each reporting period and, if necessary, adjust the measure of performance and related revenue recognition. Revenue from licenses of intellectual property is included in Net revenue - Collaboration in the condensed consolidated statement of operations.</w:t>
      </w:r>
    </w:p>
    <w:p>
      <w:pPr>
        <w:spacing w:after="0" w:line="20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each arrangement that includes development milestone payments, the Company evaluates whether the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 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generally considered as options. The Company assesses if these options provide a material right to the licensee and, if so, they are accounted for as separate performance obligations. If the Company is entitled to additional payments when the licensee exercises these options, any additional payments are recorded in license, collaboration, or other revenue when the customer obtains control of the goods, which is upon delivery.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licensing arrangements that include sales-based royalties, including milestone payments based on the level of sales, and the license is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the predominant item to which the royalties relate, the Company recognizes revenue at the later of (i) when the related sales occur, or (ii) when the performance obligation to which some or all the royalty has been allocated has been satisfied (or partially satisfied). For sales of intellectual property that include sales-based royalties, the Company estimates the amount of variable consideration that it will receive from the sales-based royalty. The Company has not recognized any royalty revenue resulting from the sale of its intellectual property in 2017 which is more fully described in Note 9, Sale of Intellectual Property.</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Revenue Recognition — Revenue — Other </w:t>
      </w:r>
      <w:r>
        <w:rPr>
          <w:rFonts w:ascii="Arial" w:cs="Arial" w:eastAsia="Arial" w:hAnsi="Arial"/>
          <w:sz w:val="18"/>
          <w:szCs w:val="18"/>
          <w:color w:val="auto"/>
        </w:rPr>
        <w:t>— Revenue-other consists of revenue from revenue from research and development work on behalf of a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as well as bulk insulin sales. For the three and six months ended June 30, 2017, revenue – other consists of $0.6 million and $2.3 million, respectively, of revenue from bulk insulin sales and sale of intellectual property to Shanghai Fosun Pharmaceutical Industrial Development Co. Ltd. (“Fosun”) which is more fully described in Note 8 – Sale of Intellectual Property.</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A significant component of cost of goods sold is current period manufacturing costs in excess of costs capitalized into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(excess capacity costs). These costs, in addition to the impact of the annual revaluation of inventory to standard costs (and the annual revaluation of deferred costs of commercial sales to standard costs in 2017), and write-offs of inventory (and write-offs of deferred costs of commercial sales in 2017) are recorded as expenses in the period in which they are incurred, rather than as a portion of inventory costs. Cost of goods sold also includes the standard cost related to Afrezza sold during the period and related variances and realized currency gain or loss in connection with the Amphastar insulin contract. The cost of goods sold also excludes the write off of cost of insulin held in inventory at the end of 2015.</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The Company records restricted cash when cash and cash equivalents are restricted as to withdrawal or usage. As of June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there was restricted cash held in an escrow account used as collateral for a letter of credit.</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stated at the lower of cost or net realizable value. The Company determines the cost of inventory using the first-in, first-out, or</w:t>
      </w:r>
      <w:r>
        <w:rPr>
          <w:rFonts w:ascii="Arial" w:cs="Arial" w:eastAsia="Arial" w:hAnsi="Arial"/>
          <w:sz w:val="17"/>
          <w:szCs w:val="17"/>
          <w:i w:val="1"/>
          <w:iCs w:val="1"/>
          <w:color w:val="auto"/>
        </w:rPr>
        <w:t xml:space="preserve"> </w:t>
      </w:r>
      <w:r>
        <w:rPr>
          <w:rFonts w:ascii="Arial" w:cs="Arial" w:eastAsia="Arial" w:hAnsi="Arial"/>
          <w:sz w:val="17"/>
          <w:szCs w:val="17"/>
          <w:color w:val="auto"/>
        </w:rPr>
        <w:t>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cost of goods sold also excludes the write off of insulin held in inventory at the end of 2015.</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The Company records rent expense for leases that contain scheduled rent increases on a straight-line basis over the lease term which begins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point at which the Company obtains control and possession of the leased property.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Recognized Loss on Purchase Commitments </w:t>
      </w:r>
      <w:r>
        <w:rPr>
          <w:rFonts w:ascii="Arial" w:cs="Arial" w:eastAsia="Arial" w:hAnsi="Arial"/>
          <w:sz w:val="18"/>
          <w:szCs w:val="18"/>
          <w:color w:val="auto"/>
        </w:rPr>
        <w:t>— The Company assesses whether losses on long term purchase commitments should be accrued. Losses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 w:name="page12"/>
    <w:bookmarkEnd w:id="11"/>
    <w:p>
      <w:pPr>
        <w:ind w:right="300"/>
        <w:spacing w:after="0" w:line="277" w:lineRule="auto"/>
        <w:rPr>
          <w:sz w:val="20"/>
          <w:szCs w:val="20"/>
          <w:color w:val="auto"/>
        </w:rPr>
      </w:pPr>
      <w:r>
        <w:rPr>
          <w:rFonts w:ascii="Arial" w:cs="Arial" w:eastAsia="Arial" w:hAnsi="Arial"/>
          <w:sz w:val="18"/>
          <w:szCs w:val="18"/>
          <w:color w:val="auto"/>
        </w:rPr>
        <w:t>The liability balance of the recognized loss on purchase commitments is $101.5 million as of June 30, 2018. No new contracts were identified in 2018 or 2017 that required a new loss on purchase commitment accrual.</w:t>
      </w:r>
    </w:p>
    <w:p>
      <w:pPr>
        <w:spacing w:after="0" w:line="2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31"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 loss</w:t>
      </w:r>
      <w:r>
        <w:rPr>
          <w:rFonts w:ascii="Arial" w:cs="Arial" w:eastAsia="Arial" w:hAnsi="Arial"/>
          <w:sz w:val="17"/>
          <w:szCs w:val="17"/>
          <w:i w:val="1"/>
          <w:iCs w:val="1"/>
          <w:color w:val="auto"/>
        </w:rPr>
        <w:t xml:space="preserve"> </w:t>
      </w:r>
      <w:r>
        <w:rPr>
          <w:rFonts w:ascii="Arial" w:cs="Arial" w:eastAsia="Arial" w:hAnsi="Arial"/>
          <w:sz w:val="17"/>
          <w:szCs w:val="17"/>
          <w:color w:val="auto"/>
        </w:rPr>
        <w:t>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Share-based payments to employees, including grants of stock options, restricted stock units, performance-based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compensatory elements of employee stock purchase plans, are recognized in the condensed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Clinical Trial Expenses </w:t>
      </w:r>
      <w:r>
        <w:rPr>
          <w:rFonts w:ascii="Arial" w:cs="Arial" w:eastAsia="Arial" w:hAnsi="Arial"/>
          <w:sz w:val="16"/>
          <w:szCs w:val="16"/>
          <w:color w:val="auto"/>
        </w:rPr>
        <w:t>— Clinical trial expenses, which are primarily reflected in research and development expenses in the accompanying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statements of operations, 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condensed consolidated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 computed by</w:t>
      </w:r>
      <w:r>
        <w:rPr>
          <w:rFonts w:ascii="Arial" w:cs="Arial" w:eastAsia="Arial" w:hAnsi="Arial"/>
          <w:sz w:val="18"/>
          <w:szCs w:val="18"/>
          <w:i w:val="1"/>
          <w:iCs w:val="1"/>
          <w:color w:val="auto"/>
        </w:rPr>
        <w:t xml:space="preserve"> </w:t>
      </w:r>
      <w:r>
        <w:rPr>
          <w:rFonts w:ascii="Arial" w:cs="Arial" w:eastAsia="Arial" w:hAnsi="Arial"/>
          <w:sz w:val="18"/>
          <w:szCs w:val="18"/>
          <w:color w:val="auto"/>
        </w:rPr>
        <w:t>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 w:name="page13"/>
    <w:bookmarkEnd w:id="12"/>
    <w:p>
      <w:pPr>
        <w:ind w:right="460"/>
        <w:spacing w:after="0" w:line="277" w:lineRule="auto"/>
        <w:rPr>
          <w:sz w:val="20"/>
          <w:szCs w:val="20"/>
          <w:color w:val="auto"/>
        </w:rPr>
      </w:pPr>
      <w:r>
        <w:rPr>
          <w:rFonts w:ascii="Arial" w:cs="Arial" w:eastAsia="Arial" w:hAnsi="Arial"/>
          <w:sz w:val="18"/>
          <w:szCs w:val="18"/>
          <w:color w:val="auto"/>
        </w:rPr>
        <w:t>The computation of basic and diluted net loss per share for the six months ended June 30, 2018 and 2017 excludes the common stock equivalents of the following potentially dilutive securities because their inclusion would be anti-dilutive:</w:t>
      </w:r>
    </w:p>
    <w:p>
      <w:pPr>
        <w:spacing w:after="0" w:line="176"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June 30,</w:t>
      </w:r>
    </w:p>
    <w:p>
      <w:pPr>
        <w:jc w:val="center"/>
        <w:ind w:left="5520"/>
        <w:spacing w:after="0" w:line="236" w:lineRule="auto"/>
        <w:rPr>
          <w:sz w:val="20"/>
          <w:szCs w:val="20"/>
          <w:color w:val="auto"/>
        </w:rPr>
      </w:pPr>
      <w:r>
        <w:rPr>
          <w:rFonts w:ascii="Arial" w:cs="Arial" w:eastAsia="Arial" w:hAnsi="Arial"/>
          <w:sz w:val="14"/>
          <w:szCs w:val="14"/>
          <w:b w:val="1"/>
          <w:bCs w:val="1"/>
          <w:color w:val="auto"/>
        </w:rPr>
        <w:t>2018</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62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1,219,419</w:t>
            </w: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248,067</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11,368,356</w:t>
            </w: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7,972,175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Conversion of convertible notes into common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14,154,500</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814,561</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related party notes into common</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21,909,541</w:t>
            </w:r>
          </w:p>
        </w:tc>
        <w:tc>
          <w:tcPr>
            <w:tcW w:w="26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580" w:type="dxa"/>
            <w:vAlign w:val="bottom"/>
          </w:tcPr>
          <w:p>
            <w:pPr>
              <w:jc w:val="right"/>
              <w:spacing w:after="0"/>
              <w:rPr>
                <w:sz w:val="20"/>
                <w:szCs w:val="20"/>
                <w:color w:val="auto"/>
              </w:rPr>
            </w:pPr>
            <w:r>
              <w:rPr>
                <w:rFonts w:ascii="Arial" w:cs="Arial" w:eastAsia="Arial" w:hAnsi="Arial"/>
                <w:sz w:val="18"/>
                <w:szCs w:val="18"/>
                <w:color w:val="auto"/>
              </w:rPr>
              <w:t>31,856</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9,740,597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direct placement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62,931,739</w:t>
            </w:r>
          </w:p>
        </w:tc>
        <w:tc>
          <w:tcPr>
            <w:tcW w:w="2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19,720,433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Impact of Adoption of the New Revenue Guidance </w:t>
      </w:r>
      <w:r>
        <w:rPr>
          <w:rFonts w:ascii="Arial" w:cs="Arial" w:eastAsia="Arial" w:hAnsi="Arial"/>
          <w:sz w:val="18"/>
          <w:szCs w:val="18"/>
          <w:color w:val="auto"/>
        </w:rPr>
        <w:t>– The Company applied the new revenue guidance using the modified retrospective approach to all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the cumulative effect of initial application recognized as of January 1, 2018. The comparative information has not been restated and continues to be accounted for under the previous accounting guidance.</w:t>
      </w:r>
    </w:p>
    <w:p>
      <w:pPr>
        <w:spacing w:after="0" w:line="2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previous accounting guidance required the Company to reliably estimate returns in order to recognize revenue upon shipment. While the Company could estimate returns within a range, it was not sufficiently precise to meet those requirements. Accordingly, under the previous guidance, the Company deferred recognition of revenue on Afrezza product deliveries to wholesalers until the right of return no longer existed, which occurred at the earlier of the time Afrezza was dispensed from pharmacies to patients or expiration of the right of return. Therefore, for deliveries to wholesalers, the Company recognized revenue based on estimated Afrezza patient prescriptions dispensed, a sell-through model.</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Upon adoption of the new revenue guidance, the Company moved from the sell-through model to a sell-to model for revenue related to commercial sales of Afrezza to wholesalers and now records revenue when its customers take control of the product along with an estimate of potential returns as variable consideration. For sales of Afrezza to specialty pharmacies, the Company previously recognized revenue at the time of shipment because specialty pharmacies generally purchase on demand and estimated returns are minimal. Therefore, there was no impact upon adoption for sales to specialty pharmacies.</w:t>
      </w:r>
    </w:p>
    <w:p>
      <w:pPr>
        <w:spacing w:after="0" w:line="19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Additionally, the Company has historically entered into collaborative agreements and sales of intellectual property to third parties under which periodic payments have been received. In February 2017, the FASB issued ASU 2017-05 </w:t>
      </w:r>
      <w:r>
        <w:rPr>
          <w:rFonts w:ascii="Arial" w:cs="Arial" w:eastAsia="Arial" w:hAnsi="Arial"/>
          <w:sz w:val="17"/>
          <w:szCs w:val="17"/>
          <w:i w:val="1"/>
          <w:iCs w:val="1"/>
          <w:color w:val="auto"/>
        </w:rPr>
        <w:t>Clarifying the Scope of Asset Derecognition Guidance and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Partial Sales of Nonfinancial Assets to ASC Subtopic 610-20, Other Income-Gains and Losses from the Derecognition of Nonfinancial Assets </w:t>
      </w:r>
      <w:r>
        <w:rPr>
          <w:rFonts w:ascii="Arial" w:cs="Arial" w:eastAsia="Arial" w:hAnsi="Arial"/>
          <w:sz w:val="17"/>
          <w:szCs w:val="17"/>
          <w:color w:val="auto"/>
        </w:rPr>
        <w:t>which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clarified the new revenue recognition guidance under ASC Topic 606. The Company adopted the guidance on January 1, 2018 using the modified retrospective method. There was no impact upon adoption related to these arrangements. These transactions are more fully described in Note 8 - Collaborative Arrangements and Note 9 - Sale of Intellectual Property.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The cumulative effect of the changes made to the condensed consolidated January 1, 2018 balance sheet for the adoption of the new revenue guidance were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due to new</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guidance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January 1, 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Accounts receivable, net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2,789</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line="230" w:lineRule="exact"/>
              <w:rPr>
                <w:sz w:val="20"/>
                <w:szCs w:val="20"/>
                <w:color w:val="auto"/>
              </w:rPr>
            </w:pPr>
            <w:r>
              <w:rPr>
                <w:rFonts w:ascii="Arial" w:cs="Arial" w:eastAsia="Arial" w:hAnsi="Arial"/>
                <w:sz w:val="17"/>
                <w:szCs w:val="17"/>
                <w:color w:val="auto"/>
              </w:rPr>
              <w:t xml:space="preserve">(111) </w:t>
            </w:r>
            <w:r>
              <w:rPr>
                <w:rFonts w:ascii="Arial" w:cs="Arial" w:eastAsia="Arial" w:hAnsi="Arial"/>
                <w:sz w:val="26"/>
                <w:szCs w:val="26"/>
                <w:color w:val="auto"/>
                <w:vertAlign w:val="superscript"/>
              </w:rPr>
              <w:t>(1)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costs from commercial product</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sales</w:t>
            </w: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Liabilities</w:t>
            </w:r>
          </w:p>
        </w:tc>
        <w:tc>
          <w:tcPr>
            <w:tcW w:w="26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Accrued expenses and other current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4"/>
          </w:tcPr>
          <w:p>
            <w:pPr>
              <w:ind w:left="120"/>
              <w:spacing w:after="0"/>
              <w:rPr>
                <w:sz w:val="20"/>
                <w:szCs w:val="20"/>
                <w:color w:val="auto"/>
              </w:rPr>
            </w:pPr>
            <w:r>
              <w:rPr>
                <w:rFonts w:ascii="Arial" w:cs="Arial" w:eastAsia="Arial" w:hAnsi="Arial"/>
                <w:sz w:val="18"/>
                <w:szCs w:val="18"/>
                <w:color w:val="auto"/>
              </w:rPr>
              <w:t>liabilities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12,449</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649</w:t>
            </w:r>
          </w:p>
        </w:tc>
        <w:tc>
          <w:tcPr>
            <w:tcW w:w="36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13,098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 net</w:t>
            </w: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line="230" w:lineRule="exact"/>
              <w:rPr>
                <w:sz w:val="20"/>
                <w:szCs w:val="20"/>
                <w:color w:val="auto"/>
              </w:rPr>
            </w:pPr>
            <w:r>
              <w:rPr>
                <w:rFonts w:ascii="Arial" w:cs="Arial" w:eastAsia="Arial" w:hAnsi="Arial"/>
                <w:sz w:val="17"/>
                <w:szCs w:val="17"/>
                <w:color w:val="auto"/>
              </w:rPr>
              <w:t xml:space="preserve">(3,038) </w:t>
            </w:r>
            <w:r>
              <w:rPr>
                <w:rFonts w:ascii="Arial" w:cs="Arial" w:eastAsia="Arial" w:hAnsi="Arial"/>
                <w:sz w:val="26"/>
                <w:szCs w:val="26"/>
                <w:color w:val="auto"/>
                <w:vertAlign w:val="subscript"/>
              </w:rPr>
              <w:t>(4)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2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Equity</w:t>
            </w: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vMerge w:val="continue"/>
          </w:tcPr>
          <w:p>
            <w:pPr>
              <w:spacing w:after="0"/>
              <w:rPr>
                <w:sz w:val="24"/>
                <w:szCs w:val="24"/>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(2,854,898)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1,873 </w:t>
            </w:r>
            <w:r>
              <w:rPr>
                <w:rFonts w:ascii="Arial" w:cs="Arial" w:eastAsia="Arial" w:hAnsi="Arial"/>
                <w:sz w:val="28"/>
                <w:szCs w:val="28"/>
                <w:color w:val="auto"/>
                <w:vertAlign w:val="superscript"/>
              </w:rPr>
              <w:t>(5)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(2,853,025)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establish a reserve for product returns</w:t>
      </w:r>
    </w:p>
    <w:p>
      <w:pPr>
        <w:spacing w:after="0" w:line="23" w:lineRule="exact"/>
        <w:rPr>
          <w:rFonts w:ascii="Arial" w:cs="Arial" w:eastAsia="Arial" w:hAnsi="Arial"/>
          <w:sz w:val="18"/>
          <w:szCs w:val="18"/>
          <w:i w:val="1"/>
          <w:iCs w:val="1"/>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eliminate deferred costs from commercial product sales previously required by the sell-through method</w:t>
      </w:r>
    </w:p>
    <w:p>
      <w:pPr>
        <w:spacing w:after="0" w:line="9" w:lineRule="exact"/>
        <w:rPr>
          <w:rFonts w:ascii="Arial" w:cs="Arial" w:eastAsia="Arial" w:hAnsi="Arial"/>
          <w:sz w:val="18"/>
          <w:szCs w:val="18"/>
          <w:i w:val="1"/>
          <w:iCs w:val="1"/>
          <w:color w:val="auto"/>
        </w:rPr>
      </w:pPr>
    </w:p>
    <w:p>
      <w:pPr>
        <w:ind w:left="900" w:hanging="514"/>
        <w:spacing w:after="0"/>
        <w:tabs>
          <w:tab w:leader="none" w:pos="90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To record additional accrual for estimated voucher payments related to inventory remaining in the distribution channel at January 1, 2018</w:t>
      </w:r>
    </w:p>
    <w:p>
      <w:pPr>
        <w:spacing w:after="0" w:line="20" w:lineRule="exact"/>
        <w:rPr>
          <w:rFonts w:ascii="Arial" w:cs="Arial" w:eastAsia="Arial" w:hAnsi="Arial"/>
          <w:sz w:val="17"/>
          <w:szCs w:val="17"/>
          <w:i w:val="1"/>
          <w:iCs w:val="1"/>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eliminate deferred revenue previously required by the sell-through method</w:t>
      </w:r>
    </w:p>
    <w:p>
      <w:pPr>
        <w:spacing w:after="0" w:line="9" w:lineRule="exact"/>
        <w:rPr>
          <w:rFonts w:ascii="Arial" w:cs="Arial" w:eastAsia="Arial" w:hAnsi="Arial"/>
          <w:sz w:val="18"/>
          <w:szCs w:val="18"/>
          <w:i w:val="1"/>
          <w:iCs w:val="1"/>
          <w:color w:val="auto"/>
        </w:rPr>
      </w:pPr>
    </w:p>
    <w:p>
      <w:pPr>
        <w:ind w:left="900" w:hanging="514"/>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To record the net impact of (1)-(4) in opening accumulated deficit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right="560"/>
        <w:spacing w:after="0" w:line="277" w:lineRule="auto"/>
        <w:rPr>
          <w:sz w:val="20"/>
          <w:szCs w:val="20"/>
          <w:color w:val="auto"/>
        </w:rPr>
      </w:pPr>
      <w:r>
        <w:rPr>
          <w:rFonts w:ascii="Arial" w:cs="Arial" w:eastAsia="Arial" w:hAnsi="Arial"/>
          <w:sz w:val="18"/>
          <w:szCs w:val="18"/>
          <w:color w:val="auto"/>
        </w:rPr>
        <w:t>In accordance with the new revenue guidance, the disclosure of the impact of adoption on the condensed consolidated balance sheet and the condensed consolidated statement of operations and cash flows was as follows (in thousands):</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Condensed Consolidated Balance Sheet</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8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1"/>
              </w:rPr>
              <w:t>For the six months ended June 30,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18"/>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tcBorders>
              <w:top w:val="single" w:sz="8" w:color="CFF0FC"/>
            </w:tcBorders>
            <w:gridSpan w:val="6"/>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Accounts receivable, net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2,848</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Deferred costs from commercial product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6"/>
            <w:shd w:val="clear" w:color="auto" w:fill="CFF0FC"/>
          </w:tcPr>
          <w:p>
            <w:pPr>
              <w:ind w:left="120"/>
              <w:spacing w:after="0"/>
              <w:rPr>
                <w:sz w:val="20"/>
                <w:szCs w:val="20"/>
                <w:color w:val="auto"/>
              </w:rPr>
            </w:pPr>
            <w:r>
              <w:rPr>
                <w:rFonts w:ascii="Arial" w:cs="Arial" w:eastAsia="Arial" w:hAnsi="Arial"/>
                <w:sz w:val="18"/>
                <w:szCs w:val="18"/>
                <w:color w:val="auto"/>
              </w:rPr>
              <w:t>sales</w:t>
            </w: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gridSpan w:val="5"/>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Liabilities</w:t>
            </w:r>
          </w:p>
        </w:tc>
        <w:tc>
          <w:tcPr>
            <w:tcW w:w="27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Accrued expenses and other current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6"/>
          </w:tcPr>
          <w:p>
            <w:pPr>
              <w:ind w:left="120"/>
              <w:spacing w:after="0"/>
              <w:rPr>
                <w:sz w:val="20"/>
                <w:szCs w:val="20"/>
                <w:color w:val="auto"/>
              </w:rPr>
            </w:pPr>
            <w:r>
              <w:rPr>
                <w:rFonts w:ascii="Arial" w:cs="Arial" w:eastAsia="Arial" w:hAnsi="Arial"/>
                <w:sz w:val="18"/>
                <w:szCs w:val="18"/>
                <w:color w:val="auto"/>
              </w:rPr>
              <w:t>liabilities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14,075</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13,596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Deferred revenue, net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gridSpan w:val="6"/>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Equity</w:t>
            </w: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Accumulated deficit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(2,906,085)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(2,907,591)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Condensed Consolidated Statement of</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6"/>
          </w:tcPr>
          <w:p>
            <w:pPr>
              <w:ind w:left="120"/>
              <w:spacing w:after="0"/>
              <w:rPr>
                <w:sz w:val="20"/>
                <w:szCs w:val="20"/>
                <w:color w:val="auto"/>
              </w:rPr>
            </w:pPr>
            <w:r>
              <w:rPr>
                <w:rFonts w:ascii="Arial" w:cs="Arial" w:eastAsia="Arial" w:hAnsi="Arial"/>
                <w:sz w:val="18"/>
                <w:szCs w:val="18"/>
                <w:b w:val="1"/>
                <w:bCs w:val="1"/>
                <w:i w:val="1"/>
                <w:iCs w:val="1"/>
                <w:color w:val="auto"/>
              </w:rPr>
              <w:t>Operations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8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1"/>
              </w:rPr>
              <w:t>For the six months ended June 30,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18"/>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tcBorders>
              <w:top w:val="single" w:sz="8" w:color="CFF0FC"/>
            </w:tcBorders>
            <w:gridSpan w:val="6"/>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Revenue</w:t>
            </w:r>
          </w:p>
        </w:tc>
        <w:tc>
          <w:tcPr>
            <w:tcW w:w="5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Net revenue - commercial product sales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7,155</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gridSpan w:val="6"/>
          </w:tcPr>
          <w:p>
            <w:pPr>
              <w:spacing w:after="0" w:line="189" w:lineRule="exact"/>
              <w:rPr>
                <w:sz w:val="20"/>
                <w:szCs w:val="20"/>
                <w:color w:val="auto"/>
              </w:rPr>
            </w:pPr>
            <w:r>
              <w:rPr>
                <w:rFonts w:ascii="Arial" w:cs="Arial" w:eastAsia="Arial" w:hAnsi="Arial"/>
                <w:sz w:val="18"/>
                <w:szCs w:val="18"/>
                <w:b w:val="1"/>
                <w:bCs w:val="1"/>
                <w:color w:val="auto"/>
              </w:rPr>
              <w:t>Expenses</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6"/>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(53,060)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(52,858)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ind w:right="300"/>
        <w:spacing w:after="0" w:line="254" w:lineRule="auto"/>
        <w:rPr>
          <w:sz w:val="20"/>
          <w:szCs w:val="20"/>
          <w:color w:val="auto"/>
        </w:rPr>
      </w:pPr>
      <w:r>
        <w:rPr>
          <w:rFonts w:ascii="Arial" w:cs="Arial" w:eastAsia="Arial" w:hAnsi="Arial"/>
          <w:sz w:val="18"/>
          <w:szCs w:val="18"/>
          <w:i w:val="1"/>
          <w:iCs w:val="1"/>
          <w:color w:val="auto"/>
        </w:rPr>
        <w:t xml:space="preserve">Change in Estimate </w:t>
      </w:r>
      <w:r>
        <w:rPr>
          <w:rFonts w:ascii="Arial" w:cs="Arial" w:eastAsia="Arial" w:hAnsi="Arial"/>
          <w:sz w:val="18"/>
          <w:szCs w:val="18"/>
          <w:color w:val="auto"/>
        </w:rPr>
        <w:t>– In the second quarter of 2018, the Company obtained new and more comprehensive prescription data from a third party. This data</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that the net revenue amount was less than previously estimated in the first quarter 2018. Because the new data was more comprehensive than the data that was previously available to the Company, the Company adjusted the net revenue balance to match the new estimate. The net effect of this change was a reduction to net revenue of $0.4 million for the period ended March 31,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80" w:type="dxa"/>
            <w:vAlign w:val="bottom"/>
            <w:gridSpan w:val="10"/>
          </w:tcPr>
          <w:p>
            <w:pPr>
              <w:jc w:val="right"/>
              <w:ind w:right="1320"/>
              <w:spacing w:after="0"/>
              <w:rPr>
                <w:sz w:val="20"/>
                <w:szCs w:val="20"/>
                <w:color w:val="auto"/>
              </w:rPr>
            </w:pPr>
            <w:r>
              <w:rPr>
                <w:rFonts w:ascii="Arial" w:cs="Arial" w:eastAsia="Arial" w:hAnsi="Arial"/>
                <w:sz w:val="14"/>
                <w:szCs w:val="14"/>
                <w:b w:val="1"/>
                <w:bCs w:val="1"/>
                <w:color w:val="auto"/>
              </w:rPr>
              <w:t>For the three months ended June 30, 2018</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19"/>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Revenue</w:t>
            </w:r>
          </w:p>
        </w:tc>
        <w:tc>
          <w:tcPr>
            <w:tcW w:w="5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64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Net revenue - commercial product sales</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3,753</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3,365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4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Expenses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(22,675)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(22,853)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816"/>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92" w:right="219" w:bottom="1440" w:gutter="0" w:footer="0" w:header="0"/>
        </w:sectPr>
      </w:pPr>
    </w:p>
    <w:bookmarkStart w:id="15" w:name="page16"/>
    <w:bookmarkEnd w:id="15"/>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80" w:type="dxa"/>
            <w:vAlign w:val="bottom"/>
            <w:gridSpan w:val="10"/>
          </w:tcPr>
          <w:p>
            <w:pPr>
              <w:jc w:val="right"/>
              <w:ind w:right="1400"/>
              <w:spacing w:after="0"/>
              <w:rPr>
                <w:sz w:val="20"/>
                <w:szCs w:val="20"/>
                <w:color w:val="auto"/>
              </w:rPr>
            </w:pPr>
            <w:r>
              <w:rPr>
                <w:rFonts w:ascii="Arial" w:cs="Arial" w:eastAsia="Arial" w:hAnsi="Arial"/>
                <w:sz w:val="14"/>
                <w:szCs w:val="14"/>
                <w:b w:val="1"/>
                <w:bCs w:val="1"/>
                <w:color w:val="auto"/>
              </w:rPr>
              <w:t>For the six months ended June 30, 2018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16"/>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606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90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9"/>
              </w:rPr>
              <w:t>Cash Flows from Operating Activities</w:t>
            </w:r>
          </w:p>
        </w:tc>
        <w:tc>
          <w:tcPr>
            <w:tcW w:w="56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(53,060)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(52,858)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costs from commercial product</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w:t>
            </w: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Accrued expenses and other current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liabilities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 net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Cash (used in) provided by operating</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activities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(48,800)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(48,965)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w:t>
      </w:r>
      <w:r>
        <w:rPr>
          <w:rFonts w:ascii="Arial" w:cs="Arial" w:eastAsia="Arial" w:hAnsi="Arial"/>
          <w:sz w:val="16"/>
          <w:szCs w:val="16"/>
          <w:color w:val="auto"/>
        </w:rPr>
        <w:t>2). The new standard requires that all lessees recognize the assets and liabilities that arise from operating leases on the balance sheet and disclose qualitative and quantitative information about its leasing arrangements.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new standard will be effective on January 1, 2019. The Company is evaluating the impact the adoption of ASU No. 2016-02 will have on its condensed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40" w:type="dxa"/>
            <w:vAlign w:val="bottom"/>
          </w:tcPr>
          <w:p>
            <w:pPr>
              <w:spacing w:after="0"/>
              <w:rPr>
                <w:sz w:val="14"/>
                <w:szCs w:val="14"/>
                <w:color w:val="auto"/>
              </w:rPr>
            </w:pPr>
          </w:p>
        </w:tc>
        <w:tc>
          <w:tcPr>
            <w:tcW w:w="178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7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3,617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Wholesaler distribution fees and prompt pay</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discounts</w:t>
            </w: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7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2,848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the Company did not have a return reserve as the Company was on the sell-through method (as described in Note 1 – Description of Business and Significant Accounting Policies).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As of June 30, 2018 and December 31, 2017, the allowance for doubtful accounts was </w:t>
      </w:r>
      <w:r>
        <w:rPr>
          <w:rFonts w:ascii="Arial" w:cs="Arial" w:eastAsia="Arial" w:hAnsi="Arial"/>
          <w:sz w:val="18"/>
          <w:szCs w:val="18"/>
          <w:i w:val="1"/>
          <w:iCs w:val="1"/>
          <w:color w:val="auto"/>
        </w:rPr>
        <w:t>de minimis</w:t>
      </w:r>
      <w:r>
        <w:rPr>
          <w:rFonts w:ascii="Arial" w:cs="Arial" w:eastAsia="Arial" w:hAnsi="Arial"/>
          <w:sz w:val="18"/>
          <w:szCs w:val="18"/>
          <w:color w:val="auto"/>
        </w:rPr>
        <w:t>. As of June 30, 2018 and December 31, 2017, the Company had three wholesale distributors representing approximately 92% and 93% of gross accounts receivable,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960" w:type="dxa"/>
            <w:vAlign w:val="bottom"/>
          </w:tcPr>
          <w:p>
            <w:pPr>
              <w:spacing w:after="0"/>
              <w:rPr>
                <w:sz w:val="14"/>
                <w:szCs w:val="14"/>
                <w:color w:val="auto"/>
              </w:rPr>
            </w:pPr>
          </w:p>
        </w:tc>
        <w:tc>
          <w:tcPr>
            <w:tcW w:w="28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23"/>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7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1,111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Work-in-process</w:t>
            </w: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1,502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1,273</w:t>
            </w:r>
          </w:p>
        </w:tc>
        <w:tc>
          <w:tcPr>
            <w:tcW w:w="60" w:type="dxa"/>
            <w:vAlign w:val="bottom"/>
          </w:tcPr>
          <w:p>
            <w:pPr>
              <w:spacing w:after="0"/>
              <w:rPr>
                <w:sz w:val="19"/>
                <w:szCs w:val="19"/>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7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1,063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FF0FC"/>
          </w:tcPr>
          <w:p>
            <w:pPr>
              <w:spacing w:after="0"/>
              <w:rPr>
                <w:sz w:val="19"/>
                <w:szCs w:val="19"/>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Total inventory</w:t>
            </w:r>
          </w:p>
        </w:tc>
        <w:tc>
          <w:tcPr>
            <w:tcW w:w="174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3,676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6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Work-in-process and finished goods as of June 30, 2018 and December 31, 2017 include conversion costs but not all material costs because the materials used in its production were previously written off.</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analyzed its inventory levels to identify inventory that may expire or has a cost basis in excess of its estimated realizable value. The Company performed an assessment of projected sales and evaluated the lower of cost or net realizable value and the potential excess inventory on hand at June 30, 2018. For the three and six months ended June 30, 2018 the Company recorded a $0.2 million and $0.8 million charge, respectively, to write-off inventory that may expire prior to sale which was recorded as cost of goods sold. During the three and six months ended June 30, 2017, the Company recorded a write-down of inventory of approximately $1.5 million for inventory that was forecasted to become obsolete due to expiration which is recorded in costs of goods sold in the accompanying condensed consolidated statements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rPr>
              <w:t>Estimated Useful</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Life (Years)</w:t>
            </w: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Buildings</w:t>
            </w:r>
          </w:p>
        </w:tc>
        <w:tc>
          <w:tcPr>
            <w:tcW w:w="142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2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Computer equipment and software</w:t>
            </w:r>
          </w:p>
        </w:tc>
        <w:tc>
          <w:tcPr>
            <w:tcW w:w="1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127,874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(101,388)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(100,952)</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property and equipment for the three and six months ended June 30, 2018 and 2017 was as follows (in thousands):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60" w:type="dxa"/>
            <w:vAlign w:val="bottom"/>
            <w:gridSpan w:val="4"/>
          </w:tcPr>
          <w:p>
            <w:pPr>
              <w:jc w:val="center"/>
              <w:ind w:left="187"/>
              <w:spacing w:after="0"/>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w w:val="92"/>
              </w:rPr>
              <w:t>For the Six Months Ended June 30,</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385"/>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9"/>
                <w:szCs w:val="19"/>
                <w:color w:val="auto"/>
              </w:rPr>
            </w:pPr>
          </w:p>
        </w:tc>
        <w:tc>
          <w:tcPr>
            <w:tcW w:w="100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2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8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445</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450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During the six months ended June 30, 2018, the Company disposed of $0.5 million of certain fully depreciated furniture, fixtures and office equipment which were no longer in service. Therefore, the cost and associated accumulated depreciation for these items were removed from the balance sheet.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7,260</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1,643</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FF0FC"/>
          </w:tcPr>
          <w:p>
            <w:pPr>
              <w:spacing w:after="0"/>
              <w:rPr>
                <w:sz w:val="19"/>
                <w:szCs w:val="19"/>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Discounts and allowances for commercial product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20"/>
                <w:szCs w:val="20"/>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services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External Clinical Trial</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FF0FC"/>
          </w:tcPr>
          <w:p>
            <w:pPr>
              <w:spacing w:after="0"/>
              <w:rPr>
                <w:sz w:val="19"/>
                <w:szCs w:val="19"/>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14,075</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w:t>
            </w: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Accrued salary and related expenses includes $1.0 million in selling, general and administrative costs related to transitioning certain corporate support functions from Connecticut to the corporate headquarters in California.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Related party debt consist of the following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6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Unamortized premium</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Unaccreted debt issuance costs</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Net carrying amount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79,666</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In October 2007, the Company entered into a loan arrangement (the “Mann Group Loan Arrangement”) with The Mann Group LLC (the “The Mann Group”), which has been amended from time to time. At that time, Alfred Mann, the Company’s then Chairman and Chief Executive Officer, was the managing member of The Mann Group LLC. On October 31, 2013, the promissory note underlying the Mann Group Loan Arrangement, described in the Company’s condensed consolidated balance sheets as Note Payable to Related Party,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 At various times over the years that the Mann Group Loan Arrangement has been outstanding, the Company and The Mann Group have agreed to exchange portions of the outstanding principal for shares of the Company’s common stock.</w:t>
      </w:r>
    </w:p>
    <w:p>
      <w:pPr>
        <w:spacing w:after="0" w:line="15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June 27, 2017, the Company entered into an agreement with The Mann Group, pursuant to which the parties agreed to, among other things, (i) capitalize $10.7 million of accrued and unpaid interest as of June 30, 2017, resulting in such amount being classified as outstanding principal under The Mann Group Loan Arrangement; (ii) advance to the Company approximately $19.4 million of cash, the remaining amount available for borrowing by the Company under The Mann Group Loan Arrangement after the foregoing capitalization of accrued and unpaid interest; and (iii) defer all interest payable on the outstanding principal until July 1, 2018, unless such payments are otherwise permitted under the subordination agreement with Deerfield, and subject to further deferral pursuant to the terms of the subordination agreement with Deerfield which terms are more fully disclosed below.</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March 11, 2018, the Company amended and restated the Mann Group Loan Arrangement with The Mann Group to, among other things, (i) reflect the current outstanding principal balance of the existing loan of $71.5 million, after giving effect to the partial cancellation of principal in exchange for shares of the Company’s common stock described below; (ii) extend the maturity date of the loan to July 1, 2021; (iii) for periods beginning after April 1, 2018 require interest to compound quarterly; and (iv) permit the principal and any accrued and unpaid interest under the Mann Group Loan Arrangement to be converted, at the option of The Mann Group, at any time on or prior to close of business on the business day immediately preceding the stated maturity date, into shares of the Company’s common stock. The conversion rate of 250 shares per $1,000 principal amount of the Note, which is equal to $4.00 per share subject to adjustment under certain circumstances as described in the Mann Group Loan Arrangement.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ind w:right="240"/>
        <w:spacing w:after="0" w:line="264" w:lineRule="auto"/>
        <w:rPr>
          <w:sz w:val="20"/>
          <w:szCs w:val="20"/>
          <w:color w:val="auto"/>
        </w:rPr>
      </w:pPr>
      <w:r>
        <w:rPr>
          <w:rFonts w:ascii="Arial" w:cs="Arial" w:eastAsia="Arial" w:hAnsi="Arial"/>
          <w:sz w:val="18"/>
          <w:szCs w:val="18"/>
          <w:color w:val="auto"/>
        </w:rPr>
        <w:t>The Company analyzed this amendment and concluded that the transaction represented an extinguishment of the related party note and recorded a $0.8 million loss on extinguishment of debt. As a result of the extinguishment the Company recorded a debt premium of $0.8 million and debt issuance costs of $0.1 million during the six months ended June 30, 2018.</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March 11, 2018, the Company and The Mann Group entered into a common stock purchase agreement pursuant to which the Company agreed to issue to The Mann Group and The Mann Group agreed to purchase 3,000,000 shares of the Company’s common stock at a price per share of $2.72 which represented the closing price of the Company’s common stock on March 9, 2018. As payment for the purchase price for the shares, The Mann Group agreed to cancel $8.2 million in principal amount under the Mann Group Loan Arrangement, with the principal payment to be reflected in the amended and restated Mann Group Loan Arrangement. The purchased shares were issued in a private placement.</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Interest, at a fixed rate of 5.84%, is due and payable quarterly in arrears on the first day of each calendar quarter for the preceding quarter, or at such other time as the Company and The Mann Group mutually agree. Under the agreement, accrued and unpaid interest may be paid-in-kind. The Mann Group can require the Company to prepay up to $200.0 million in advances that have been outstanding for at least 12 months, less approximately $113.2 million aggregate principal amount that has been cancelled in connection with three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7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As of June 30, 2018 and December 31, 2017, the Company had accrued unpaid interest related to the above note of $4.6 million and $2.3 million, respectively. As of June 30, 2018 and December 31, 2017 there were no additional amounts available for future borrowings. Interest expense (excluding the amortization of debt premium and debt issuance costs) for the three and six months ended June 30, 2018 and 2017 are as follows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2"/>
              </w:rPr>
              <w:t>Six Months Ended June 30,</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1060" w:type="dxa"/>
            <w:vAlign w:val="bottom"/>
            <w:gridSpan w:val="2"/>
          </w:tcPr>
          <w:p>
            <w:pPr>
              <w:jc w:val="right"/>
              <w:ind w:right="45"/>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20"/>
              <w:spacing w:after="0" w:line="155"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 on note payable to related party</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2,160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1,435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related party notes for the three and six months ended June 30, 2018 and 2017 are as follows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Borders>
              <w:top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1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In May 2015, the Company entered into a sublease agreement with the Alfred Mann Foundation for Scientific Research (the “Mann Foundation”), a California not-for-profit corporation. The lease was for approximately 12,500 square feet of office space in Valencia, California, which expired in April 2017 and was renewed on a month-to-month basis at a rate of $20,000 per month until August 31, 2017 at which time the Company moved into its new corporate headquarters in Westlake Village, California (see Note 12 — Commitments and Contingencies). Lease Payments to the Mann Foundation for the three and six months ended June 30, 2017 were $60,000 and $122,000, respectively.</w:t>
      </w:r>
    </w:p>
    <w:p>
      <w:pPr>
        <w:spacing w:after="0" w:line="20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in addition to the indemnification provided for in its amended and restated certificate of incorporation and amended and restated bylaws (see Note 12 —Commitments and Contingencies).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ind w:right="260"/>
        <w:spacing w:after="0" w:line="264" w:lineRule="auto"/>
        <w:rPr>
          <w:sz w:val="20"/>
          <w:szCs w:val="20"/>
          <w:color w:val="auto"/>
        </w:rPr>
      </w:pPr>
      <w:r>
        <w:rPr>
          <w:rFonts w:ascii="Arial" w:cs="Arial" w:eastAsia="Arial" w:hAnsi="Arial"/>
          <w:sz w:val="18"/>
          <w:szCs w:val="18"/>
          <w:color w:val="auto"/>
        </w:rPr>
        <w:t>On October 10, 2017, the Company entered into securities purchase agreements with certain institutional investors and a charitable foundation. Included in this offering were 166,600 shares at a purchase price of $6.00 per share issued to the Kresa Family Foundation, of which Kent Kresa, the Company’s Chairman of the Board, is the President.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 of the following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80" w:type="dxa"/>
            <w:vAlign w:val="bottom"/>
            <w:gridSpan w:val="2"/>
          </w:tcPr>
          <w:p>
            <w:pPr>
              <w:jc w:val="right"/>
              <w:ind w:right="66"/>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Facility Financing Obligation (2019 Notes and Tranche B notes)</w:t>
            </w:r>
          </w:p>
        </w:tc>
        <w:tc>
          <w:tcPr>
            <w:tcW w:w="7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1880" w:type="dxa"/>
            <w:vAlign w:val="bottom"/>
            <w:gridSpan w:val="2"/>
          </w:tcPr>
          <w:p>
            <w:pPr>
              <w:jc w:val="right"/>
              <w:ind w:right="102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39,000</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Unamortized debt issuance costs and debt discount</w:t>
            </w:r>
          </w:p>
        </w:tc>
        <w:tc>
          <w:tcPr>
            <w:tcW w:w="7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Net carrying amount</w:t>
            </w:r>
          </w:p>
        </w:tc>
        <w:tc>
          <w:tcPr>
            <w:tcW w:w="700" w:type="dxa"/>
            <w:vAlign w:val="bottom"/>
            <w:tcBorders>
              <w:bottom w:val="single" w:sz="8" w:color="CFF0FC"/>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Senior Convertible Notes (2021 Notes)</w:t>
            </w:r>
          </w:p>
        </w:tc>
        <w:tc>
          <w:tcPr>
            <w:tcW w:w="7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1880" w:type="dxa"/>
            <w:vAlign w:val="bottom"/>
            <w:gridSpan w:val="2"/>
          </w:tcPr>
          <w:p>
            <w:pPr>
              <w:jc w:val="right"/>
              <w:ind w:right="102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18,690</w:t>
            </w:r>
          </w:p>
        </w:tc>
        <w:tc>
          <w:tcPr>
            <w:tcW w:w="160" w:type="dxa"/>
            <w:vAlign w:val="bottom"/>
          </w:tcPr>
          <w:p>
            <w:pPr>
              <w:spacing w:after="0"/>
              <w:rPr>
                <w:sz w:val="19"/>
                <w:szCs w:val="19"/>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Unamortized premium</w:t>
            </w:r>
          </w:p>
        </w:tc>
        <w:tc>
          <w:tcPr>
            <w:tcW w:w="7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Net carrying amount</w:t>
            </w:r>
          </w:p>
        </w:tc>
        <w:tc>
          <w:tcPr>
            <w:tcW w:w="7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ind w:right="10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Note payable to related party - net carrying amount</w:t>
            </w:r>
          </w:p>
        </w:tc>
        <w:tc>
          <w:tcPr>
            <w:tcW w:w="7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debt - net carrying amount</w:t>
            </w:r>
          </w:p>
        </w:tc>
        <w:tc>
          <w:tcPr>
            <w:tcW w:w="1880" w:type="dxa"/>
            <w:vAlign w:val="bottom"/>
            <w:gridSpan w:val="2"/>
            <w:shd w:val="clear" w:color="auto" w:fill="CFF0FC"/>
          </w:tcPr>
          <w:p>
            <w:pPr>
              <w:jc w:val="right"/>
              <w:ind w:right="1026"/>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129,359</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to the Mann Group Loan Arrangement described in Note 6, as of June 30, 2018, the Company outstanding borrowings consisted of has $18.7 million principal amount of the Senior Convertible Notes due 2021 bearing interest at 5.75% per annum and maturing on October 23, 2021, as well as $39.0 million principal amount of the Facility Financing Obligation, which is comprised of the following:</w:t>
      </w:r>
    </w:p>
    <w:p>
      <w:pPr>
        <w:spacing w:after="0" w:line="73" w:lineRule="exact"/>
        <w:rPr>
          <w:sz w:val="20"/>
          <w:szCs w:val="20"/>
          <w:color w:val="auto"/>
        </w:rPr>
      </w:pPr>
    </w:p>
    <w:p>
      <w:pPr>
        <w:ind w:left="1040" w:right="20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$32.0 million principal amount of 2019 notes bearing interest at 9.75% per annum. Interest is payable in cash quarterly in arrears in the last business day of March, June, September and December of each year. As of June 30, 2018, the principal amount due and payable was as follows: $12.0 million in July 2018 (see Note 15, Subsequent Event), $15 million in July 2019, and $5.0 million in December 2019 (see Note 15 Subsequent Event); and</w:t>
      </w:r>
    </w:p>
    <w:p>
      <w:pPr>
        <w:spacing w:after="0" w:line="78" w:lineRule="exact"/>
        <w:rPr>
          <w:rFonts w:ascii="Arial" w:cs="Arial" w:eastAsia="Arial" w:hAnsi="Arial"/>
          <w:sz w:val="18"/>
          <w:szCs w:val="18"/>
          <w:color w:val="auto"/>
        </w:rPr>
      </w:pPr>
    </w:p>
    <w:p>
      <w:pPr>
        <w:ind w:left="1040" w:right="20" w:hanging="519"/>
        <w:spacing w:after="0" w:line="28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$7.0 million principal amount of Tranche B notes bearing interest at 8.75% per annum. Interest is payable in cash quarterly in arrears on the last business day of March, June, September and December of each year. As of June 30, 2018, the principal amount due and payable was as follows: $5.0 million in May 2019 and $2.0 million in December 2019 (see Note 15, Subsequent Event).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These borrowings are further described below:</w:t>
      </w:r>
    </w:p>
    <w:p>
      <w:pPr>
        <w:spacing w:after="0" w:line="117"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i w:val="1"/>
          <w:iCs w:val="1"/>
          <w:color w:val="auto"/>
        </w:rPr>
        <w:t xml:space="preserve">Facility Financing Obligation (2019 Notes and Tranche B notes) </w:t>
      </w:r>
      <w:r>
        <w:rPr>
          <w:rFonts w:ascii="Arial" w:cs="Arial" w:eastAsia="Arial" w:hAnsi="Arial"/>
          <w:sz w:val="18"/>
          <w:szCs w:val="18"/>
          <w:color w:val="auto"/>
        </w:rPr>
        <w:t>– The Facility Financing Obligation was initially entered into in 2013 between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Deerfield Private Design Fund II, L.P. and Deerfield Private Design International II, L.P. (collectively, “Deerfield”) through the issuance of multiple tranches of notes that provided for aggregate borrowings of $120.0 million in 2019 notes and $20.0 million in Tranche B notes. As individual tranches have neared their maturity dates, the Company has repaid such tranches in whole or in part or agreed with Deerfield to exchange all or a portion of the outstanding principal for shares of the Company’s common stock as described more fully below.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On April 18, 2017, the Company entered into an Exchange Agreement with Deerfield pursuant to which the Company agreed to, among other things,</w:t>
      </w:r>
    </w:p>
    <w:p>
      <w:pPr>
        <w:spacing w:after="0" w:line="35" w:lineRule="exact"/>
        <w:rPr>
          <w:sz w:val="20"/>
          <w:szCs w:val="20"/>
          <w:color w:val="auto"/>
        </w:rPr>
      </w:pPr>
    </w:p>
    <w:p>
      <w:pPr>
        <w:ind w:right="120" w:firstLine="8"/>
        <w:spacing w:after="0" w:line="254"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repay $4.0 million principal amount under the Tranche B notes; (ii) exchange $1.0 million principal amount under the Tranche B notes for 869,565 shares of the Company’s common stock (the “Tranche B Exchange Shares”); and (iii) exchange $5.0 million principal amount under the 2019 notes for 4,347,826 shares of the Company’s common stock (together with the “Tranche B Exchange Shares,” the “April Exchange Shares”). The exchange price for the Exchange Shares was at a discount of $1.15 per share.</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determined that, since the principal amount repaid and exchanged under the Tranche B notes and the principal amount exchanged under the 2019 notes represented the principal amount that would have otherwise become due and payable in May and July of 2017 under the Tranche B notes and 2019 notes, respectively, the extinguishment of the May and July 2017 payments was not considered to be a troubled debt restructuring. Accordingly, the Company accounted for the transaction by recording a loss on extinguishment of debt of $0.3 million at April 18, 2017 which was calculated as the difference between the reacquisition price and the net carrying value of the related debt. The reacquisition price was calculated using the $4.0 million cash repayment and the fair value of the April Exchange Shares on April 18, 2017. The fair value of the April Exchange Shares was determined to be $1.22 per share, which represents the closing price of the Company’s common stock on April 18,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7"/>
          <w:szCs w:val="17"/>
          <w:color w:val="auto"/>
        </w:rPr>
        <w:t>On June 29, 2017, the Company entered into the Third Amendment with Deerfield, pursuant to which the Company agreed to, among other things, (i) exchange $5.0 million principal amount under the Company’s 2019 notes for 3,584,230 shares of the Company’s common stock (the “June Exchange Shares”) at an exchange price of $1.395 per share and (ii) amend the Facility Agreement with Deerfield, to (A) defer the payment of $10.0 million in principal amount of the 2019 notes from the original July 18, 2017 due date to August 31, 2017, which was further deferred to October 31, 2017 upon the Company’s delivery on August 31, 2017 and October 30, 2017 of a written certification to Deerfield that certain conditions had been met, including that no event of default under the Facility Agreement had occurred, Michael E. Castagna remains the Company’s Chief Executive Officer, the Company received the advance from The Mann Group (see Note 6 — Related-Party Arrangements), the Company had at least $10.0 million in cash and cash equivalents on hand, no material adverse effect on the Company had occurred, the engagement letter between the Company and Greenhill &amp; Co., Inc. (“Greenhill”) remained in full force and effect and Greenhill had remained actively engaged in exploring capital structure and financial alternatives on behalf of the Company in accordance with such engagement letter (collectively, the “Extension Conditions”), and (B) amend the Company’s financial covenant under the Facility Agreement to provide that, if the Extension Conditions remain satisfied, the obligation under the Facility Agreement to maintain at least $25.0 million in cash and cash equivalents as of the end of each quarter was reduced to $10.0 million as of August 31, 2017, September 30, 2017, October 31, 2017 and December 31, 2017 if certain conditions were met. We met the conditions at each of these month-ends.</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determined that the principal amount repaid and exchanged under the 2019 notes represented the principal amount that would have otherwise become due and payable under the 2019 notes. As a result, the $5.0 million prepayment was not considered to be a troubled debt restructuring. Accordingly, the Company accounted for the transaction by recording a loss on extinguishment of debt of $0.5 million on June 29, 2017 which was calculated as the difference between the reacquisition price and the net carrying value of the related debt. The net carrying value of the related debt includes the acceleration of the debt discount and issuance costs amounting to approximately $0.3 million as a result of the transaction. The reacquisition price was calculated using the fair value of the June Exchange Shares on June 29, 2017. The fair value of the Exchange Shares was determined to be $1.45 per share which represented the closing price of the Company’s common stock on June 29, 2017.</w:t>
      </w:r>
    </w:p>
    <w:p>
      <w:pPr>
        <w:spacing w:after="0" w:line="17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October 23, 2017, the Company entered into a Fourth Amendment to the Facility Agreement, pursuant to which the parties (i) deferred the payment of $10.0 million in principal amount (the “October Payment”) of the Facility Financing Obligation from October 31, 2017 to January 15, 2018, with the Company depositing an amount of cash equal to the October Payment into an escrow account until the October Payment has been satisfied in full (subject to early release to the extent that portions of the October Payment are satisfied through the exchange of principal for shares of the Company’s common stock), and (ii) amended and restated the Facility Financing Obligation and the Tranche B notes to provide that Deerfield may convert the principal amount under such notes from time to time into an aggregate of up to 4,000,000 shares of the Company’s common stock after the effective date of the Fourth Amendment. The conversion price will be the greater of (i) the average of the volume weighted average price per share of the Company’s common stock for the three trading day period immediately preceding the date of any election by Deerfield to convert principal amounts of such notes and (ii) $3.25 per share, subject to adjustment under certain circumstances. Any conversions of principal by Deerfield under such notes will be applied first to reduce the October Payment, and after the October Payment has been satisfied, to reduce other principal payments due.</w:t>
      </w:r>
    </w:p>
    <w:p>
      <w:pPr>
        <w:spacing w:after="0" w:line="16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Company determined that the Fourth Amendment did not include any concessions and that the addition of the conversion option was not substantive and therefore it was not considered to be a troubled debt restructuring. Accordingly, the Company accounted for the transaction as a modification. On November 6, 2017 Deerfield converted 1,720,846 shares under the conversion feature at a price of $3.25 per share, redeeming $5.6 million of principal amount.</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15, 2018, the Company entered into a Fifth Amendment (the “Fifth Deerfield Amendment”) with Deerfield to the Facility Agreement, pursuant to which the parties deferred the payment date for the $4.4 million remaining October 2017 Tranche 4 Principal Payment from January 15, 2018 to January 19, 2018. Concurrent with this amendment the Company entered into a First Amendment to Escrow Agreement to extend the escrow period to January 19, 2018 to align with the amended payment date under the Fifth Deerfield Amendment.</w:t>
      </w:r>
    </w:p>
    <w:p>
      <w:pPr>
        <w:spacing w:after="0" w:line="21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January 18, 2018, the Company entered into an Exchange and Sixth Amendment to Facility Agreement (the “Sixth Deerfield Amendment”) with Deerfield, pursuant to which, among other things, the Company agreed to issue to Deerfield an aggregate of 1,267,972 shares of its common stock, par value $0.01 per share (the “Exchange Shares”), in exchange for $3.2 million of the 2019 notes, an exchange rate of $2.49 per share. In addition, the parties deferred the payment date for the $1.3 million remaining principal amount of the 2019 notes (the “Remaining Payment”) from January 19, 2018 to May 6,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line="273" w:lineRule="auto"/>
        <w:rPr>
          <w:sz w:val="20"/>
          <w:szCs w:val="20"/>
          <w:color w:val="auto"/>
        </w:rPr>
      </w:pPr>
      <w:r>
        <w:rPr>
          <w:rFonts w:ascii="Arial" w:cs="Arial" w:eastAsia="Arial" w:hAnsi="Arial"/>
          <w:sz w:val="17"/>
          <w:szCs w:val="17"/>
          <w:color w:val="auto"/>
        </w:rPr>
        <w:t>The Company and Deerfield also amended the outstanding 2019 notes and Tranche B notes to provide that Deerfield may, subject to the terms of the Sixth Deerfield Amendment, convert principal amounts of the 2019 notes and Tranche B notes from time to time into an aggregate of up to 10,000,000 shares of the Company’s common stock (excluding the Exchange Shares). The conversion price will be the greater of (i) the average of the volume weighted average price per share of the Company’s common stock for the three trading day period immediately preceding the date of any election by Deerfield to convert principal amounts and (ii) $2.75 per share, subject to adjustment under certain circumstances described in the 2019 notes and Tranche B notes. Any conversions of principal will be applied first to reduce the Remaining Payment, and thereafter to reduce other principal payments.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Sixth Deerfield Amendment, the Company also entered into a Second Amendment to Escrow Agreement, dated January 18, 2018, with Deerfield and US Bank, pursuant to which the parties extended the period of the escrow established thereunder to May 6, 2018, corresponding to the extended payment date.</w:t>
      </w:r>
    </w:p>
    <w:p>
      <w:pPr>
        <w:spacing w:after="0" w:line="22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determined that the Fifth and Sixth Deerfield Amendments did not include any concessions and that the change of the conversion option was not substantive and therefore it was not considered to be a troubled debt restructuring. Accordingly, the Company accounted for the transaction as a modification.</w:t>
      </w:r>
    </w:p>
    <w:p>
      <w:pPr>
        <w:spacing w:after="0" w:line="20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March 6, 2018 Deerfield converted the remaining $1.3 million of principal amount due under the 2019 notes for 441,618 shares of the Company’s common stock (the “January Exchange Shares”). The fair value of the January Exchange Shares was determined to be $2.83 per share representing the average of the volume weighted average price per share of the Company’s common stock for the three trading day period immediately preceding the date of the election by Deerfield to convert per the Nasdaq Global Market. The Escrow Agreement with Deerfield and US Bank, was terminated as the required payment was satisfied in full as of March 12, 2018.</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12, 2018 the Company entered into an Exchange Agreement with Deerfield pursuant to which the Company agreed to, among other things, exchange $5.0 million of principal amount of the Tranche B notes for 1,838,236 shares of the Company’s common stock (the “March Exchange Shares”). The fair value of the March Exchange Shares was determined to be $2.72 per share representing the closing price of the Company’s common stock on March 9, 2018 per the Nasdaq Global Market. The principal amount being exchanged under the Tranche B notes represents the principal amount that would have otherwise become due and payable in May 2018.</w:t>
      </w:r>
    </w:p>
    <w:p>
      <w:pPr>
        <w:spacing w:after="0" w:line="188"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On June 8, 2018, the Company entered into an Exchange and Seventh Amendment to Facility Agreement (the “Seventh Deerfield Amendment”) with Deerfield, pursuant to which, among other things, (i) the Company issued to Deerfield 3,061,224 shares of the Company’s common stock (the “June Exchange Shares”) in exchange for the cancellation of (a) $3.0 million of $5.0 million principal amount of 2019 notes that was due and payable on July 1, 2018 and (b) $3.0 million of $5 million principal amount of Tranche B notes that was due and payable on December 31, 2019, (ii) the Company’s obligation under the Facility Agreement to maintain at least $25.0 million in cash as of the end of each quarter was reduced to $20 million through December 31, 2018,</w:t>
      </w:r>
    </w:p>
    <w:p>
      <w:pPr>
        <w:spacing w:after="0" w:line="3" w:lineRule="exact"/>
        <w:rPr>
          <w:sz w:val="20"/>
          <w:szCs w:val="20"/>
          <w:color w:val="auto"/>
        </w:rPr>
      </w:pPr>
    </w:p>
    <w:p>
      <w:pPr>
        <w:ind w:right="20" w:firstLine="8"/>
        <w:spacing w:after="0" w:line="254"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minimum price at which the 2019 notes or Tranche B notes may be converted into shares of the Company’s common stock was reduced from $2.75 to $2.01 per share and (iv) the parties agreed that, on or after June 8, 2018, the 2019 notes and Tranche B notes may be converted into a maximum of 9,558,382 shares of the Company’s common stock. The fair value of the June Exchange Shares was determined to be $1.96 per share, representing the closing price of the Company’s common stock on June 8, 2018 per the Nasdaq Global Market.</w:t>
      </w:r>
    </w:p>
    <w:p>
      <w:pPr>
        <w:spacing w:after="0" w:line="19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July 12, 2018, the Company and MannKind LLC, the Company’s wholly owned subsidiary, entered into an Exchange and Eighth Amendment to Facility Agreement (the “Eighth Deerfield Amendment”) with Deerfield, pursuant to which the parties amended the Facility Agreement to, among other things, (i) issue to Deerfield 7,367,839 shares of the Company’s common stock in exchange for the cancellation of (a) $7.0 million of $10.0 million principal amount under the Company’s Amended and Restated 9.75% Senior Convertible notes due 2019 (the “Tranche 4 notes”) that was due and payable on July 18, 2018,</w:t>
      </w:r>
    </w:p>
    <w:p>
      <w:pPr>
        <w:spacing w:after="0" w:line="2" w:lineRule="exact"/>
        <w:rPr>
          <w:sz w:val="20"/>
          <w:szCs w:val="20"/>
          <w:color w:val="auto"/>
        </w:rPr>
      </w:pPr>
    </w:p>
    <w:p>
      <w:pPr>
        <w:ind w:right="60" w:firstLine="8"/>
        <w:spacing w:after="0" w:line="292"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$3.0 million of $5.0 million principal amount under the Tranche 4 notes due 2019 that was due and payable on December 31, 2019 and (c) $2.0 million of $2.0 million principal amount under the Company’s 8.75% Senior Convertible notes due 2019 that was due and payable on December 31, 2019, (ii) defer the payment of $3.0 million in principal amount of the Tranche 4 notes from July 18, 2018 to August 31, 2018, (iii) reduce the minimum price at which the remaining notes issued under the Facility Agreement may be converted into shares of the Company’s common stock from $2.01 to $1.80 per share and (iv) provide that, on or after July 12, 2018, such remaining notes may be converted into a maximum of 5,750,000 shares of the Company’s common stock.</w:t>
      </w:r>
    </w:p>
    <w:p>
      <w:pPr>
        <w:spacing w:after="0" w:line="1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Facility Agreement, on July 1, 2013, the Company entered into a Milestone Rights Purchase Agreement (the “Milestone Agreement”) with Deerfield and Horizon Santé FLML SÁRL (collectively, the “Milestone Purchasers”), which requires the Company to make contingent payments to the Milestone Purchasers, totaling up to $90.0 million, of which $75.0 million remain payable, upon the Company achieving specified commercialization milestones (the “Milestone Rights”). During the first quarter of 2015, a milestone triggering event was achieved due to the launch of Afrezza. This resulted in a $5.8 million incremental charge to interest expense due to an increase in the carrying value of the liability to account for the $10.0 million milestone payment made in February 2015.</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100"/>
        <w:spacing w:after="0" w:line="302" w:lineRule="auto"/>
        <w:rPr>
          <w:sz w:val="20"/>
          <w:szCs w:val="20"/>
          <w:color w:val="auto"/>
        </w:rPr>
      </w:pPr>
      <w:r>
        <w:rPr>
          <w:rFonts w:ascii="Arial" w:cs="Arial" w:eastAsia="Arial" w:hAnsi="Arial"/>
          <w:sz w:val="16"/>
          <w:szCs w:val="16"/>
          <w:color w:val="auto"/>
        </w:rPr>
        <w:t>As of June 30, 2018 and December 31, 2017, the remaining milestone rights liability balance was $8.8 million. The Company currently estimates that it will reach the next milestone in the first quarter of 2019. Accordingly, $1.6 million in value related to the next milestone payment was recorded in accrued expenses and other current liabilities as of June 30, 2018 and December 31, 2017, resulting in $7.2 million being recorded in milestone rights liability, which is non-current, in the accompanying condensed consolidated balance sheets as of June 30, 2018 and December 31, 2017,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Accretion of debt issuance cost and debt discount during the three and six months ended June 30, 2018 and 2017, are as follows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Accretion expense - debt issuance cost</w:t>
            </w:r>
          </w:p>
        </w:tc>
        <w:tc>
          <w:tcPr>
            <w:tcW w:w="1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Accretion expense - debt discount</w:t>
            </w: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Facility Agreement includes customary representations, warranties and covenants, including a restriction on the incurrence of additional indebtedness. As discussed in Note 1 – Description of Business and Summary of Significant Accounting Policies, the Company will need to raise additional capital to support its current operating plans. Due to the uncertainties related to maintaining sufficient resources to comply with the aforementioned covenant, the Facility Financing Obligation has been classified as a current liability in the accompanying condensed consolidated balance sheets as of June 30, 2018 and December 31, 2017. In the event of non-compliance, Deerfield may declare all or any portion of the Facility Financing Obligation to be immediately due and payable.</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the Facility Agreement and Milestone Agreement, the Company and its subsidiary, MannKind LLC, entered into a Guaranty and Security 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Facility Financing Obligation in full, if applicable.</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identified and evaluated a number of embedded features in the notes issued under the Facility Agreement to 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as of June 30, 2018 and December 31, 2017.</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Senior Convertible Notes Due 2021 </w:t>
      </w:r>
      <w:r>
        <w:rPr>
          <w:rFonts w:ascii="Arial" w:cs="Arial" w:eastAsia="Arial" w:hAnsi="Arial"/>
          <w:sz w:val="16"/>
          <w:szCs w:val="16"/>
          <w:color w:val="auto"/>
        </w:rPr>
        <w:t>— On October 23, 2017, the Company entered into exchange agreements with the holders of the Company’s 5.75% Senior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Notes due 2018 (the “2018 notes”), pursuant to which the Company agreed to exchange all of the outstanding 2018 notes in the aggregate principal amount of $27.7 million for (i) new 5.75% $23.7 million aggregate principal amount of Senior Convertible notes due 2021 (the “2021 notes”) and (ii) an aggregate of 973,236 shares of its common stock. In addition, the conversion rate was adjusted from $34 per share to $5.15 per share. The 2021 notes were issued at the closing of the exchange on October 23, 2017. The Company analyzed this exchange and concluded that the exchange represents an extinguishment of the 2018 notes and recorded a $0.8 million loss on extinguishment of debt during the last quarter of fiscal year 2017. In addition, unamortized debt issuance costs of $0.3 million and unamortized debt premium of $0.2 million were also written-off during the last quarter of fiscal year 2017.</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25, 2018, the Company entered into a privately-negotiated exchange agreement (the “Exchange Agreement”) with certain holders of its outstanding 5.75% Convertible Senior Notes due 2021 (the “2021 notes”), pursuant to which the Company agreed to issue 2,250,000 shares of its common stock (the “Exchange Shares”) in exchange for the cancellation of $5.0 million principal amount of the 2021 notes and unpaid accrued interest thereon. The exchange price for the Exchange Shares was approximately $2.2567 per share. The exchange was completed on May 31, 2018. As a result, the Company recognized approximately $0.8 million as extinguishment gain which was calculated based on the difference between the reacquisition price and the net carrying amount of the payment on the debt.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420"/>
        <w:spacing w:after="0" w:line="291" w:lineRule="auto"/>
        <w:rPr>
          <w:sz w:val="20"/>
          <w:szCs w:val="20"/>
          <w:color w:val="auto"/>
        </w:rPr>
      </w:pPr>
      <w:r>
        <w:rPr>
          <w:rFonts w:ascii="Arial" w:cs="Arial" w:eastAsia="Arial" w:hAnsi="Arial"/>
          <w:sz w:val="16"/>
          <w:szCs w:val="16"/>
          <w:color w:val="auto"/>
        </w:rPr>
        <w:t>The 2021 notes are the Company’s general, unsecured, senior obligations, except that they are subordinated in right of payment to the Facility Financing Obligation. The 2021 notes rank equally in right of payment with the Company’s other unsecured senior debt. The 2021 notes bear interest at the rate of</w:t>
      </w:r>
    </w:p>
    <w:p>
      <w:pPr>
        <w:spacing w:after="0" w:line="270" w:lineRule="auto"/>
        <w:rPr>
          <w:sz w:val="20"/>
          <w:szCs w:val="20"/>
          <w:color w:val="auto"/>
        </w:rPr>
      </w:pPr>
      <w:r>
        <w:rPr>
          <w:rFonts w:ascii="Arial" w:cs="Arial" w:eastAsia="Arial" w:hAnsi="Arial"/>
          <w:sz w:val="17"/>
          <w:szCs w:val="17"/>
          <w:color w:val="auto"/>
        </w:rPr>
        <w:t>5.75% per year on the principal amount, payable semiannually in arrears in cash or, at the option of the Company if certain conditions are met, in shares of the Company’s common stock (the “Interest Shares”), on February 15 and August 15 of each year, beginning February 15, 2018, with interest accruing from August 15, 2017. To date, the interest on the Company’s 2021 notes have been paid in cash and not converted. The aggregate number of Interest Shares that the Company may issue may not exceed 13,648,300, unless the Company receives stockholder approval to issue Interest Shares in excess of such a number in accordance with the listing standards of the Nasdaq Global Market. Accrued interest related to these notes is recorded in accrued expenses and other current liabilities on the accompanying condensed consolidated balance sheets.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2021 notes are convertible, at the option of the holder, at any time on or prior to the close of business on the business day immediately preceding the stated maturity date, into shares of the Company’s common stock at an initial conversion rate of 194.1748 shares per $1,000 principal amount of 2021 notes, which is equal to the initial conversion price of approximately $5.15 per share. The conversion rate is subject to adjustment under certain circumstances described in an indenture governing the 2021 notes.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the Company undergoes certain fundamental changes, except in certain circumstances, each holder of 2021 notes will have the option to require the Company to repurchase all or any portion of that holder’s 2021 notes. The fundamental change repurchase price will be 100% of the principal amount of the 2021 notes to be repurchased plus accrued and unpaid interest, if any.</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may elect at its option to cause all or any portion of the 2021 notes to be mandatorily converted in whole or part at any time prior to the close of business on the business day immediately preceding the maturity date, if the last reported sale price of its common stock exceeds 120% of the conversion price then in effect for at least 10 trading days in any 20 consecutive trading day period, ending within five business days prior to the date of the mandatory conversion notice. The redemption price is equal the sum of 100% of the principal amount of the 2021 notes to be redeemed, plus accrued and unpaid interest. Under the terms of the indenture, the conversion option can be net-share settled and the maximum number of shares that could be required to be delivered under the indenture is fixed and less than the number of authorized and unissued shares less the maximum number of shares that could be required to be delivered during the term of the 2021 notes under existing commitments. Applying the Company’s sequencing policy, the Company performed an analysis at the time of the offering of the 2021 notes and each reporting date since and has concluded that the number of available authorized shares at the time of the offering and each reporting date since was sufficient to deliver the number of shares that could be required to be delivered during the term of the 2021 notes under existing commitments.</w:t>
      </w:r>
    </w:p>
    <w:p>
      <w:pPr>
        <w:spacing w:after="0" w:line="17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2021 notes provide that upon an acceleration of certain indebtedness, including the 2019 notes and the Tranche B notes issued to Deerfield pursuant to the Facility Agreement, the holders may elect to accelerate the Company’s repayment obligations under the notes if such acceleration is not cured, waived, rescinded or annulled.</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a result of the exchange of the 2021 notes during the last quarter of 2017, the Company recorded approximately $0.8 million in debt premium, which is recorded with the 2021 notes, in the accompanying condensed consolidated balance sheets. The premium is being accreted to interest expense using the effective interest method over the term of the 2021 notes.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the 2021 and 2018 notes for the three and six months ended June 30, 2018 and 2017 are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256"/>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20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9"/>
                <w:szCs w:val="19"/>
                <w:color w:val="auto"/>
              </w:rPr>
            </w:pPr>
          </w:p>
        </w:tc>
        <w:tc>
          <w:tcPr>
            <w:tcW w:w="1060" w:type="dxa"/>
            <w:vAlign w:val="bottom"/>
            <w:gridSpan w:val="2"/>
          </w:tcPr>
          <w:p>
            <w:pPr>
              <w:jc w:val="right"/>
              <w:ind w:right="10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Accretion expense - debt issuance cost</w:t>
            </w: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6 – Related Party Arrangements for information regarding the Note payable to related party.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Arrangements</w:t>
      </w:r>
    </w:p>
    <w:p>
      <w:pPr>
        <w:spacing w:after="0" w:line="13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i w:val="1"/>
          <w:iCs w:val="1"/>
          <w:color w:val="auto"/>
        </w:rPr>
        <w:t xml:space="preserve">Cipla Distribution Agreement </w:t>
      </w:r>
      <w:r>
        <w:rPr>
          <w:rFonts w:ascii="Arial" w:cs="Arial" w:eastAsia="Arial" w:hAnsi="Arial"/>
          <w:sz w:val="18"/>
          <w:szCs w:val="18"/>
          <w:color w:val="auto"/>
        </w:rPr>
        <w:t>— On May 8, 2018, the Company and Cipla Ltd. (“Cipla”) entered into an exclusive agreement for the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Afrezza in India and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In addition to the $2.2 million nonrefundable payment, the Company has the potential to receive certain additional regulatory milestone payments, minimum purchase commitment revenue and royalties on Afrezza sales in India once cumulative gross sales have reached a specified threshold.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The nonrefundable licensing fee was recorded in deferred revenue and is being recognized in net revenue – collaboration over fifteen years, representing the estimated period to satisfy the performance obligation. The additional potential milestone payments represent variable consideration for which the Company has not recognized any revenue because of the uncertainly of obtaining market approval. The Company also recognized $0.2 million as income tax expense as payment made to the India tax authority.</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Biomm Supply and Distribution Agreement </w:t>
      </w:r>
      <w:r>
        <w:rPr>
          <w:rFonts w:ascii="Arial" w:cs="Arial" w:eastAsia="Arial" w:hAnsi="Arial"/>
          <w:sz w:val="18"/>
          <w:szCs w:val="18"/>
          <w:color w:val="auto"/>
        </w:rPr>
        <w:t>– In May 2017, the Company and Biomm S.A. entered into a supply and distribution agreement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Afrezza in Brazil. Under this agreement, Biomm is responsible for preparing and filing the necessary applications for regulatory approval of Afrezza in Brazil, including from the Agência Nacional de Vigilância Sanitária and, with respect to pricing matters, from the Camara de Regulação de Mercado de Medicamentos. Upon satisfactory approval from these regulatory bodies, the parties will finalize the economic terms of the collaboration; thereafter, MannKind will manufacture and supply Afrezza to Biomm, and Biomm will be responsible for promoting and distributing Afrezza within Brazil.</w:t>
      </w:r>
    </w:p>
    <w:p>
      <w:pPr>
        <w:spacing w:after="0" w:line="23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In 2016 the Company entered into a Collaboration and License Agreement (the “CLA”) with Receptor</w:t>
      </w:r>
      <w:r>
        <w:rPr>
          <w:rFonts w:ascii="Arial" w:cs="Arial" w:eastAsia="Arial" w:hAnsi="Arial"/>
          <w:sz w:val="18"/>
          <w:szCs w:val="18"/>
          <w:i w:val="1"/>
          <w:iCs w:val="1"/>
          <w:color w:val="auto"/>
        </w:rPr>
        <w:t xml:space="preserve"> </w:t>
      </w:r>
      <w:r>
        <w:rPr>
          <w:rFonts w:ascii="Arial" w:cs="Arial" w:eastAsia="Arial" w:hAnsi="Arial"/>
          <w:sz w:val="18"/>
          <w:szCs w:val="18"/>
          <w:color w:val="auto"/>
        </w:rPr>
        <w:t>Life Sciences, Inc. (“Receptor”) pursuant to which Receptor obtained the option to acquire an exclusive license to develop, manufacture and commercialize certain products that use the Company’s technology to deliver the compounds via oral inhalation.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On December 30, 2016 Receptor exercised its option and paid the Company a $1.0 million nonrefundable option exercise and license fee. Under the CLA,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receive the following additional payments:</w:t>
      </w:r>
    </w:p>
    <w:p>
      <w:pPr>
        <w:spacing w:after="0" w:line="116"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Nonrefundable milestone payments upon the completion of certain technology transfer activities and the achievement of specified sales targets;</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Royalties upon Receptor’s and its sublicensees’ sale of the product;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Milestones upon total worldwide sales reaching certain agreed upon levels.</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$1.0 million license fee received in 2016 was recorded in deferred revenue from collaboration as of December 31, 2016 and is being recognized in net revenue — collaboration over four years, the estimated period over which the Company was required to satisfy the remaining performance obligations. The remaining performance obligations are to provide certain technology transfer activities and to maintain certain patents. Deferred payments from collaboration related to this contract was $0.7 million at June 30, 2018 of which $0.3 million was recorded in current liabilities.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additional payments referred to above represent variable consideration for which the Company has not recognized any revenue because it is uncertain that Receptor will be able to successfully develop, manufacture or sell product related to this license. Therefore, the receipt of such payments is highly susceptible to factors outside of the Company’s influence, the uncertainty regarding the receipt of these payments is not expected to be resolved for years, and the Company has limited experience with similar contracts. There was no change to the accounting for this contract as a result of the initial application of the new revenue guidance. See Note 1 – Description of Business and Summary of Significant Accounting Policies for additional information on the Company’s revenue recognition accounting policy</w:t>
      </w:r>
    </w:p>
    <w:p>
      <w:pPr>
        <w:spacing w:after="0" w:line="2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will provide certain raw materials to Receptor and agreed to provide certain additional research and formulation consulting services to Receptor. For the three and six months ended June 30, 2018 and 2017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208"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i w:val="1"/>
          <w:iCs w:val="1"/>
          <w:color w:val="auto"/>
        </w:rPr>
        <w:t xml:space="preserve">Sanofi License Agreement and Sanofi Supply Agreement </w:t>
      </w:r>
      <w:r>
        <w:rPr>
          <w:rFonts w:ascii="Arial" w:cs="Arial" w:eastAsia="Arial" w:hAnsi="Arial"/>
          <w:sz w:val="18"/>
          <w:szCs w:val="18"/>
          <w:color w:val="auto"/>
        </w:rPr>
        <w:t>— In 2014 the Company entered into a license and collaboration and supply agreement (the “Sanofi</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with Sanofi-Aventis U.S. LLC. (“Sanofi”), pursuant to which Sanofi was responsible for global commercial, regulatory and development activities for Afrezza. In 2016, the agreements were terminated and the Company assumed responsibility for the worldwide development and commercialization of Afrezza from Sanofi.</w:t>
      </w:r>
    </w:p>
    <w:p>
      <w:pPr>
        <w:spacing w:after="0" w:line="20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Also in 2016, the Company entered into a settlement agreement with Sanofi. The settlement was accounted for in 2016, except for a $30.6 million cash payment received under an insulin put option agreement which reduced the receivable from Sanofi in the first quarter of 2017.</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9. Sale of Intellectual Property</w:t>
      </w:r>
    </w:p>
    <w:p>
      <w:pPr>
        <w:spacing w:after="0" w:line="13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April 12, 2017 the Company entered into an agreement to sell certain oncology assets and patents to Fosun. Fosun paid the Company a one-time nonrefundable payment of $0.6 million net of taxes in June 2017 and is required to pay royalties on net sales of products by Fosun and its affiliates and other consideration based on revenues from any licensees. The Company accounted for the transaction as a sale of assets. The Company recorded the $0.6 million in payments received in revenue – other during the second quarter of 2017 as the Company had performed substantially all of its obligations as of June 30, 2017. The royalties and other consideration referred to above represent variable consideration for which the Company has not recognized any revenue because it is uncertain whether and in what period Fosun will be able to sublicense this technology or have the ability to develop, manufacture or sell product utilizing this technology. Therefore receipt of such payments is highly susceptible to factors outside the Company’s influence, the uncertainty regarding the receipt of these payments is not expected to be resolved for years, and the Company has limited experience with similar contracts.</w:t>
      </w:r>
    </w:p>
    <w:p>
      <w:pPr>
        <w:spacing w:after="0" w:line="2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Note 1 — Description of Business and Summary of Significant Accounting Policies for additional information on the Company’s revenue recognition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Cash Equivalents and restricted cash</w:t>
      </w:r>
      <w:r>
        <w:rPr>
          <w:rFonts w:ascii="Arial" w:cs="Arial" w:eastAsia="Arial" w:hAnsi="Arial"/>
          <w:sz w:val="18"/>
          <w:szCs w:val="18"/>
          <w:color w:val="auto"/>
        </w:rPr>
        <w:t>— Cash equivalents and restricted cash consist of highly liquid investments with original or remaining maturities of 90</w:t>
      </w:r>
      <w:r>
        <w:rPr>
          <w:rFonts w:ascii="Arial" w:cs="Arial" w:eastAsia="Arial" w:hAnsi="Arial"/>
          <w:sz w:val="18"/>
          <w:szCs w:val="18"/>
          <w:i w:val="1"/>
          <w:iCs w:val="1"/>
          <w:color w:val="auto"/>
        </w:rPr>
        <w:t xml:space="preserve"> </w:t>
      </w:r>
      <w:r>
        <w:rPr>
          <w:rFonts w:ascii="Arial" w:cs="Arial" w:eastAsia="Arial" w:hAnsi="Arial"/>
          <w:sz w:val="18"/>
          <w:szCs w:val="18"/>
          <w:color w:val="auto"/>
        </w:rPr>
        <w:t>days or less at the time of purchase that are readily convertible into cash. As of June 30, 2018 and December 31, 2017, the Company held $15.2 million and $41.0 million, respectively, of cash equivalents. For the period ended June 30, 2018, restricted cash was held in an escrow account as well as used to collateralize a letter of credit. The Company held $0.5 million and $4.4 million in restricted cash as of June 30, 2018 and December 31, 2017, respectively. Both are comprised of money market funds. The fair value of these money market funds was determined by using quoted prices for identical investments in an active market (Level 1 in the fair value hierarchy).</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Note Payable to Related Party — </w:t>
      </w:r>
      <w:r>
        <w:rPr>
          <w:rFonts w:ascii="Arial" w:cs="Arial" w:eastAsia="Arial" w:hAnsi="Arial"/>
          <w:sz w:val="16"/>
          <w:szCs w:val="16"/>
          <w:color w:val="auto"/>
        </w:rPr>
        <w:t>As of December 31, 2017, prior to the adoption of ASC 2016-01, the fair value of the note payable to related party could</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reasonably estimated as the Company was not able to obtain a similar credit arrangement in the current economic environment. Therefore the fair value is based upon carrying value as of December 31, 2017. The fair value measurement of the note payable is sensitive to the change in yield. If the yield changes by approximately 1%, from 18% to 19%, the fair value of the note payable with the conversion feature would change from $68.6 million to $67.1 million, or $1.5 million and -2.2%. Similarly, if the yield changes by approximately 3% from 18% to 21%, the fair value of the note payable with the conversion feature would change from $68.6 million to $64.4 million, or $4.2 million and -6.1%. If the yield changes by approximately 4% from 18% to 22%, the fair value of the note payable with the conversion feature would change from $68.6 million to $63.1 million, or $5.5 million and -8%.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230"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June 30,</w:t>
      </w:r>
    </w:p>
    <w:p>
      <w:pPr>
        <w:jc w:val="center"/>
        <w:ind w:left="5320"/>
        <w:spacing w:after="0" w:line="236" w:lineRule="auto"/>
        <w:rPr>
          <w:sz w:val="20"/>
          <w:szCs w:val="20"/>
          <w:color w:val="auto"/>
        </w:rPr>
      </w:pPr>
      <w:r>
        <w:rPr>
          <w:rFonts w:ascii="Arial" w:cs="Arial" w:eastAsia="Arial" w:hAnsi="Arial"/>
          <w:sz w:val="14"/>
          <w:szCs w:val="14"/>
          <w:b w:val="1"/>
          <w:bCs w:val="1"/>
          <w:color w:val="auto"/>
        </w:rPr>
        <w:t>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1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Inputs (Level 3)</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Senior convertible notes (2021 notes)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19.2</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15.3</w:t>
            </w:r>
          </w:p>
        </w:tc>
        <w:tc>
          <w:tcPr>
            <w:tcW w:w="6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financing obligation</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Note payable to related party</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1313"/>
              <w:spacing w:after="0"/>
              <w:rPr>
                <w:sz w:val="20"/>
                <w:szCs w:val="20"/>
                <w:color w:val="auto"/>
              </w:rPr>
            </w:pPr>
            <w:r>
              <w:rPr>
                <w:rFonts w:ascii="Arial" w:cs="Arial" w:eastAsia="Arial" w:hAnsi="Arial"/>
                <w:sz w:val="18"/>
                <w:szCs w:val="18"/>
                <w:color w:val="auto"/>
                <w:w w:val="99"/>
              </w:rPr>
              <w:t>25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6" w:name="page27"/>
    <w:bookmarkEnd w:id="26"/>
    <w:p>
      <w:pPr>
        <w:jc w:val="center"/>
        <w:ind w:left="5320"/>
        <w:spacing w:after="0"/>
        <w:rPr>
          <w:sz w:val="20"/>
          <w:szCs w:val="20"/>
          <w:color w:val="auto"/>
        </w:rPr>
      </w:pPr>
      <w:r>
        <w:rPr>
          <w:rFonts w:ascii="Arial" w:cs="Arial" w:eastAsia="Arial" w:hAnsi="Arial"/>
          <w:sz w:val="14"/>
          <w:szCs w:val="14"/>
          <w:b w:val="1"/>
          <w:bCs w:val="1"/>
          <w:color w:val="auto"/>
        </w:rPr>
        <w:t>December 31,</w:t>
      </w:r>
    </w:p>
    <w:p>
      <w:pPr>
        <w:jc w:val="center"/>
        <w:ind w:left="5320"/>
        <w:spacing w:after="0" w:line="236" w:lineRule="auto"/>
        <w:rPr>
          <w:sz w:val="20"/>
          <w:szCs w:val="20"/>
          <w:color w:val="auto"/>
        </w:rPr>
      </w:pPr>
      <w:r>
        <w:rPr>
          <w:rFonts w:ascii="Arial" w:cs="Arial" w:eastAsia="Arial" w:hAnsi="Arial"/>
          <w:sz w:val="14"/>
          <w:szCs w:val="14"/>
          <w:b w:val="1"/>
          <w:bCs w:val="1"/>
          <w:color w:val="auto"/>
        </w:rPr>
        <w:t>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15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Inputs (Level 3)</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Senior convertible notes (2021 notes)</w:t>
            </w:r>
          </w:p>
        </w:tc>
        <w:tc>
          <w:tcPr>
            <w:tcW w:w="2620" w:type="dxa"/>
            <w:vAlign w:val="bottom"/>
            <w:gridSpan w:val="2"/>
          </w:tcPr>
          <w:p>
            <w:pPr>
              <w:jc w:val="right"/>
              <w:ind w:right="12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24.4</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19.8</w:t>
            </w:r>
          </w:p>
        </w:tc>
        <w:tc>
          <w:tcPr>
            <w:tcW w:w="6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financing obligation</w:t>
            </w:r>
          </w:p>
        </w:tc>
        <w:tc>
          <w:tcPr>
            <w:tcW w:w="1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52.7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Milestone rights</w:t>
            </w:r>
          </w:p>
        </w:tc>
        <w:tc>
          <w:tcPr>
            <w:tcW w:w="126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financial liabilities</w:t>
            </w:r>
          </w:p>
        </w:tc>
        <w:tc>
          <w:tcPr>
            <w:tcW w:w="126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85.9</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Milestone Rights Liability </w:t>
      </w:r>
      <w:r>
        <w:rPr>
          <w:rFonts w:ascii="Arial" w:cs="Arial" w:eastAsia="Arial" w:hAnsi="Arial"/>
          <w:sz w:val="17"/>
          <w:szCs w:val="17"/>
          <w:color w:val="auto"/>
        </w:rPr>
        <w:t>— The fair value measurement of the milestone rights liability is sensitive to the discount rate and the timing and probability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making milestone payments. If the achievement of each of the milestones which require payments were to be six months later than in the current forecast, the fair value of the liability would decrease by 8%. If the probabilities of meeting the $50 to $200 million milestones were to decrease by 5% or 10%, the fair value of the liability would decrease by 13% and 25%,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21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Facility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at June 30, 2018 and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are as follows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3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2,209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4,152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During the three months ended June 30, 2018, the Company issued 391,200 restricted units to the Company’s board of directors which vest immediately. The grant date fair value of the restricted stock units was $747,192 with a weighted average grant date fair value per share of $1.91.</w:t>
      </w:r>
    </w:p>
    <w:p>
      <w:pPr>
        <w:spacing w:after="0" w:line="1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three months ended June 30, 2018, the Company granted certain employees stock options to purchase an aggregate of 4,344,758 shares of common stock at a weighted average exercise price of $1.91 per share. The options vest over a four year period. The grant date fair value of these awards is $6.3 million with a weighted average grant date fair value of $1.46 per share, as determined using a Black-Scholes option pricing model.</w:t>
      </w:r>
    </w:p>
    <w:p>
      <w:pPr>
        <w:spacing w:after="0" w:line="166"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of June 30, 2018, there were $2.3 million and $9.0 million of unrecognized compensation expense related to restricted stock units and options, respectively, that vest over the vesting period.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and six months ended June 30, 2018, the Company recognized $0.4 million and $1.4 million, respectively, of compensation costs related to the performance-based stock options. As of June 30, 2018, there was $2.0 million of unrecognized compensation costs related to stock options subject to performance conditions. The Company evaluates stock awards with performance conditions as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Guarantees and Indemnifications </w:t>
      </w:r>
      <w:r>
        <w:rPr>
          <w:rFonts w:ascii="Arial" w:cs="Arial" w:eastAsia="Arial" w:hAnsi="Arial"/>
          <w:sz w:val="18"/>
          <w:szCs w:val="18"/>
          <w:color w:val="auto"/>
        </w:rPr>
        <w:t>— In the ordinary course of its business, the Company makes certain indemnities, commitments and guarantees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27" w:name="page28"/>
    <w:bookmarkEnd w:id="27"/>
    <w:p>
      <w:pPr>
        <w:spacing w:after="0" w:line="302" w:lineRule="auto"/>
        <w:rPr>
          <w:sz w:val="20"/>
          <w:szCs w:val="20"/>
          <w:color w:val="auto"/>
        </w:rPr>
      </w:pPr>
      <w:r>
        <w:rPr>
          <w:rFonts w:ascii="Arial" w:cs="Arial" w:eastAsia="Arial" w:hAnsi="Arial"/>
          <w:sz w:val="16"/>
          <w:szCs w:val="16"/>
          <w:color w:val="auto"/>
        </w:rPr>
        <w:t>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June 30, 2018,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the Company’s stock price, two motions were submitted to the district court at Tel Aviv, Economic Department for the certification of a class action against the Company and certain of its officers and directors. In general, the complaints alleged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recently ruled that U.S. law will apply to this case. The plaintiff has appealed this ruling to the Supreme Court of Israel, which is expected to hear arguments on the jurisdictional issue later this year. The Company will vigorously defend against the claims advanced.</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Facility Agreement, on July 1, 2013, the Company also entered into the Milestone Agreement with the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pursuant to which the Company sold the Milestone Purchasers the Milestone Rights to receive payments up to $90.0 million, of which $75.0 million remain payable, upon the achievement of specified net sales figures (see Note 7 – Borrowings).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On July 31, 2014, the Company entered into a supply agreement (the “Insulin Supply Agreement”) with Amphastar France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November 9, 2016, the supply agreement with Amphastar was amended to extend the term over which the Company is required to purchase insulin, without reducing the total amount of insulin to be purchased. Under the amendment, annual minimum quantities of insulin to be purchased for calendar years 2018 through 2023 total an aggregate purchase price of €85.8 million at June 30, 2018. The Insulin Supply Agreement specifies that Amphastar will be deemed to have satisfied its obligations with respect to quantity, if the actual quantity supplied is within plus or minus ten percent (+/- 10%) of the quantity set forth in the applicable purchase order. In addition, the aggregate cancellation fees that the Company would incur in the event that certain insulin quantities are not purchased were reduced from $5.3 million for the period October 1, 2016 through 2018 to $3.4 million over the same period. As of June 30, 2018, the remaining annual purchase requirements under the contract are as follows:</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2018</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 million</w:t>
            </w:r>
          </w:p>
        </w:tc>
      </w:tr>
      <w:tr>
        <w:trPr>
          <w:trHeight w:val="230"/>
        </w:trPr>
        <w:tc>
          <w:tcPr>
            <w:tcW w:w="2760" w:type="dxa"/>
            <w:vAlign w:val="bottom"/>
          </w:tcPr>
          <w:p>
            <w:pPr>
              <w:jc w:val="right"/>
              <w:ind w:right="2310"/>
              <w:spacing w:after="0"/>
              <w:rPr>
                <w:sz w:val="20"/>
                <w:szCs w:val="20"/>
                <w:color w:val="auto"/>
              </w:rPr>
            </w:pPr>
            <w:r>
              <w:rPr>
                <w:rFonts w:ascii="Arial" w:cs="Arial" w:eastAsia="Arial" w:hAnsi="Arial"/>
                <w:sz w:val="18"/>
                <w:szCs w:val="18"/>
                <w:color w:val="auto"/>
                <w:w w:val="84"/>
              </w:rPr>
              <w:t>2019</w:t>
            </w:r>
          </w:p>
        </w:tc>
        <w:tc>
          <w:tcPr>
            <w:tcW w:w="2840" w:type="dxa"/>
            <w:vAlign w:val="bottom"/>
          </w:tcPr>
          <w:p>
            <w:pPr>
              <w:ind w:left="2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 million</w:t>
            </w:r>
          </w:p>
        </w:tc>
      </w:t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2020</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2760" w:type="dxa"/>
            <w:vAlign w:val="bottom"/>
          </w:tcPr>
          <w:p>
            <w:pPr>
              <w:jc w:val="right"/>
              <w:ind w:right="2310"/>
              <w:spacing w:after="0"/>
              <w:rPr>
                <w:sz w:val="20"/>
                <w:szCs w:val="20"/>
                <w:color w:val="auto"/>
              </w:rPr>
            </w:pPr>
            <w:r>
              <w:rPr>
                <w:rFonts w:ascii="Arial" w:cs="Arial" w:eastAsia="Arial" w:hAnsi="Arial"/>
                <w:sz w:val="18"/>
                <w:szCs w:val="18"/>
                <w:color w:val="auto"/>
                <w:w w:val="84"/>
              </w:rPr>
              <w:t>2021</w:t>
            </w:r>
          </w:p>
        </w:tc>
        <w:tc>
          <w:tcPr>
            <w:tcW w:w="2840" w:type="dxa"/>
            <w:vAlign w:val="bottom"/>
          </w:tcPr>
          <w:p>
            <w:pPr>
              <w:ind w:left="2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2760" w:type="dxa"/>
            <w:vAlign w:val="bottom"/>
            <w:shd w:val="clear" w:color="auto" w:fill="CFF0FC"/>
          </w:tcPr>
          <w:p>
            <w:pPr>
              <w:jc w:val="right"/>
              <w:ind w:right="2310"/>
              <w:spacing w:after="0"/>
              <w:rPr>
                <w:sz w:val="20"/>
                <w:szCs w:val="20"/>
                <w:color w:val="auto"/>
              </w:rPr>
            </w:pPr>
            <w:r>
              <w:rPr>
                <w:rFonts w:ascii="Arial" w:cs="Arial" w:eastAsia="Arial" w:hAnsi="Arial"/>
                <w:sz w:val="18"/>
                <w:szCs w:val="18"/>
                <w:color w:val="auto"/>
                <w:w w:val="84"/>
              </w:rPr>
              <w:t>2022</w:t>
            </w:r>
          </w:p>
        </w:tc>
        <w:tc>
          <w:tcPr>
            <w:tcW w:w="2840" w:type="dxa"/>
            <w:vAlign w:val="bottom"/>
            <w:shd w:val="clear" w:color="auto" w:fill="CFF0FC"/>
          </w:tcPr>
          <w:p>
            <w:pPr>
              <w:ind w:left="24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r>
      <w:tr>
        <w:trPr>
          <w:trHeight w:val="230"/>
        </w:trPr>
        <w:tc>
          <w:tcPr>
            <w:tcW w:w="2760" w:type="dxa"/>
            <w:vAlign w:val="bottom"/>
          </w:tcPr>
          <w:p>
            <w:pPr>
              <w:jc w:val="right"/>
              <w:ind w:right="2310"/>
              <w:spacing w:after="0"/>
              <w:rPr>
                <w:sz w:val="20"/>
                <w:szCs w:val="20"/>
                <w:color w:val="auto"/>
              </w:rPr>
            </w:pPr>
            <w:r>
              <w:rPr>
                <w:rFonts w:ascii="Arial" w:cs="Arial" w:eastAsia="Arial" w:hAnsi="Arial"/>
                <w:sz w:val="18"/>
                <w:szCs w:val="18"/>
                <w:color w:val="auto"/>
                <w:w w:val="84"/>
              </w:rPr>
              <w:t>2023</w:t>
            </w:r>
          </w:p>
        </w:tc>
        <w:tc>
          <w:tcPr>
            <w:tcW w:w="2840" w:type="dxa"/>
            <w:vAlign w:val="bottom"/>
          </w:tcPr>
          <w:p>
            <w:pPr>
              <w:ind w:left="24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 million</w:t>
            </w:r>
          </w:p>
        </w:tc>
      </w:tr>
    </w:tbl>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took delivery of the required amount of insulin under the contract in 2017 but was only obligated to pay for half prior to December 31, 2017. Accordingly, approximately $1.6 million was included in accounts payable at December 31, 2017 related to the 2017 purchase commitment, which was paid in January 2018. In the second quarter of 2018, the Company took delivery of insulin under the contract in 2018 and approximately $2.6 million was included in accounts payable at June 30,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ind w:right="40"/>
        <w:spacing w:after="0" w:line="269" w:lineRule="auto"/>
        <w:rPr>
          <w:sz w:val="20"/>
          <w:szCs w:val="20"/>
          <w:color w:val="auto"/>
        </w:rPr>
      </w:pPr>
      <w:r>
        <w:rPr>
          <w:rFonts w:ascii="Arial" w:cs="Arial" w:eastAsia="Arial" w:hAnsi="Arial"/>
          <w:sz w:val="17"/>
          <w:szCs w:val="17"/>
          <w:color w:val="auto"/>
        </w:rPr>
        <w:t>Unless terminated earlier, the term of the Insulin Supply Agreement with Amphastar expires on December 31, 2023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these two scenarios, the provisions of the Insulin Supply Agreement require the Company to pay the full amount of all unpaid purchase commitments due over the initial term within 60 calendar days of the effective date of such termination. On April 2, 2018, the Company entered into a foreign currency hedging transaction to mitigate its exposure to foreign currency exchange risks. The hedging transaction hedges against short-term currency fluctuations for the current year purchase requirement amount of €6.6 million and is renewable every 90 days. In the second quarter of 2018, the Company realized a currency loss of approximately $0.5 million and recorded this amount in cost of goods sold.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the Company has other firm commitments with suppliers for an aggregate of $0.2 million.</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Warrants - </w:t>
      </w:r>
      <w:r>
        <w:rPr>
          <w:rFonts w:ascii="Arial" w:cs="Arial" w:eastAsia="Arial" w:hAnsi="Arial"/>
          <w:sz w:val="18"/>
          <w:szCs w:val="18"/>
          <w:color w:val="auto"/>
        </w:rPr>
        <w:t>On April 5, 2018, the Company entered into securities purchase agreements with certain institutional investors. Pursuant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agreements, the Company sold to the purchasers in a registered offering an aggregate of 14,000,000 shares of its common stock and warrants to purchase up to an aggregate of 14,000,000 shares of its common stock at a combined purchase price of $2.00 per share and accompanying warrant. The shares of the common stock and the warrants were immediately separable. The warrants will be exercisable at a price of $2.38 per share beginning six months following the date of issuance and will expire six months thereafter. The net proceeds to the Company from the offering were approximately $26.4 million. The offering closed on April 9, 2018.</w:t>
      </w:r>
    </w:p>
    <w:p>
      <w:pPr>
        <w:spacing w:after="0" w:line="23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The Company entered into a lease agreement with Enterprise for the lease of approximately 100 vehicles. The lease requires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approximately $54,000 per month plus the cost of maintaining the vehicles. The leases commenced when the Company took possession of the majority of the vehicles in the second quarter of 2018. The leases expire 48 months after the delivery date.</w:t>
      </w:r>
    </w:p>
    <w:p>
      <w:pPr>
        <w:spacing w:after="0" w:line="22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March 8, 2018 the Company entered into a standby letter of credit for a total of $0.5 million in connection with the Company’s sales force vehicle lease program. The letter of credit is collateralized by a restricted cash account in the amount of $0.5 million. There were no amounts drawn down on this letter of credit as of June 30, 2018.</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Office Lease </w:t>
      </w:r>
      <w:r>
        <w:rPr>
          <w:rFonts w:ascii="Arial" w:cs="Arial" w:eastAsia="Arial" w:hAnsi="Arial"/>
          <w:sz w:val="18"/>
          <w:szCs w:val="18"/>
          <w:color w:val="auto"/>
        </w:rPr>
        <w:t>— On May 5,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lease requires monthly payments of $40,951, increased by 3% annually, plus the estimated cost of maintaining the property by the landlord with a five month concession from October 2017 through February 2018. The lease expires January 2023 and provides the Company with a five year renewal option.</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November 29, 2017, the Company executed an office lease with Russell Ranch Road II LLC to expand the office space for the Company’s corporate headquarters in Westlake Village, California. The office lease will commence in October 2018. The lease requires monthly payments of $35,969, increased by 3% annually, plus the estimated cost of maintaining the property by the landlord. In addition, the Company will be entitled to reimbursement from the landlord of up to $56,325 for tenant improvements. The lease expires January 2023 and provides the Company with a five year renewal option.</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Rental expense under all operating leases including office space and equipment was approximately $0.1 million and $0.2 million for the three and six months ended June 30, 2018,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Future minimum lease payments are as follows:</w:t>
            </w: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302,000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2019</w:t>
            </w: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976,000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2021</w:t>
            </w: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1,005,000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1,035,000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3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4,353,000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40" w:type="dxa"/>
            <w:vAlign w:val="bottom"/>
            <w:vMerge w:val="restart"/>
          </w:tcPr>
          <w:p>
            <w:pPr>
              <w:jc w:val="right"/>
              <w:ind w:right="1990"/>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2012 remain subject to examination by the major tax jurisdictions in which the Company is subject to tax.</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of 1986, as amended. The adoption had no impact on its income tax expense upon adoption for the period in which the legislation was enacted. The provisional amount related to the remeasurement of certain deferred tax assets and liabilities is based on the rates at which they are expected to reverse in the future. The impact of this Act was a decrease of deferred tax assets of approximately $301 million, offset by a decrease in valuation allowance of $301 million, resulting in no additional income tax expense or benefit. No provisional amount was recorded related to the one-time transition tax on the mandatory deemed repatriation of foreign earnings.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Charges</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As of December 31, 2017, the Company had a remaining restructuring liability of $0.4 million, which is recorded in accrued expenses and other current liabilities in the condensed consolidated balance sheets. The Company has paid out the remainder of this obligation as of June 30,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July 12, 2018, the Company and MannKind LLC, the Company’s wholly owned subsidiary, entered into an Exchange and Eighth Amendment to Facility Agreement (the “Eighth Deerfield Amendment”) with Deerfield, pursuant to which the parties amended the Facility Agreement to, among other things,</w:t>
      </w:r>
    </w:p>
    <w:p>
      <w:pPr>
        <w:ind w:right="40" w:firstLine="8"/>
        <w:spacing w:after="0" w:line="281"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issue to Deerfield 7,367,839 shares of the Company’s common stock in exchange for the cancellation of (a) $7.0 million of $10.0 million principal amount under the Company’s Amended and Restated 9.75% Senior Convertible Notes due 2019 (the “Tranche 4 notes”) that was due and payable on July 18, 2018,</w:t>
      </w:r>
    </w:p>
    <w:p>
      <w:pPr>
        <w:spacing w:after="0" w:line="1" w:lineRule="exact"/>
        <w:rPr>
          <w:rFonts w:ascii="Arial" w:cs="Arial" w:eastAsia="Arial" w:hAnsi="Arial"/>
          <w:sz w:val="16"/>
          <w:szCs w:val="16"/>
          <w:color w:val="auto"/>
        </w:rPr>
      </w:pPr>
    </w:p>
    <w:p>
      <w:pPr>
        <w:jc w:val="both"/>
        <w:ind w:right="40" w:firstLine="8"/>
        <w:spacing w:after="0" w:line="281"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$3.0 million of $5.0 million principal amount under the Tranche 4 notes due 2019 that was due and payable on December 31, 2019 and (c) $2.0 million of $2.0 million principal amount under the Company’s 8.75% Senior Convertible Notes due 2019 that was due and payable on December 31, 2019, (ii) defer the payment of $3.0 million in principal amount of the Tranche 4 notes from July 18, 2018 to August 31, 2018, (iii) reduce the minimum price at which the remaining notes issued under the Facility Agreement may be converted into shares of the Company’s common stock from $2.01 to $1.80 per share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(iv) provide that, on or after July 12, 2018, such remaining notes may be converted into a maximum of 5,750,000 shares of the Company’s common stock.</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 preceding interim condensed consolidated financial statements and this Management’s Discussion and Analysis of Financial Condition and Results of Operations should be read in conjunction with the financial statements and related notes for the year ended December 31, 2017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a biopharmaceutical company focused on the development and commercialization of inhaled therapeutic products for patients with diseases such as diabetes and pulmonary arterial hypertension. According to the Centers for Disease Control and Prevention, 30 million people in the United States had diabetes in 2015. Globally, the International Diabetes Federation has estimated that approximately 425 million people had diabetes in 2017 and approximately 629 million people will have diabetes by 2045. Our only approved product, Afrezza (insulin human) Inhalation Powder was approved by the U.S. Food and Drug Administration (“FDA”) in June of 2014. Afrezza became available by prescription in United States retail pharmacies in February 2015.</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Afrezza is a rapid-acting inhaled insulin used to improve glycemic control in adults with diabetes. The product consists of a dry powder formulation of human insulin delivered from a small portable inhaler. Administered at the beginning of a meal, Afrezza dissolves rapidly upon inhalation to the lung and delivers insulin quickly to the bloodstream. The first measurable effects of Afrezza occur approximately 12 minutes after administration.</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the Sanofi License Agreement, Sanofi was responsible for global commercial, regulatory and development activities associated with Afrezza from August 2014 to April 2016, after which these responsibilities transitioned back to us. Currently, we promote Afrezza to endocrinologists and certain high-prescribing primary care physicians in the United States through our own specialty sales force. In the future, we may seek to supplement our sales force through a co-promotion arrangement with a third party that has an underutilized primary care sales force, which can be used to promote Afrezza to greater number of primary care physicians.</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current strategy for future commercialization of Afrezza outside of the United States, subject to receipt of the necessary foreign regulatory approvals, is to seek and establish regional partnerships in foreign jurisdictions where there are commercial opportunities. In May 2017, we entered into a supply and distribution agreement with Biomm S.A. to pursue regulatory approval and commercialization of Afrezza in Brazil. In May 2018, we entered into an exclusive marketing and distribution agreement with Cipla Ltd. to pursue regulatory approval and commercialization of Afrezza in India.</w:t>
      </w:r>
    </w:p>
    <w:p>
      <w:pPr>
        <w:spacing w:after="0" w:line="154"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W also believe our Technosphere formulations of active pharmaceutical ingredients have the potential to demonstrate clinical advantages over existing therapeutic options in a variety of therapeutic areas. We completed a Phase 1 clinical study of Treprostinil Technosphere (TreT) which is a drug-device</w:t>
      </w:r>
    </w:p>
    <w:p>
      <w:pPr>
        <w:ind w:right="440"/>
        <w:spacing w:after="0" w:line="261" w:lineRule="auto"/>
        <w:rPr>
          <w:sz w:val="20"/>
          <w:szCs w:val="20"/>
          <w:color w:val="auto"/>
        </w:rPr>
      </w:pPr>
      <w:r>
        <w:rPr>
          <w:rFonts w:ascii="Arial" w:cs="Arial" w:eastAsia="Arial" w:hAnsi="Arial"/>
          <w:sz w:val="18"/>
          <w:szCs w:val="18"/>
          <w:color w:val="auto"/>
        </w:rPr>
        <w:t>combination product for the treatment of patients with pulmonary arterial hypertension. We expect to move next to a Phase 3 pivotal safety and efficacy trial and a pivotal bio equivalency trial.</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June 30, 2018, we had an accumulated deficit of $2.9 billion and a stockholders’ deficit of $206.6 million. We had a net loss of $22.7 million and $53.1 million for the three and six months ended June 30, 2018, respectively. We have funded our operations primarily through the sale of equity securities and convertible debt securities, borrowings under the Facility Agreement with Deerfield, borrowings under the Mann Group Loan Arrangement, receipt of upfront and milestone payments under the Sanofi License Agreement, and borrowings under senior secured promissory note and a guaranty and security agreement with an affiliate of Sanofi, which was terminated in 2016. As discussed below in “Liquidity and Capital Resources,” if we are unable to obtain additional funding, there is substantial doubt about our ability to continue as a going concern.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ind w:right="180"/>
        <w:spacing w:after="0" w:line="279" w:lineRule="auto"/>
        <w:rPr>
          <w:sz w:val="20"/>
          <w:szCs w:val="20"/>
          <w:color w:val="auto"/>
        </w:rPr>
      </w:pPr>
      <w:r>
        <w:rPr>
          <w:rFonts w:ascii="Arial" w:cs="Arial" w:eastAsia="Arial" w:hAnsi="Arial"/>
          <w:sz w:val="17"/>
          <w:szCs w:val="17"/>
          <w:color w:val="auto"/>
        </w:rPr>
        <w:t>Our business is subject to significant risks, including but not limited to our need to raise additional capital to fund our operations, our ability to successfully commercialize Afrezza and manufacture sufficient quantities of Afrezza and the risks inherent in our ongoing clinical trials and the regulatory approval process for our product candidates. Additional significant risks also include the results of our research and development efforts, competition from other products and technologies and uncertainties associated with obtaining and enforcing patent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critical accounting policies can be found in Item 7. Management’s Discussion and Analysis of Financial Condition and Results of Operations in our Form 10-K for the year ended December 31, 2017. Material changes were made to the accounting policies for revenue recognition due to the adoption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on January 1, 2018. See Note 1 – Description of Business and Significant Accounting Policies in the condensed consolidated financial statements included in Part I – Financial Statements (Unaudited) for descriptions of the new accounting policies and impact of adoption.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provides a comparison of the revenue categories for the three and six months ended June 30, 2018 and 2017 (dollars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5"/>
              </w:rPr>
              <w:t>Three Months Ended June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Gross-to-Net Adjustments: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Wholesaler distribution fees and prompt pay</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discounts</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740" w:type="dxa"/>
            <w:vAlign w:val="bottom"/>
          </w:tcPr>
          <w:p>
            <w:pPr>
              <w:ind w:left="740"/>
              <w:spacing w:after="0"/>
              <w:rPr>
                <w:sz w:val="20"/>
                <w:szCs w:val="20"/>
                <w:color w:val="auto"/>
              </w:rPr>
            </w:pPr>
            <w:r>
              <w:rPr>
                <w:rFonts w:ascii="Arial" w:cs="Arial" w:eastAsia="Arial" w:hAnsi="Arial"/>
                <w:sz w:val="18"/>
                <w:szCs w:val="18"/>
                <w:color w:val="auto"/>
              </w:rPr>
              <w:t>Patient discount and co-pay assistance programs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Rebates and chargebacks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4740" w:type="dxa"/>
            <w:vAlign w:val="bottom"/>
          </w:tcPr>
          <w:p>
            <w:pPr>
              <w:ind w:left="740"/>
              <w:spacing w:after="0"/>
              <w:rPr>
                <w:sz w:val="20"/>
                <w:szCs w:val="20"/>
                <w:color w:val="auto"/>
              </w:rPr>
            </w:pPr>
            <w:r>
              <w:rPr>
                <w:rFonts w:ascii="Arial" w:cs="Arial" w:eastAsia="Arial" w:hAnsi="Arial"/>
                <w:sz w:val="18"/>
                <w:szCs w:val="18"/>
                <w:color w:val="auto"/>
              </w:rPr>
              <w:t>Product returns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collaboration</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 - other</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500"/>
              <w:spacing w:after="0"/>
              <w:rPr>
                <w:sz w:val="20"/>
                <w:szCs w:val="20"/>
                <w:color w:val="auto"/>
              </w:rPr>
            </w:pPr>
            <w:r>
              <w:rPr>
                <w:rFonts w:ascii="Arial" w:cs="Arial" w:eastAsia="Arial" w:hAnsi="Arial"/>
                <w:sz w:val="18"/>
                <w:szCs w:val="18"/>
                <w:color w:val="auto"/>
              </w:rPr>
              <w:t>Total revenues</w:t>
            </w:r>
          </w:p>
        </w:tc>
        <w:tc>
          <w:tcPr>
            <w:tcW w:w="5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3,893</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2,163</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1,730</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8"/>
              </w:rPr>
              <w:t>$ Change</w:t>
            </w:r>
          </w:p>
        </w:tc>
        <w:tc>
          <w:tcPr>
            <w:tcW w:w="10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revenue from product sales</w:t>
            </w: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Gross-to-Net Adjustments: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Wholesaler distribution fees and prompt</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pay discounts</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(1,879)</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740" w:type="dxa"/>
            <w:vAlign w:val="bottom"/>
          </w:tcPr>
          <w:p>
            <w:pPr>
              <w:ind w:left="740"/>
              <w:spacing w:after="0"/>
              <w:rPr>
                <w:sz w:val="20"/>
                <w:szCs w:val="20"/>
                <w:color w:val="auto"/>
              </w:rPr>
            </w:pPr>
            <w:r>
              <w:rPr>
                <w:rFonts w:ascii="Arial" w:cs="Arial" w:eastAsia="Arial" w:hAnsi="Arial"/>
                <w:sz w:val="18"/>
                <w:szCs w:val="18"/>
                <w:color w:val="auto"/>
              </w:rPr>
              <w:t>Patient discount and co-pay assistance programs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Rebates and chargebacks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(1,647)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4740" w:type="dxa"/>
            <w:vAlign w:val="bottom"/>
          </w:tcPr>
          <w:p>
            <w:pPr>
              <w:ind w:left="740"/>
              <w:spacing w:after="0"/>
              <w:rPr>
                <w:sz w:val="20"/>
                <w:szCs w:val="20"/>
                <w:color w:val="auto"/>
              </w:rPr>
            </w:pPr>
            <w:r>
              <w:rPr>
                <w:rFonts w:ascii="Arial" w:cs="Arial" w:eastAsia="Arial" w:hAnsi="Arial"/>
                <w:sz w:val="18"/>
                <w:szCs w:val="18"/>
                <w:color w:val="auto"/>
              </w:rPr>
              <w:t>Product returns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revenue - commercial product sales</w:t>
            </w: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Net revenue - collaboration</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 - other</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(2,249)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500"/>
              <w:spacing w:after="0"/>
              <w:rPr>
                <w:sz w:val="20"/>
                <w:szCs w:val="20"/>
                <w:color w:val="auto"/>
              </w:rPr>
            </w:pPr>
            <w:r>
              <w:rPr>
                <w:rFonts w:ascii="Arial" w:cs="Arial" w:eastAsia="Arial" w:hAnsi="Arial"/>
                <w:sz w:val="18"/>
                <w:szCs w:val="18"/>
                <w:color w:val="auto"/>
              </w:rPr>
              <w:t>Total revenues</w:t>
            </w:r>
          </w:p>
        </w:tc>
        <w:tc>
          <w:tcPr>
            <w:tcW w:w="5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7,358</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5,172</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2,186</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revenue from the sales of Afrezza increased 155% and 179% during the three and six month periods ending June 30, 2018, respectively compared to the corresponding periods in 2017.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spacing w:after="0" w:line="272" w:lineRule="auto"/>
        <w:rPr>
          <w:sz w:val="20"/>
          <w:szCs w:val="20"/>
          <w:color w:val="auto"/>
        </w:rPr>
      </w:pPr>
      <w:r>
        <w:rPr>
          <w:rFonts w:ascii="Arial" w:cs="Arial" w:eastAsia="Arial" w:hAnsi="Arial"/>
          <w:sz w:val="17"/>
          <w:szCs w:val="17"/>
          <w:color w:val="auto"/>
        </w:rPr>
        <w:t>This increase was primarily driven by higher product demand and price increases. Effective as of the beginning of 2018, we adopted Topic ASC 606, the new revenue standard under which we now recognize revenue on a sell-to model rather than a sell-through model. Total estimated gross-to-net adjustments of $2.9 million (44% of gross revenue) and $4.7 million (40% of gross revenue) during the three and six month periods ending June 30, 2018, respectively, both increased by approximately 4% compared to the same periods in 2017. This increase is due primarily to rebates related to increases in the wholesaler acquisition cost of Afrezza and estimated product returns. We were not required to reduce revenue in 2017 for product returns because at that time, we deferred recognition of revenue on Afrezza product delivered to wholesalers until the right of return no longer existed, which occurred at the earlier of the time Afrezza was dispensed from pharmacies to patients or expiration of the right of return.</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revenue from collaboration recognized in the three and six month periods ending June 30, 2018 related to deferred revenue from Receptor and Cipla of a total of $0.1 million and $0.2 million, respectively, which is more fully described in Note 8 – Collaboration Arrangements of the Notes to the condensed consolidated financial statements included in Part I – Financial Statements (Unaudited).</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Revenue – other for the three and six month periods ending June 30, 2018 decreased 90% and 98%, respectively. In 2017 we obtained additional revenue from bulk insulin sales to a third party of $1.7 million as well as a $0.6 million sale of intellectual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expenses are primarily comprised of costs of goods sold, research and development expenses, selling expenses, general and administrative expenses, and loss on foreign currency. Each is described in more detail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Goods Sold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significant component of our cost of goods sold is current period manufacturing costs in excess of costs capitalized into inventory (excess capacity</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costs). These costs, in addition to the impact of the annual revaluation of inventory to standard cost (and the annual revaluation of deferred costs to standard costs in 2017), and write-offs of inventory (and write-offs of deferred costs in 2017) are recorded as expenses in the period in which they are incurred. Costs of goods sold also includes the standard cost of Afrezza sold during the period and realized currency gain or loss in connection with the Amphastar insulin contract.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research and development expenses include payroll, employee benefits, stock-based compensation expense, and other headcount-related expenses associated with research and development. Research and development expenses also include third-party clinical spending and clinical grants, manufacturing improvement and Technosphere development.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Expenses</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Selling expenses include payroll, employee benefits, stock-based compensation, and other headcount-related expenses associated with sales and marketing personnel, other commercial support personnel and the cost of advertising, promotions, trade shows, seminars and other commercial support programs.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general and administrative expenses include payroll, employee benefits and stock-based compensation expense, severance expense, and other headcount-related expenses associated with executives, finance, legal, facilities, human resources and other administrative personnel, certain taxes, professional services, and legal and other administrative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Foreign Currency</w:t>
      </w:r>
    </w:p>
    <w:p>
      <w:pPr>
        <w:spacing w:after="0" w:line="11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Under the Insulin Supply Agreement with Amphastar, payment obligations are denominated in Euros. We are required to record the foreign currency translation impact of the U.S. dollar to Euro exchange rate associated with the recognized gain or loss on purchase commitments.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The following table provides a comparison of the expense categories for the three and six months ended June 30, 2018 and 2017 (dollars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w w:val="95"/>
              </w:rPr>
              <w:t>Three Months Ended 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8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1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Selling</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Property and equipment impairment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foreign currency translation</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(12,211)</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8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24,430</w:t>
            </w: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33,734</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(9,304)</w:t>
            </w:r>
          </w:p>
        </w:tc>
        <w:tc>
          <w:tcPr>
            <w:tcW w:w="220" w:type="dxa"/>
            <w:vAlign w:val="bottom"/>
            <w:vMerge w:val="continue"/>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w w:val="99"/>
              </w:rPr>
              <w:t>Six Months Ended June 30,</w:t>
            </w:r>
          </w:p>
        </w:tc>
        <w:tc>
          <w:tcPr>
            <w:tcW w:w="8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8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1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9,103</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7,635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(640)</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Selling</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2,241</w:t>
            </w: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Property and equipment impairment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(gain) on foreign currency translation</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(10,771)</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500"/>
              <w:spacing w:after="0"/>
              <w:rPr>
                <w:sz w:val="20"/>
                <w:szCs w:val="20"/>
                <w:color w:val="auto"/>
              </w:rPr>
            </w:pPr>
            <w:r>
              <w:rPr>
                <w:rFonts w:ascii="Arial" w:cs="Arial" w:eastAsia="Arial" w:hAnsi="Arial"/>
                <w:sz w:val="18"/>
                <w:szCs w:val="18"/>
                <w:color w:val="auto"/>
              </w:rPr>
              <w:t>Total expenses</w:t>
            </w:r>
          </w:p>
        </w:tc>
        <w:tc>
          <w:tcPr>
            <w:tcW w:w="8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54,684</w:t>
            </w: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56,345</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(1,661)</w:t>
            </w:r>
          </w:p>
        </w:tc>
        <w:tc>
          <w:tcPr>
            <w:tcW w:w="220" w:type="dxa"/>
            <w:vAlign w:val="bottom"/>
            <w:vMerge w:val="continue"/>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goods sold remained consistent for the three months ended June 30, 2018 and increased by $1.5 million (19%) during the six month period ending June 30, 2018. For the three month period ended June 30, 2018 there was a $0.9 million increase related to higher Afrezza sales as well as a $0.4 million realized currency loss in connection with the Amphastar insulin contract, which was offset by lower inventory write offs of $1.2 million compared to the same period in 2017. The increase for the six months ended June 30, 2018 was primarily a result of a higher Afrezza sales from the prior year of approximately $1.9 million. This increase also includes a $0.4 million realized currency loss in connection with the Amphaster Insulin contract recorded in the second quarter of 2018. This increase was partially offset by lower inventory write-offs of $0.7 million for the six month period ending June 30, 2018, compared to the same period in 2017. Work-in-process and finished goods include conversion costs but not material cost because the material used in the product were previously written off.</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Research and development expenses decreased $0.2 million (5%) and $0.6 million (10 %) during the three and six months ended June 30, 2018, respectively, compared to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for the three month period ended June 30, 2018 compared to the same period in 2017 was primarily attributable to:</w:t>
      </w:r>
    </w:p>
    <w:p>
      <w:pPr>
        <w:spacing w:after="0" w:line="117" w:lineRule="exact"/>
        <w:rPr>
          <w:sz w:val="20"/>
          <w:szCs w:val="20"/>
          <w:color w:val="auto"/>
        </w:rPr>
      </w:pPr>
    </w:p>
    <w:p>
      <w:pPr>
        <w:ind w:left="1040" w:right="240" w:hanging="519"/>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$0.7 million decrease in salary and salary-related expenses for personnel who were engaged in research and development activities in 2017 but have transitioned to Afrezza medical affair activities such as pharmacovigilance and are now treated as selling expenses;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$0.3 million decrease in repairs and maintenance spending in connection with laboratory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$0.1 million decrease in lease spending;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$0.9 million increase in outside contract research and consulting fees for 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 for the six month period ending June 30, 2018 compared to the same period in 2017 was primarily attributable to:</w:t>
      </w:r>
    </w:p>
    <w:p>
      <w:pPr>
        <w:spacing w:after="0" w:line="117" w:lineRule="exact"/>
        <w:rPr>
          <w:sz w:val="20"/>
          <w:szCs w:val="20"/>
          <w:color w:val="auto"/>
        </w:rPr>
      </w:pPr>
    </w:p>
    <w:p>
      <w:pPr>
        <w:ind w:left="1040" w:right="2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$0.9 million decrease in salary and salary-related expenses for personnel who were engaged in research and development activities in 2017 but have transitioned to Afrezza medical affair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$0.4 million decrease in repairs maintenance spending in connection with laboratory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$0.1 million decrease in lease spending;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$0.9 million increase in outside contract research spending;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$0.3 million increase in consulting fees on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200"/>
        <w:spacing w:after="0" w:line="277" w:lineRule="auto"/>
        <w:rPr>
          <w:sz w:val="20"/>
          <w:szCs w:val="20"/>
          <w:color w:val="auto"/>
        </w:rPr>
      </w:pPr>
      <w:r>
        <w:rPr>
          <w:rFonts w:ascii="Arial" w:cs="Arial" w:eastAsia="Arial" w:hAnsi="Arial"/>
          <w:sz w:val="18"/>
          <w:szCs w:val="18"/>
          <w:color w:val="auto"/>
        </w:rPr>
        <w:t>Selling expenses decreased $0.2 million (2%) and increased $2.2 million (11 %) during the three and six month periods ending June 30, 2018, respectively, compared to the same period in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 for the three month period ended June 30, 2018 compared to the same period in 2017 was primarily attributable to:</w:t>
      </w:r>
    </w:p>
    <w:p>
      <w:pPr>
        <w:spacing w:after="0" w:line="11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$0.6 million increase in relocation spending for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$0.3 million increase in stock compensation spending related to performance-based options;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$0.7 million decrease in consulting fees in connection with speaker programs and patient education programs;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$0.4 million decrease in development of television commercial advertising.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 for the six month period ending June 30, 2018 compared to the same period 2017 was primarily attributable to:</w:t>
      </w:r>
    </w:p>
    <w:p>
      <w:pPr>
        <w:spacing w:after="0" w:line="117"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$1.7 million increase in headcount-related expenses associated with a greater number of sales personnel employed in 2018.</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$0.6 million increase in relocation spending for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$0.4 million increase in stock compensation spending related to performance-based options;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$0.4 million decrease in contract sales force spending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$0.3 million decrease in advertising boards.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order to conform to the 2018 presentation above, we reclassified approximately $0.9 million and $1.7 million of personnel costs related to Afrezza medical affair activities from general and administrative expenses to selling expenses. This resulted in a change in selling expenses from $11.6 million and $19.3 million as previously reported in our Form 10-Q filed on August 7, 2017, to $12.6 million to $21.1 million for the three and six month periods ending June 30, 2017, respectively.</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General and administrative expenses increased $3.4 million (56 %) and $6.2 million (48 %) during the three and six month periods ending June 30, 2018, respectively, compared to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for the three month period ending June 30, 2018 compared to the same period in 2017 was primarily attributable to:</w:t>
      </w:r>
    </w:p>
    <w:p>
      <w:pPr>
        <w:spacing w:after="0" w:line="117" w:lineRule="exact"/>
        <w:rPr>
          <w:sz w:val="20"/>
          <w:szCs w:val="20"/>
          <w:color w:val="auto"/>
        </w:rPr>
      </w:pPr>
    </w:p>
    <w:p>
      <w:pPr>
        <w:ind w:left="1040" w:right="2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$0.6 million increase in costs related to transitioning certain corporate support functions from Connecticut to our corporate headquarters in California;</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$0.6 million increase in additional headcount-related expenses in our human resources, accounting, corporate communications, and office support departments;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$0.8 million increase in consulting fees in connection with corporate strategies;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$0.7 million increase in stock compensation spending;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$0.1 million increase in corporate sponsorships.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 for the six month period ending June 30, 2018 compared to the same period in 2017 was primarily attributable to:</w:t>
      </w:r>
    </w:p>
    <w:p>
      <w:pPr>
        <w:spacing w:after="0" w:line="117"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$1.3 increase in corporate bonuses and benefits;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$1.3 million increase in stock compensation spending;</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$1.2 million increase in costs related to transitioning certain corporate support functions from Connecticut to our corporate headquarters in California. This amount includes $1.1 million in severance spending;</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$1.1 million increase in additional headcount-related expenses in our human resources, accounting, corporate communications, and office support departments;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$0.9 million increase in consulting fees in connection with corporate strategies;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$0.1 million increase in travel expenses in connection with investor relations;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$0.8 million decrease in accounting consulting and audit fees due to the successful remediation of material weaknesses in 2017.</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5" w:name="page36"/>
    <w:bookmarkEnd w:id="35"/>
    <w:p>
      <w:pPr>
        <w:ind w:right="40"/>
        <w:spacing w:after="0" w:line="259" w:lineRule="auto"/>
        <w:rPr>
          <w:sz w:val="20"/>
          <w:szCs w:val="20"/>
          <w:color w:val="auto"/>
        </w:rPr>
      </w:pPr>
      <w:r>
        <w:rPr>
          <w:rFonts w:ascii="Arial" w:cs="Arial" w:eastAsia="Arial" w:hAnsi="Arial"/>
          <w:sz w:val="18"/>
          <w:szCs w:val="18"/>
          <w:color w:val="auto"/>
        </w:rPr>
        <w:t>In order to conform to the 2018 presentation above, we reclassified approximately $0.9 million and $1.7 million of personnel costs related to Afrezza medical affair activities from general and administrative expenses to selling expenses. This resulted in a change in general and administrative expenses from $6.9 million and $14.6 million as previously reported in our Form 10-Q filed on August 7, 2017, to $6.0 million to $12.9 million for three and six month periods ending June 30, 2017, respectively.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Gain or loss on foreign currency translation decreased by $12.2 million (178%) and $10.8 million, (128%) during three and six month periods ending June 30, 2018, respectively, primarily due to the favorable U.S. dollar to Euro exchange rates associated with the recognized commitment to purchase insulin from Amphastar.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comparison of the expense categories for the six months ended June 30, 2018 and 2017 (dollars in thousands):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three and six months ended June 30, 2018 and 2017 (dollars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5"/>
              </w:rPr>
              <w:t>Three Months Ended June 30,</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Borders>
              <w:left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20" w:type="dxa"/>
            <w:vAlign w:val="bottom"/>
            <w:tcBorders>
              <w:left w:val="single" w:sz="8" w:color="CFF0FC"/>
            </w:tcBorders>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(2,422)</w:t>
            </w:r>
          </w:p>
        </w:tc>
        <w:tc>
          <w:tcPr>
            <w:tcW w:w="160" w:type="dxa"/>
            <w:vAlign w:val="bottom"/>
            <w:tcBorders>
              <w:left w:val="single" w:sz="8" w:color="CFF0FC"/>
            </w:tcBorders>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Gain and (Loss) on extinguishment of debt</w:t>
            </w:r>
          </w:p>
        </w:tc>
        <w:tc>
          <w:tcPr>
            <w:tcW w:w="220" w:type="dxa"/>
            <w:vAlign w:val="bottom"/>
            <w:tcBorders>
              <w:left w:val="single" w:sz="8" w:color="CFF0FC"/>
            </w:tcBorders>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(830)</w:t>
            </w:r>
          </w:p>
        </w:tc>
        <w:tc>
          <w:tcPr>
            <w:tcW w:w="160" w:type="dxa"/>
            <w:vAlign w:val="bottom"/>
            <w:tcBorders>
              <w:left w:val="single" w:sz="8" w:color="CFF0FC"/>
            </w:tcBorders>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200" w:type="dxa"/>
            <w:vAlign w:val="bottom"/>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left w:val="single" w:sz="8" w:color="CFF0FC"/>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tcBorders>
              <w:left w:val="single" w:sz="8" w:color="CFF0FC"/>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200" w:type="dxa"/>
            <w:vAlign w:val="bottom"/>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9"/>
              </w:rPr>
              <w:t>Six Months Ended June 30,</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Borders>
              <w:left w:val="single" w:sz="8" w:color="CFF0FC"/>
            </w:tcBorders>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6,776</w:t>
            </w: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(6,776)</w:t>
            </w:r>
          </w:p>
        </w:tc>
        <w:tc>
          <w:tcPr>
            <w:tcW w:w="200" w:type="dxa"/>
            <w:vAlign w:val="bottom"/>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20" w:type="dxa"/>
            <w:vAlign w:val="bottom"/>
            <w:tcBorders>
              <w:left w:val="single" w:sz="8" w:color="CFF0FC"/>
            </w:tcBorders>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(5,128)</w:t>
            </w:r>
          </w:p>
        </w:tc>
        <w:tc>
          <w:tcPr>
            <w:tcW w:w="160" w:type="dxa"/>
            <w:vAlign w:val="bottom"/>
            <w:tcBorders>
              <w:left w:val="single" w:sz="8" w:color="CFF0FC"/>
            </w:tcBorders>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00" w:type="dxa"/>
            <w:vAlign w:val="bottom"/>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(1,435)</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left w:val="single" w:sz="8" w:color="CFF0FC"/>
            </w:tcBorders>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(830)</w:t>
            </w:r>
          </w:p>
        </w:tc>
        <w:tc>
          <w:tcPr>
            <w:tcW w:w="160" w:type="dxa"/>
            <w:vAlign w:val="bottom"/>
            <w:tcBorders>
              <w:left w:val="single" w:sz="8" w:color="CFF0FC"/>
            </w:tcBorders>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40" w:type="dxa"/>
            <w:vAlign w:val="bottom"/>
            <w:tcBorders>
              <w:left w:val="single" w:sz="8" w:color="auto"/>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220" w:type="dxa"/>
            <w:vAlign w:val="bottom"/>
            <w:tcBorders>
              <w:left w:val="single" w:sz="8" w:color="CFF0FC"/>
            </w:tcBorders>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(5,004)</w:t>
            </w:r>
          </w:p>
        </w:tc>
        <w:tc>
          <w:tcPr>
            <w:tcW w:w="200" w:type="dxa"/>
            <w:vAlign w:val="bottom"/>
            <w:vMerge w:val="continue"/>
            <w:shd w:val="clear" w:color="auto" w:fill="CFF0FC"/>
          </w:tcPr>
          <w:p>
            <w:pPr>
              <w:spacing w:after="0"/>
              <w:rPr>
                <w:sz w:val="19"/>
                <w:szCs w:val="19"/>
                <w:color w:val="auto"/>
              </w:rPr>
            </w:pPr>
          </w:p>
        </w:tc>
        <w:tc>
          <w:tcPr>
            <w:tcW w:w="1260" w:type="dxa"/>
            <w:vAlign w:val="bottom"/>
            <w:tcBorders>
              <w:lef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was no warrant liability for the three and six month periods ended June 30, 2018. During the three months and six month periods ended June 30, 2017 we recorded a $0.1 million and a $6.8 million change in fair value of warrant liability. On September 29, 2017, we and the four holders of all outstanding A Warrants and B Warrants entered into separate, privately-negotiated exchange agreements, pursuant to which we agreed to issue to such holders an aggregate of 1,292,510 shares of our common stock in exchange for such warrants. The warrant liability associated with the exchanged warrants was adjusted to fair value and reclassified into equity as of September 29, 2017.</w:t>
      </w:r>
    </w:p>
    <w:p>
      <w:pPr>
        <w:spacing w:after="0" w:line="18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Interest expense on notes decreased $0.7 million (29%) and $1.6 million (32%) for the three and six month periods ended June 30, 2018, respectively compared to the same periods in 2017. The decreases for both periods were primarily due to a reduction in principal debt balances.</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Interest expense on note payable to related party increased $0.3 million (45%) and $0.7 million (51%) for the three and six month periods ended June 30, 2018, respectively, compared to the same periods in 2017. The increases for both periods were primarily due to increased principal resulting from the capitalization of interest since the second quarter of 2017.</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gain and (loss) on extinguishment of debt increased by $1.6 million (194%) and $0.8 million (94%) for the three and six month periods ended June 30, 2018, respectively.</w:t>
      </w:r>
    </w:p>
    <w:p>
      <w:pPr>
        <w:spacing w:after="0" w:line="62" w:lineRule="exact"/>
        <w:rPr>
          <w:sz w:val="20"/>
          <w:szCs w:val="20"/>
          <w:color w:val="auto"/>
        </w:rPr>
      </w:pPr>
    </w:p>
    <w:p>
      <w:pPr>
        <w:ind w:left="1040" w:right="4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for the three month period ended June 30, 2018 was primarily due to a $0.8 million gain on extinguishment resulting from the conversion of certain of our 2021 notes in 2018. In the same period of 2017, we recorded a loss on extinguishment of $0.8 million related to the Deerfield exchange transaction entered into in April and June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left="104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for the six month period ended June 30, 2018 was primarily due to a $0.8 million gain on extinguishment resulting from the conversion of certain of our 2021 notes in 2018 and a loss on extinguishment of debt of $0.8 million which was the result of the amendment and restatement of the Mann Group Loan Arrangement, both in 2018. In the same period of 2017, we recorded a loss on extinguishment of $0.8 million related to the Deerfield exchange transaction entered into in April and June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Mann Group Loan Arrangement, under which we can no longer borrow as we have used all amounts available for borrowing, borrowings under the Facility Agreement with Deerfield, receipt of upfront and milestone payments under the Sanofi License Agreement, and borrowings under a senior secured promissory note with Sanofi which was terminated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had $129.2 million principal amount of outstanding debt, consisting of:</w:t>
      </w:r>
    </w:p>
    <w:p>
      <w:pPr>
        <w:spacing w:after="0" w:line="117"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$18.7 million principal amount of 2021 notes bearing interest at 5.75% per annum and maturing on October 23, 2021, which are convertible;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amounts under the Facility Financing Obligation with Deerfield:</w:t>
      </w:r>
    </w:p>
    <w:p>
      <w:pPr>
        <w:spacing w:after="0" w:line="117" w:lineRule="exact"/>
        <w:rPr>
          <w:rFonts w:ascii="Arial" w:cs="Arial" w:eastAsia="Arial" w:hAnsi="Arial"/>
          <w:sz w:val="18"/>
          <w:szCs w:val="18"/>
          <w:color w:val="auto"/>
        </w:rPr>
      </w:pPr>
    </w:p>
    <w:p>
      <w:pPr>
        <w:jc w:val="both"/>
        <w:ind w:left="1540" w:right="80" w:hanging="506"/>
        <w:spacing w:after="0" w:line="286" w:lineRule="auto"/>
        <w:tabs>
          <w:tab w:leader="none" w:pos="15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$32.0 million principal amount of 2019 notes bearing interest at 9.75% per annum. Interest is payable in cash quarterly in arrears on the last business day of March, June, September and December of each year. $12.0 million and $15.0 million will become due and payable in July 2018 and July 2019, respectively, and $5.0 million will become due and payable in December 2019;</w:t>
      </w:r>
    </w:p>
    <w:p>
      <w:pPr>
        <w:spacing w:after="0" w:line="57" w:lineRule="exact"/>
        <w:rPr>
          <w:rFonts w:ascii="Arial" w:cs="Arial" w:eastAsia="Arial" w:hAnsi="Arial"/>
          <w:sz w:val="17"/>
          <w:szCs w:val="17"/>
          <w:color w:val="auto"/>
        </w:rPr>
      </w:pPr>
    </w:p>
    <w:p>
      <w:pPr>
        <w:ind w:left="1540" w:right="40" w:hanging="506"/>
        <w:spacing w:after="0" w:line="264"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$7.0 million principal amount of Tranche B notes bearing interest at 8.75% per annum. Interest is payable in cash quarterly in arrears on the last business day of March, June, September and December of each year. The principal amount is due and payable as follows: $5.0 million in May 2019 and $2.0 million in December 2019;</w:t>
      </w:r>
    </w:p>
    <w:p>
      <w:pPr>
        <w:spacing w:after="0" w:line="86" w:lineRule="exact"/>
        <w:rPr>
          <w:rFonts w:ascii="Arial" w:cs="Arial" w:eastAsia="Arial" w:hAnsi="Arial"/>
          <w:sz w:val="18"/>
          <w:szCs w:val="18"/>
          <w:color w:val="auto"/>
        </w:rPr>
      </w:pPr>
    </w:p>
    <w:p>
      <w:pPr>
        <w:ind w:left="1040" w:right="80" w:hanging="519"/>
        <w:spacing w:after="0" w:line="276"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$71.5 million principal amount of indebtedness under the Mann Group Arrangement bearing interest at a fixed rate of 5.84% per annum compound quarterly beginning April 1, 2018 and maturing on July 1, 2021, all of which is convertible. Interest is due and payable quarterly in arrears on the first day of each calendar quarter for the preceding quarter, except that the lender has agreed to defer interest payments until July 1, 2018 unless otherwise permitted under the subordination agreement with Deerfield, and such interest payments are subject to additional deferral beyond July 1, 2018 until our payment obligations to Deerfield have been satisfied in full.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On July 12, 2018, we entered into the Eighth Deerfield Amendment, pursuant to which the parties amended the Facility Agreement to, among other things,</w:t>
      </w:r>
    </w:p>
    <w:p>
      <w:pPr>
        <w:spacing w:after="0" w:line="46" w:lineRule="exact"/>
        <w:rPr>
          <w:sz w:val="20"/>
          <w:szCs w:val="20"/>
          <w:color w:val="auto"/>
        </w:rPr>
      </w:pPr>
    </w:p>
    <w:p>
      <w:pPr>
        <w:ind w:right="120" w:firstLine="8"/>
        <w:spacing w:after="0" w:line="290" w:lineRule="auto"/>
        <w:tabs>
          <w:tab w:leader="none" w:pos="2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issue to Deerfield 7,367,839 shares of our common stock in exchange for the cancellation of (a) $7.0 million of $10.0 million principal amount under the 2019 notes that was due and payable on July 18, 2018, (b) $3.0 million of $5.0 million principal amount under the 2019 notes that was due and payable on December 31, 2019 and (c) $2.0 million of $2.0 million principal amount under the Tranche B notes that was due and payable on December 31, 2019, (ii) defer the payment of $3.0 million in principal amount of the 2019 notes from July 18, 2018 to August 31, 2018, (iii) reduce the minimum price at which the remaining notes issued under the Facility Agreement may be converted into shares of our common stock from $2.01 to $1.80 per share and (iv) provide that, on or after July 12, 2018, such remaining notes may be converted into a maximum of 5,750,000 shares of our common stock.</w:t>
      </w:r>
    </w:p>
    <w:p>
      <w:pPr>
        <w:spacing w:after="0" w:line="1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entered into certain transactions related to these borrowings during 2017 and 2018 that are more fully described in Note 6 – Related Party Arrangements, Note 7 – Borrowings, Note 10 – Fair Value of Financial Instruments, Note 12 – Commitments and Contingencies and Note 15 – Subsequent Event.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October 10, 2017, we entered into securities purchase agreements with certain institutional investors and a charitable foundation. Pursuant to the terms of the purchase agreements, we sold to the purchasers in a registered offering an aggregate of 10,166,600 shares of our common stock at a purchase price of $6.00 per share. Included in this offering was 166,600 shares issued to The Kresa Family Foundation, of which Kent Kresa, the Chairman of our board of directors, is the President. The net proceeds from the offering were approximately $57.7 million, after deducting placement agent fees equal to 5.0% of the aggregate gross proceeds from the offering (except for the proceeds received from the sale of 166,600 shares issued to the charitable foundation) and offering expenses payable by us. The offering closed on October 13, 2017.</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ind w:right="100"/>
        <w:spacing w:after="0" w:line="264" w:lineRule="auto"/>
        <w:rPr>
          <w:sz w:val="20"/>
          <w:szCs w:val="20"/>
          <w:color w:val="auto"/>
        </w:rPr>
      </w:pPr>
      <w:r>
        <w:rPr>
          <w:rFonts w:ascii="Arial" w:cs="Arial" w:eastAsia="Arial" w:hAnsi="Arial"/>
          <w:sz w:val="18"/>
          <w:szCs w:val="18"/>
          <w:color w:val="auto"/>
        </w:rPr>
        <w:t>In November 2017, we sold an aggregate of 173,327 shares of our common stock for aggregate gross proceeds of approximately $0.5 million pursuant to our At Market Issuance Sales Agreement with B. Riley FBR, Inc. (f/k/a FBR Capital Markets &amp; Co.), dated as of April 26, 2016 (the “FBR Agreement”). On February 27, 2018, we terminated the FBR Agreement and no further sales will be made under such agreement.</w:t>
      </w:r>
    </w:p>
    <w:p>
      <w:pPr>
        <w:spacing w:after="0" w:line="18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On February 27, 2018 we entered into a Controlled Equity Offering</w:t>
      </w:r>
      <w:r>
        <w:rPr>
          <w:rFonts w:ascii="Arial" w:cs="Arial" w:eastAsia="Arial" w:hAnsi="Arial"/>
          <w:sz w:val="13"/>
          <w:szCs w:val="13"/>
          <w:color w:val="auto"/>
        </w:rPr>
        <w:t>SM</w:t>
      </w:r>
      <w:r>
        <w:rPr>
          <w:rFonts w:ascii="Arial" w:cs="Arial" w:eastAsia="Arial" w:hAnsi="Arial"/>
          <w:sz w:val="16"/>
          <w:szCs w:val="16"/>
          <w:color w:val="auto"/>
        </w:rPr>
        <w:t xml:space="preserve"> Sales Agreement (the “Sales Agreement”) with Cantor Fitzgerald &amp; Co. (“Cantor Fitzgerald”), as sales agent, pursuant to which we may offer and sell, from time to time, through Cantor Fitzgerald, shares of our common stock having an aggregate offering price of up to $50.0 million or such other amount as may be permitted by the Sales Agreement. Under the Sales Agreement, Cantor Fitzgerald may sell shares by any method deemed to be an “at the market offering” as defined in Rule 415 under the Securities Act of 1933, as amended.</w:t>
      </w:r>
    </w:p>
    <w:p>
      <w:pPr>
        <w:spacing w:after="0" w:line="19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April 5, 2018, we entered into securities purchase agreements with certain institutional investors. Pursuant to the terms of the Purchase Agreements, we sold to the purchasers in a registered offering an aggregate of 14,000,000 shares of its common stock and warrants to purchase up to an aggregate of 14,000,000 shares of its common stock at a combined purchase price of $2.00 per share and accompanying warrant. The shares of the common stock and the warrants were immediately separable. The warrants will be exercisable at a price of $2.38 per share beginning six months following the date of issuance and will expire six months thereafter. The net proceeds to us from the offering were approximately $26.4 million. The offering closed on April 9, 2018</w:t>
      </w:r>
    </w:p>
    <w:p>
      <w:pPr>
        <w:spacing w:after="0" w:line="15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For the quarter ended March 31, 2018, we sold an aggregate of 225,088 shares of our common stock for aggregate gross proceeds of approximately $0.6 million pursuant to our Sales Agreement with Cantor Fitzgerald. There was no activity for the quarter ended June 30, 2018.</w:t>
      </w:r>
    </w:p>
    <w:p>
      <w:pPr>
        <w:spacing w:after="0" w:line="14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2021 notes, Facility Financing Obligation, or the Mann Group Loan Arrangement when required. Further, if we undergo a fundamental change, as that term is defined in the indentures governing the terms of the 2021 notes, or certain Major Transactions as defined in the Facility Agreement with respect to the Facility Financing Obligation,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2021 note and Facility Financing Obligation are partially convertible and the Mann Group Loan Arrangement is fully convertible at any time prior to maturity as further disclosed in Note 6 – Related Party Arrangements and Note 7 – Borrowings.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we have been able to timely make our required interest payments to date, we cannot guarantee that we will be able to do so in the future. If we fail to pay interest on the 2021 notes and the Facility Financing Obligation or if we fail to repay or repurchase the 2021 notes, Facility Financing Obligation, or borrowings under The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connection with the execution of the Facility Agreement, on July 1, 2013, we issued Milestone Rights to the Milestone Purchasers. The Milestone Rights provide the Milestone Purchasers certain rights to receive payments of up to $90.0 million, of which $75.0 million remain payable, upon the occurrence of specified strategic and sales milestones, including the achievement of specified net sales figures. In addition, the Facility Agreement includes customary representations, warranties and covenants, including, a restriction on the incurrence of additional indebtedness, and a financial covenant which requires our cash and cash equivalents on the last day of each fiscal quarter to not be less than $20.0 million, as of June 30, 2018, September 30, 2018 or December 30, 2018. We met the required conditions as of the last day of each of these periods. See Note 12 — Commitments and Contingencies and Note 7 — Borrowings for further information related to the Facility Agreement.</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July 31, 2014, we entered into the Insulin Supply Agreement, pursuant to which we agreed to purchase certain annual minimum quantities of insulin. See Note 12 — Commitments and Contingencies for further information related to the Insulin Supply Agreement.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six months ended June 30, 2018, we used $48.8 million of cash for our operating activities as a result of our net loss of $53.1 million, offset by a net increase in operating assets and liabilities of $2.1 million and non-cash charges of $6.4 million. The decrease in operating asset and liabilities was primarily a result decreases in recognized loss on purchase commitments ($5.8 million) and higher inventory ($1.8 million) and accounts receivable ($0.2), offset by increases in accounts payable ($2.3 million), deferred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right="20"/>
        <w:spacing w:after="0" w:line="293" w:lineRule="auto"/>
        <w:rPr>
          <w:sz w:val="20"/>
          <w:szCs w:val="20"/>
          <w:color w:val="auto"/>
        </w:rPr>
      </w:pPr>
      <w:r>
        <w:rPr>
          <w:rFonts w:ascii="Arial" w:cs="Arial" w:eastAsia="Arial" w:hAnsi="Arial"/>
          <w:sz w:val="16"/>
          <w:szCs w:val="16"/>
          <w:color w:val="auto"/>
        </w:rPr>
        <w:t>payments from collaboration ($2.0 million) and accrued expenses and other current liabilities (($0.8 million) and decreases in prepaid expenses and other assets ($0.4 million). The non-cash charges included $4.2 million of stock-based compensation expense, $2.2 million of interest accrued on notes payable to the related party $1.5 million of depreciation, amortization and accretion, $0.8 million inventory write-off, $0.1 million loss on extinguishment of debt and other net assets of $0.1, offset by a $2.4 million foreign currency exchange gain. The Company recorded a write down of inventory charges of approximately $0.8 million and $1.5 million for the six months ended June 30, 2018 and December 31, 2017, respectively. These charges are presented separately in the accompanying condensed consolidated cash flow statement for 2018; the 2017 comparative amount have been reclassified to conform to the current period presentation.</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There was no cash provided from investing activities for the six months ended June 30, 2018 compared to cash provided by investing activities of $16.7 million for the six months ended June 30, 2017. The difference was primarily related to net proceeds of $16.7 million received during the six months ended June 30, 2017 for the sales of certain parcels of real estate owned by us in Valencia, California and certain related improvements, personal property, equipment, supplies and fixtures.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Cash provided from financing activities was $27.2 million for the six months ended June 30, 2018 compared to cash used in financing activities of $15.3 million for the six months ended June 30, 2017. The difference was related to $26.4 million net proceeds from direct placement of common stock for the six months ended June 30, 2018. For the six months ended June 30, 2017, there was $19.4 million cash provided by financing activities that related to borrowings on the note payable to related party. This was offset by $4.0 million in principal payments on Facility Financing Obligations.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r>
        <w:rPr>
          <w:rFonts w:ascii="Arial" w:cs="Arial" w:eastAsia="Arial" w:hAnsi="Arial"/>
          <w:sz w:val="18"/>
          <w:szCs w:val="18"/>
          <w:color w:val="auto"/>
        </w:rPr>
        <w: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June 30, 2018, we had $26.7 million in cash and cash equivalents and restricted cash. Our cash position, together with our short-term debt obligations and anticipated operating expenses, raises substantial doubt about our ability to continue as a going concern. We expect to expend our capital resources for the manufacturing, sales and marketing of Afrezza and to develop our product candidates. We also intend to use our capital resources for general corporate purposes. We will need to raise additional capital before we exhaust our current cash resources in order to continue to fund our research and development, support continued product growth and commercialization efforts, and to fund operations, generally. We will seek to raise additional funds through various potential sources, such as equity and debt financings, or through collaboration and licensing agreements.</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we enter into strategic business collaborations with respect to our product candidates or Afrezza for commercialization outside of the United States, we may, as part of the transaction,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plan to continue to fund our operating losses and capital funding needs through public or private equity or debt financings, strategic collaborations, licensing agreements or other arrangements.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did not have any off-balance sheet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Contractual Obligations</w:t>
      </w: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Material changes to our contractual obligations from December 31, 2017 to June 30, 2018, including our Facility Financing Obligation </w:t>
      </w:r>
      <w:r>
        <w:rPr>
          <w:rFonts w:ascii="Arial" w:cs="Arial" w:eastAsia="Arial" w:hAnsi="Arial"/>
          <w:sz w:val="21"/>
          <w:szCs w:val="21"/>
          <w:color w:val="auto"/>
        </w:rPr>
        <w:t>and</w:t>
      </w:r>
      <w:r>
        <w:rPr>
          <w:rFonts w:ascii="Arial" w:cs="Arial" w:eastAsia="Arial" w:hAnsi="Arial"/>
          <w:sz w:val="18"/>
          <w:szCs w:val="18"/>
          <w:color w:val="auto"/>
        </w:rPr>
        <w:t xml:space="preserve"> Note Payable to Related Party are more fully described above under “Liquidity and Capital Resources”, as well as in Note 6 – Related Party Arrangements, Note 7 – Borrowings, Note 10 – Fair Value of Financial Instruments and Note 12 – Commitments and Contingencies.</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661" w:right="379" w:bottom="1440" w:gutter="0" w:footer="0" w:header="0"/>
        </w:sectPr>
      </w:pPr>
    </w:p>
    <w:bookmarkStart w:id="40" w:name="page41"/>
    <w:bookmarkEnd w:id="40"/>
    <w:p>
      <w:pPr>
        <w:ind w:right="424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100"/>
        <w:spacing w:after="0" w:line="264" w:lineRule="auto"/>
        <w:rPr>
          <w:sz w:val="20"/>
          <w:szCs w:val="20"/>
          <w:color w:val="auto"/>
        </w:rPr>
      </w:pPr>
      <w:r>
        <w:rPr>
          <w:rFonts w:ascii="Arial" w:cs="Arial" w:eastAsia="Arial" w:hAnsi="Arial"/>
          <w:sz w:val="18"/>
          <w:szCs w:val="18"/>
          <w:color w:val="auto"/>
        </w:rPr>
        <w:t>Due to the fixed interest rates of our debt, we currently do not have exposure to changes in our interest expense as a result of changes in interest rates. See Note 6 – Related Party Arrangements and Note 7 – Borrowings in the Notes to the condensed consolidated financial statements included in Part I – Financial Statements (Unaudited) for information about the principal amount of outstanding debt.</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interest rate on amounts borrowed under The Mann Group Loan Arrangement is fixed at 5.84%. As of June 30, 2018, we also have debt related to the 2021 notes at a fixed interest rate of 5.75%, debt related to the 2019 notes at a fixed interest rate of 9.75% and debt related to the Tranche B notes at a fixed interest rate of 8.75%.</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 change in interest rates equal to 10% of the interest rates on June 30, 2018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incur and will continue to incur significant expenditures for insulin supply obligations under our supply agreement with Amphastar. Such obligations are denominated in Euros. At the end of each reporting period, the recognized loss on purchase commitment is converted to U.S. dollars at the then-applicable foreign exchange rate. As a result, our business is affected by fluctuations in exchange rates between the U.S. dollar and foreign currencies. On April 2, 2018 we entered into a foreign currency hedging transaction to mitigate our exposure to foreign currency exchange risks. Exchange rate fluctuations may adversely affect our expenses, results of operations, financial position and cash flows. If a change in the U.S. dollar to Euro exchange rate equal to 10% of the U.S. dollar to Euro exchange rate on June 30, 2018 were to occur, this change would have resulted in a foreign currency impact to our pre-tax income (losses) of approximately a $9.9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June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June 30, 2018, we have concluded, as of such date, that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alleged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to the Supreme Court of Israel, which will hear arguments on the jurisdictional issue later this year. We will vigorously defend against the claims advanced.</w:t>
      </w:r>
    </w:p>
    <w:p>
      <w:pPr>
        <w:spacing w:after="0" w:line="178"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capital to fund our operations, and there is substantial doubt about our ability to continue as a going concern.*</w:t>
      </w:r>
    </w:p>
    <w:p>
      <w:pPr>
        <w:spacing w:after="0" w:line="1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This report includes disclosures stating that our existing cash resources and our accumulated stockholders’ deficit raise substantial doubt about our ability to continue as a going concern.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and to avoid defaulting under the financial covenant in our Facility Agreement with Deerfield, which requires us to maintain at least $20 million in cash and cash equivalents as of the end of each fiscal quarter through 2018 and $25.0 million for fiscal quarters thereafter. It may be difficult for us to raise additional funds on favorable terms, or at all. As of June 30, 2018, we had cash and cash equivalents of $26.7 million and a stockholders’ deficit of $206.6 million. Our cash position, together with our short-term debt obligations and anticipated operating losses due to increased effort on commercialization and research and development projects raises substantial doubt about our ability to continue as a going concern. The extent of our additional funding requirements will depend on a number of factors, including:</w:t>
      </w:r>
    </w:p>
    <w:p>
      <w:pPr>
        <w:spacing w:after="0" w:line="59"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our Technosphere drug delivery platform;</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finding regional collaboration partners for the development and commercialization of Afrezza in foreign jurisdictions;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40" w:lineRule="exact"/>
        <w:rPr>
          <w:rFonts w:ascii="Arial" w:cs="Arial" w:eastAsia="Arial" w:hAnsi="Arial"/>
          <w:sz w:val="16"/>
          <w:szCs w:val="16"/>
          <w:color w:val="auto"/>
        </w:rPr>
      </w:pPr>
    </w:p>
    <w:p>
      <w:pPr>
        <w:ind w:left="1040" w:right="1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Agreement;</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 In addition, if we default under the Facility Agreement, Deerfield could foreclose on substantially all of our assets.</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We anticipate that our near term revenues will also, to a much lesser extent, depend on our ability to enter into licensing arrangements for our Technosphere platform technology that involve license, milestone, royalty or other payments to 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ind w:right="240"/>
        <w:spacing w:after="0" w:line="259" w:lineRule="auto"/>
        <w:rPr>
          <w:sz w:val="20"/>
          <w:szCs w:val="20"/>
          <w:color w:val="auto"/>
        </w:rPr>
      </w:pPr>
      <w:r>
        <w:rPr>
          <w:rFonts w:ascii="Arial" w:cs="Arial" w:eastAsia="Arial" w:hAnsi="Arial"/>
          <w:sz w:val="18"/>
          <w:szCs w:val="18"/>
          <w:color w:val="auto"/>
        </w:rPr>
        <w:t>Successful commercialization of Afrezza is subject to many risks and there are many factors that could cause the commercialization of Afrezza to be unsuccessful, including a number of factors that are outside our control.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never, as an organization, launched or commercialized a product other than Afrezza, and there is no guarantee that we will be able to successfully do so with Afrezza. There are numerous examples of unsuccessful product launches, second launches that underperform original expectations and other failures to fully exploit the market potential of drug products, including by pharmaceutical companies with more experience and resources than us. We will need to maintain and continue to build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7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we are unable to maintain coverage of, and adequate payment levels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responsible for the NDA for Afrezza and its maintenance. Prior to the termination of the Sanofi License Agreement in April 2016, we had no experience with the maintenance of an NDA and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Maintaining and further building the internal infrastructure to further develop and commercialize Afrezza is costly and time-consuming, and we may not be successful in our efforts or successful in obtaining financing to support those efforts.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fail to successfully commercialize Afrezza in the United States, our business, financial condition and results of operations will be materially and adversely affected.</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regional partnerships or other arrangements with third parties for the commercialization of Afrezza outside of the United States.*</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While Afrezza has been approved in the United States by the FDA for glycemic control in adult patients with diabetes, we have not yet sought approval in any other jurisdiction other than Brazil and India.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40"/>
        <w:spacing w:after="0" w:line="270"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appropriate commercial opportunities. It may be difficult to find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these programs or to obtain funding to enable us to continue these programs.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is not currently profitable and has rarely generated positive net cash flow from operations. As of June 30, 2018, we had an accumulated deficit of $2.9 billion. The accumulated deficit has resulted principally from costs incurred in our research and development programs, the write-off of goodwill, inventory and property, plant and equipment, and general operating expenses. We expect to make substantial expenditures and to incur increasing operating losses in the future in order to continue the commercialization of Afrezza. In addition, under the amended Insulin Supply Agreement with Amphastar, we agreed to purchase certain annual minimum quantities of insulin for calendar years 2018 through 2023 for an aggregate total remaining purchase price of €85.8 million at June 30, 2018. We may not have the necessary capital resources on hand in order to service this contractual commitment.</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had $129.2 million principal amount of outstanding debt, consisting of:</w:t>
      </w:r>
    </w:p>
    <w:p>
      <w:pPr>
        <w:spacing w:after="0" w:line="117" w:lineRule="exact"/>
        <w:rPr>
          <w:sz w:val="20"/>
          <w:szCs w:val="20"/>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$18.7 million principal amount of senior convertible notes bearing interest at 5.75% per annum (the “2021 notes”), with interest payable in cash semiannually in arrears on February 15 and August 15 of each year, and maturing on October 23, 2021;</w:t>
      </w:r>
    </w:p>
    <w:p>
      <w:pPr>
        <w:spacing w:after="0" w:line="62" w:lineRule="exact"/>
        <w:rPr>
          <w:rFonts w:ascii="Arial" w:cs="Arial" w:eastAsia="Arial" w:hAnsi="Arial"/>
          <w:sz w:val="18"/>
          <w:szCs w:val="18"/>
          <w:color w:val="auto"/>
        </w:rPr>
      </w:pPr>
    </w:p>
    <w:p>
      <w:pPr>
        <w:ind w:left="1040" w:right="60" w:hanging="519"/>
        <w:spacing w:after="0" w:line="259"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$32.0 million principal amount of notes issued pursuant to the Facility Agreement, bearing interest at 9.75% per annum (the “2019 notes”), which is payable in cash quarterly in arrears on the last business day of March, June, September and December of each year, and of which total principal amount of $12.0 million and $15.0 million will become due and payable in July 2018 and July 2019, respectively, and $5.0 million will become due and payable in December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left="1040" w:right="80" w:hanging="519"/>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$7.0 million principal amount of notes issued pursuant to the Facility Agreement bearing interest at 8.75% per annum (the “Tranche B notes” and together with the 2019 notes, the “Facility Financing Obligation”), which is payable in cash quarterly in arrears on the last business day of March, June, September and December of each year, and of which total principal amount of $5.0 million will become due and payable in May 2019 and $2.0 million in December 2019; and</w:t>
      </w:r>
    </w:p>
    <w:p>
      <w:pPr>
        <w:spacing w:after="0" w:line="78" w:lineRule="exact"/>
        <w:rPr>
          <w:rFonts w:ascii="Arial" w:cs="Arial" w:eastAsia="Arial" w:hAnsi="Arial"/>
          <w:sz w:val="18"/>
          <w:szCs w:val="18"/>
          <w:color w:val="auto"/>
        </w:rPr>
      </w:pPr>
    </w:p>
    <w:p>
      <w:pPr>
        <w:ind w:left="1040" w:right="160" w:hanging="519"/>
        <w:spacing w:after="0" w:line="25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$71.5 million principal amount of indebtedness under The Mann Group Loan Arrangement maturing on January 5, 2020, bearing interest at a fixed rate of 5.84% per annum compound quarterly payable quarterly in arrears on the first day of each calendar quarter for the preceding quarter, except that the lender has agreed to defer interest payments until July 1, 2018 unless otherwise permitted under the subordination agreement with Deerfield, and such interest payments are subject to additional deferral beyond July 1, 2018 until our payment obligations to Deerfield have been satisfied in full.</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2021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2021 notes, 2019 notes, or Tranche B notes, or if we fail to repay or repurchase the 2021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6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Facility Financing Obligation;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falling below $20.0 million as of the end of any fiscal quarter in 2018 and $25.0 million for fiscal quarters thereafter. There have been no events of default under the Facility Financing Obligation. If we fail to timely pay accrued interest under The Mann Group Loan Arrangement when required, we will be in default under The Mann Group Loan Arrangement. If one or more events of default under the Facility Agreement occurs and continues beyond any applicable cure period, the holders of the Facility Financing Obligation may declare all or any portion of the Facility Financing Obligation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can be no assurance that we will be able to comply with the covenants under any of the foregoing agreements, and we cannot predict whether the holders of the Facility Financing Obligation would demand repayment of the outstanding balance of the Facility Financing Obligation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2021 notes. In the event of certain future defaults under the foregoing agreements for which we are not able to obtain waivers, the holders of the 2021 notes and Facility Financing Obligation may accelerate all of our repayment obligations, and, with respect to the Facility Financing Obligation, take control of our pledged assets, potentially requiring us to renegotiate the terms of our indebtedness on terms less favorable to us, or to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6" w:name="page47"/>
    <w:bookmarkEnd w:id="46"/>
    <w:p>
      <w:pPr>
        <w:spacing w:after="0" w:line="286" w:lineRule="auto"/>
        <w:rPr>
          <w:sz w:val="20"/>
          <w:szCs w:val="20"/>
          <w:color w:val="auto"/>
        </w:rPr>
      </w:pPr>
      <w:r>
        <w:rPr>
          <w:rFonts w:ascii="Arial" w:cs="Arial" w:eastAsia="Arial" w:hAnsi="Arial"/>
          <w:sz w:val="17"/>
          <w:szCs w:val="17"/>
          <w:color w:val="auto"/>
        </w:rPr>
        <w:t>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For example, in September 2017, Novo Nordisk announced that Fiasp</w:t>
      </w:r>
      <w:r>
        <w:rPr>
          <w:rFonts w:ascii="Arial" w:cs="Arial" w:eastAsia="Arial" w:hAnsi="Arial"/>
          <w:sz w:val="15"/>
          <w:szCs w:val="15"/>
          <w:color w:val="auto"/>
        </w:rPr>
        <w:t>®</w:t>
      </w:r>
      <w:r>
        <w:rPr>
          <w:rFonts w:ascii="Arial" w:cs="Arial" w:eastAsia="Arial" w:hAnsi="Arial"/>
          <w:sz w:val="18"/>
          <w:szCs w:val="18"/>
          <w:color w:val="auto"/>
        </w:rPr>
        <w:t>, a faster formulation of insulin as part, was approved by the FDA. Our future success will depend not only on our ability to develop our product candidates but to improve them and keep pace with emerging industry developments. We cannot assure you that we will be able to do so.</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w:t>
      </w:r>
    </w:p>
    <w:p>
      <w:pPr>
        <w:ind w:right="60"/>
        <w:spacing w:after="0" w:line="253" w:lineRule="auto"/>
        <w:rPr>
          <w:sz w:val="20"/>
          <w:szCs w:val="20"/>
          <w:color w:val="auto"/>
        </w:rPr>
      </w:pPr>
      <w:r>
        <w:rPr>
          <w:rFonts w:ascii="Arial" w:cs="Arial" w:eastAsia="Arial" w:hAnsi="Arial"/>
          <w:sz w:val="18"/>
          <w:szCs w:val="18"/>
          <w:color w:val="auto"/>
        </w:rPr>
        <w:t>—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2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3" w:lineRule="exact"/>
        <w:rPr>
          <w:sz w:val="20"/>
          <w:szCs w:val="20"/>
          <w:color w:val="auto"/>
        </w:rPr>
      </w:pPr>
    </w:p>
    <w:p>
      <w:pPr>
        <w:jc w:val="both"/>
        <w:ind w:left="1040" w:right="6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7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right="86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other products that we may develop in the future depends on many factors, including the:</w:t>
      </w:r>
    </w:p>
    <w:p>
      <w:pPr>
        <w:spacing w:after="0" w:line="11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17" w:lineRule="exact"/>
        <w:rPr>
          <w:rFonts w:ascii="Arial" w:cs="Arial" w:eastAsia="Arial" w:hAnsi="Arial"/>
          <w:sz w:val="18"/>
          <w:szCs w:val="18"/>
          <w:color w:val="auto"/>
        </w:rPr>
      </w:pPr>
    </w:p>
    <w:p>
      <w:pPr>
        <w:ind w:left="1040" w:right="220" w:hanging="519"/>
        <w:spacing w:after="0" w:line="34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have been several congressional inquiries and proposed federal and proposed and enacted state legislation designed to, among other things, bring more transparency to product pricing, review the relationship between pricing and manufacturer patient programs, and reform government program reimbursement methodologies for products. At the federal level, the costs of prescription pharmaceuticals in the United States has also been the subject of considerable discussion, and members of Congress and the Trump administration have stated that they will address such costs through new legislative and administrative measures.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9" w:name="page50"/>
    <w:bookmarkEnd w:id="49"/>
    <w:p>
      <w:pPr>
        <w:ind w:right="160"/>
        <w:spacing w:after="0" w:line="257" w:lineRule="auto"/>
        <w:rPr>
          <w:sz w:val="20"/>
          <w:szCs w:val="20"/>
          <w:color w:val="auto"/>
        </w:rPr>
      </w:pPr>
      <w:r>
        <w:rPr>
          <w:rFonts w:ascii="Arial" w:cs="Arial" w:eastAsia="Arial" w:hAnsi="Arial"/>
          <w:sz w:val="18"/>
          <w:szCs w:val="18"/>
          <w:color w:val="auto"/>
        </w:rPr>
        <w:t>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79" w:lineRule="exact"/>
        <w:rPr>
          <w:sz w:val="20"/>
          <w:szCs w:val="20"/>
          <w:color w:val="auto"/>
        </w:rPr>
      </w:pPr>
    </w:p>
    <w:p>
      <w:pPr>
        <w:ind w:left="1040" w:right="3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 which has been suspended for calendar years 2016 through 2019;</w:t>
      </w:r>
    </w:p>
    <w:p>
      <w:pPr>
        <w:spacing w:after="0" w:line="73"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jc w:val="both"/>
        <w:ind w:left="1040" w:right="34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(and 70% commencing January 1, 2019)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40" w:right="64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right="80" w:hanging="519"/>
        <w:spacing w:after="0" w:line="30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certain manufacturers and authorized distributors provide to physicians; and</w:t>
      </w:r>
    </w:p>
    <w:p>
      <w:pPr>
        <w:spacing w:after="0" w:line="12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as well as efforts by the Trump administration to repeal or replace certain aspects of the PPACA. President Trump has signed two Executive Orders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PPACA, effective January 1, 2019, to close the coverage gap in most Medicare drug plans, and also increases in 2019 the percentage that a drug manufacturer must discount the cost of prescription drugs from 50 percent under current law to 70 percent. We continue to evaluate the potential effect of the possible repeal and replacement of the PPACA may have on our business.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2027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 *</w:t>
      </w:r>
    </w:p>
    <w:p>
      <w:pPr>
        <w:spacing w:after="0" w:line="7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40" w:right="40" w:hanging="519"/>
        <w:spacing w:after="0" w:line="273"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1" w:name="page52"/>
    <w:bookmarkEnd w:id="51"/>
    <w:p>
      <w:pPr>
        <w:ind w:left="1040" w:right="40" w:hanging="519"/>
        <w:spacing w:after="0" w:line="273"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civil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0" w:lineRule="exact"/>
        <w:rPr>
          <w:rFonts w:ascii="Arial" w:cs="Arial" w:eastAsia="Arial" w:hAnsi="Arial"/>
          <w:sz w:val="17"/>
          <w:szCs w:val="17"/>
          <w:color w:val="auto"/>
        </w:rPr>
      </w:pPr>
    </w:p>
    <w:p>
      <w:pPr>
        <w:ind w:left="1040" w:right="20" w:hanging="519"/>
        <w:spacing w:after="0" w:line="26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3" w:lineRule="exact"/>
        <w:rPr>
          <w:rFonts w:ascii="Arial" w:cs="Arial" w:eastAsia="Arial" w:hAnsi="Arial"/>
          <w:sz w:val="18"/>
          <w:szCs w:val="18"/>
          <w:color w:val="auto"/>
        </w:rPr>
      </w:pPr>
    </w:p>
    <w:p>
      <w:pPr>
        <w:ind w:left="1040" w:right="60" w:hanging="519"/>
        <w:spacing w:after="0" w:line="270"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imposes certain requirements relating to the privacy, security and transmission of individually identifiable health information on entities subject to the law, such as healthcare providers, health plans, and healthcare clearinghouses and their respective business associates that perform services for them that involve the creation, use, maintenance or disclosure of, individually identifiable health information. In addition, the European Union, or EU, has established its own data security and privacy legal framework, including but not limited to Directive 95/46/EC, or the Data Protection Directive. The Data Protection Directive was replaced in May 2018 with the European General Data Protection Regulation, or GDPR, which contains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69" w:lineRule="exact"/>
        <w:rPr>
          <w:rFonts w:ascii="Arial" w:cs="Arial" w:eastAsia="Arial" w:hAnsi="Arial"/>
          <w:sz w:val="17"/>
          <w:szCs w:val="17"/>
          <w:color w:val="auto"/>
        </w:rPr>
      </w:pPr>
    </w:p>
    <w:p>
      <w:pPr>
        <w:ind w:left="1040" w:right="200" w:hanging="519"/>
        <w:spacing w:after="0" w:line="259"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78" w:lineRule="exact"/>
        <w:rPr>
          <w:rFonts w:ascii="Arial" w:cs="Arial" w:eastAsia="Arial" w:hAnsi="Arial"/>
          <w:sz w:val="18"/>
          <w:szCs w:val="18"/>
          <w:color w:val="auto"/>
        </w:rPr>
      </w:pPr>
    </w:p>
    <w:p>
      <w:pPr>
        <w:ind w:left="1040" w:right="40" w:hanging="519"/>
        <w:spacing w:after="0" w:line="291"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2" w:name="page53"/>
    <w:bookmarkEnd w:id="52"/>
    <w:p>
      <w:pPr>
        <w:ind w:right="100"/>
        <w:spacing w:after="0" w:line="270" w:lineRule="auto"/>
        <w:rPr>
          <w:sz w:val="20"/>
          <w:szCs w:val="20"/>
          <w:color w:val="auto"/>
        </w:rPr>
      </w:pPr>
      <w:r>
        <w:rPr>
          <w:rFonts w:ascii="Arial" w:cs="Arial" w:eastAsia="Arial" w:hAnsi="Arial"/>
          <w:sz w:val="17"/>
          <w:szCs w:val="17"/>
          <w:color w:val="auto"/>
        </w:rPr>
        <w:t>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of $18,107 per day for each day the submission is late beyond the due date.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or modifications in financial accounting standards, including those related to revenue recognition, may harm our results of operations. *</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From time to time, the Financial Accounting Standards Board (“FASB”), either alone or jointly with other organizations, promulgates new accounting principles that could have an adverse impact on our financial position, results of operations or reported cash flows. 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The standard requires a company to recognize revenue to depict the transfer of goods or services when transferred to customers in the amount that reflects the consideration it expects to be entitled to receive in exchange for those goods or services.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delayed the effective date of the new standard from January 1, 2017 to January 1, 2018. The FASB also agreed to allow entities to choose to adopt the standard as of the original effective date. In March 2016, the FASB issued additional ASUs which clarified certain aspects of the new guidance. We adopted the new standard for the year beginning January 1, 2018. We had the option to either apply the new standard retrospectively for all prior reporting periods presented (full retrospective) or retrospectively with the cumulative effect of initially applying the new standard recognized at the date of initial application (modified retrospective). We have elected to apply the new standard using the modified retrospective approach with the cumulative effect of initial application recognized as of January 1, 2018. Based on the impact of adopting the new standard, the cumulative effect adjustment was approximately a $1.9 million decrease to the opening balance of accumulated deficit. Any difficulties in implementing this standard, or in adopting or implementing any other new accounting standard, and to update or modify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 *</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December 31, 2017, we had federal and state net operating loss carryforwards of $2.0 billion and $2.2 billion. The federal and state net operating loss carryforwards began to expire in the prior year.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ind w:right="40"/>
        <w:spacing w:after="0" w:line="257" w:lineRule="auto"/>
        <w:rPr>
          <w:sz w:val="20"/>
          <w:szCs w:val="20"/>
          <w:color w:val="auto"/>
        </w:rPr>
      </w:pPr>
      <w:r>
        <w:rPr>
          <w:rFonts w:ascii="Arial" w:cs="Arial" w:eastAsia="Arial" w:hAnsi="Arial"/>
          <w:sz w:val="18"/>
          <w:szCs w:val="18"/>
          <w:color w:val="auto"/>
        </w:rPr>
        <w:t>Section 382 limitation for those years. The federal net operating losses generated subsequent to our initial public offering in August 2004 are currently not subject to any such limitation as there have been no ownership changes since August 2004 within the meaning of Section 382 of the Code. We may however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The complaints alleged that MannKind and certain of our officers and directors violated Israeli and U.S. securities laws by making materially false and misleading statements regarding the prospects for Afrezza, thereby artificially inflating the price of MannKind’s common stock. The plaintiffs are seeking monetary damages. In November 2016, the court in Israel dismissed one of the actions without prejudice. In the remaining action, the district court ruled in October 2017 that U.S. law will apply to this case. The plaintiff has appealed this ruling to the Supreme Court of Israel, which will hear arguments on the jurisdictional matter later this year.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right="40"/>
        <w:spacing w:after="0" w:line="255" w:lineRule="auto"/>
        <w:rPr>
          <w:sz w:val="20"/>
          <w:szCs w:val="20"/>
          <w:color w:val="auto"/>
        </w:rPr>
      </w:pPr>
      <w:r>
        <w:rPr>
          <w:rFonts w:ascii="Arial" w:cs="Arial" w:eastAsia="Arial" w:hAnsi="Arial"/>
          <w:sz w:val="18"/>
          <w:szCs w:val="18"/>
          <w:color w:val="auto"/>
        </w:rPr>
        <w:t>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3"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w:t>
      </w:r>
    </w:p>
    <w:p>
      <w:pPr>
        <w:jc w:val="both"/>
        <w:ind w:right="380"/>
        <w:spacing w:after="0" w:line="302" w:lineRule="auto"/>
        <w:rPr>
          <w:sz w:val="20"/>
          <w:szCs w:val="20"/>
          <w:color w:val="auto"/>
        </w:rPr>
      </w:pPr>
      <w:r>
        <w:rPr>
          <w:rFonts w:ascii="Arial" w:cs="Arial" w:eastAsia="Arial" w:hAnsi="Arial"/>
          <w:sz w:val="16"/>
          <w:szCs w:val="16"/>
          <w:color w:val="auto"/>
        </w:rPr>
        <w:t>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p>
      <w:pPr>
        <w:ind w:right="8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1" w:lineRule="exact"/>
        <w:rPr>
          <w:sz w:val="20"/>
          <w:szCs w:val="20"/>
          <w:color w:val="auto"/>
        </w:rPr>
      </w:pPr>
    </w:p>
    <w:p>
      <w:pPr>
        <w:ind w:right="660"/>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8"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(such as off-label uses)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Enforcement action may also result in exclusion from participation in Medicare, Medicaid and other federal and state healthcare programs.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29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that we complete a clinical trial to evaluate the potential risk of pulmonary malignancy with Afrezza. To date, we have not enrolled any subjects in this trial.</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7" w:name="page58"/>
    <w:bookmarkEnd w:id="57"/>
    <w:p>
      <w:pPr>
        <w:ind w:right="20"/>
        <w:spacing w:after="0" w:line="273" w:lineRule="auto"/>
        <w:rPr>
          <w:sz w:val="20"/>
          <w:szCs w:val="20"/>
          <w:color w:val="auto"/>
        </w:rPr>
      </w:pPr>
      <w:r>
        <w:rPr>
          <w:rFonts w:ascii="Arial" w:cs="Arial" w:eastAsia="Arial" w:hAnsi="Arial"/>
          <w:sz w:val="17"/>
          <w:szCs w:val="17"/>
          <w:color w:val="auto"/>
        </w:rPr>
        <w:t>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10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2029, 2030 and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ind w:right="200"/>
        <w:spacing w:after="0" w:line="259" w:lineRule="auto"/>
        <w:rPr>
          <w:sz w:val="20"/>
          <w:szCs w:val="20"/>
          <w:color w:val="auto"/>
        </w:rPr>
      </w:pPr>
      <w:r>
        <w:rPr>
          <w:rFonts w:ascii="Arial" w:cs="Arial" w:eastAsia="Arial" w:hAnsi="Arial"/>
          <w:sz w:val="18"/>
          <w:szCs w:val="18"/>
          <w:color w:val="auto"/>
        </w:rPr>
        <w:t>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We do not believe that Afrezza infringes on any patents. However,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ind w:right="240"/>
        <w:spacing w:after="0" w:line="276" w:lineRule="auto"/>
        <w:rPr>
          <w:sz w:val="20"/>
          <w:szCs w:val="20"/>
          <w:color w:val="auto"/>
        </w:rPr>
      </w:pPr>
      <w:r>
        <w:rPr>
          <w:rFonts w:ascii="Arial" w:cs="Arial" w:eastAsia="Arial" w:hAnsi="Arial"/>
          <w:sz w:val="17"/>
          <w:szCs w:val="17"/>
          <w:color w:val="auto"/>
        </w:rPr>
        <w:t>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right="40"/>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and the vesting of restricted stock unit awards; the purchase of shares of common stock under our employee stock purchase program; and the issuance of shares upon exchange or conversion of the 2021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Between January 1, 2014 and June 30, 2018, our closing stock price as reported on The Nasdaq Global Market has ranged from $0.71 to $54.80, adjusted for the reverse stock split that occurred during this period.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2" w:lineRule="exact"/>
        <w:rPr>
          <w:sz w:val="20"/>
          <w:szCs w:val="20"/>
          <w:color w:val="auto"/>
        </w:rPr>
      </w:pPr>
    </w:p>
    <w:p>
      <w:pPr>
        <w:ind w:left="10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 commercialize our Technosphere drug delivery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17" w:lineRule="exact"/>
        <w:rPr>
          <w:rFonts w:ascii="Arial" w:cs="Arial" w:eastAsia="Arial" w:hAnsi="Arial"/>
          <w:sz w:val="18"/>
          <w:szCs w:val="18"/>
          <w:color w:val="auto"/>
        </w:rPr>
      </w:pPr>
    </w:p>
    <w:p>
      <w:pPr>
        <w:ind w:left="1040" w:right="140" w:hanging="519"/>
        <w:spacing w:after="0" w:line="25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June 30, 2018, we had 145,619,293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2021 notes, , 2019 Notes, Tranche B notes, or the Mann Group Loan Arrangement,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4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277" w:lineRule="exact"/>
        <w:rPr>
          <w:sz w:val="20"/>
          <w:szCs w:val="20"/>
          <w:color w:val="auto"/>
        </w:rPr>
      </w:pPr>
    </w:p>
    <w:p>
      <w:pPr>
        <w:ind w:right="434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9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60" w:type="dxa"/>
            <w:vAlign w:val="bottom"/>
            <w:gridSpan w:val="13"/>
          </w:tcPr>
          <w:p>
            <w:pPr>
              <w:ind w:left="140"/>
              <w:spacing w:after="0"/>
              <w:rPr>
                <w:sz w:val="20"/>
                <w:szCs w:val="20"/>
                <w:color w:val="auto"/>
              </w:rPr>
            </w:pPr>
            <w:r>
              <w:rPr>
                <w:rFonts w:ascii="Arial" w:cs="Arial" w:eastAsia="Arial" w:hAnsi="Arial"/>
                <w:sz w:val="14"/>
                <w:szCs w:val="14"/>
                <w:color w:val="auto"/>
              </w:rPr>
              <w:t>Description of Document</w:t>
            </w:r>
          </w:p>
        </w:tc>
        <w:tc>
          <w:tcPr>
            <w:tcW w:w="20" w:type="dxa"/>
            <w:vAlign w:val="bottom"/>
          </w:tcPr>
          <w:p>
            <w:pPr>
              <w:spacing w:after="0"/>
              <w:rPr>
                <w:sz w:val="14"/>
                <w:szCs w:val="14"/>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100" w:type="dxa"/>
            <w:vAlign w:val="bottom"/>
            <w:tcBorders>
              <w:top w:val="single" w:sz="8" w:color="auto"/>
              <w:bottom w:val="single" w:sz="8" w:color="0000EE"/>
            </w:tcBorders>
            <w:gridSpan w:val="19"/>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Amended and Restated Certificate of Incorporation (incorporated by reference to Exhibit 3.1 to MannKind’s Quarterly Report on Form 10-Q</w:t>
              </w:r>
            </w:hyperlink>
          </w:p>
        </w:tc>
        <w:tc>
          <w:tcPr>
            <w:tcW w:w="340" w:type="dxa"/>
            <w:vAlign w:val="bottom"/>
            <w:tcBorders>
              <w:top w:val="single" w:sz="8" w:color="auto"/>
            </w:tcBorders>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25"/>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(File No. 000-50865), filed with the SEC on August 9, 2016).</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440" w:type="dxa"/>
            <w:vAlign w:val="bottom"/>
            <w:gridSpan w:val="25"/>
          </w:tcPr>
          <w:p>
            <w:pPr>
              <w:spacing w:after="0"/>
              <w:rPr>
                <w:rFonts w:ascii="Arial" w:cs="Arial" w:eastAsia="Arial" w:hAnsi="Arial"/>
                <w:sz w:val="18"/>
                <w:szCs w:val="18"/>
                <w:color w:val="0000EE"/>
                <w:w w:val="96"/>
              </w:rPr>
            </w:pPr>
            <w:hyperlink r:id="rId85">
              <w:r>
                <w:rPr>
                  <w:rFonts w:ascii="Arial" w:cs="Arial" w:eastAsia="Arial" w:hAnsi="Arial"/>
                  <w:sz w:val="18"/>
                  <w:szCs w:val="18"/>
                  <w:color w:val="0000EE"/>
                  <w:w w:val="96"/>
                </w:rPr>
                <w:t>Certificate of Amendment of Amended and Restated Certificate of Incorporation of MannKind Corporation (incorporated by reference to</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Exhibit 3.1 to MannKind’s Current Report on Form 8-K (File No. 000-50865), filed with the SEC on March 2, 2017).</w:t>
              </w:r>
            </w:hyperlink>
          </w:p>
        </w:tc>
        <w:tc>
          <w:tcPr>
            <w:tcW w:w="6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0440" w:type="dxa"/>
            <w:vAlign w:val="bottom"/>
            <w:tcBorders>
              <w:bottom w:val="single" w:sz="8" w:color="0000EE"/>
            </w:tcBorders>
            <w:gridSpan w:val="25"/>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Certificate of Amendment of Amended and Restated Certificate of Incorporation of MannKind Corporation (incorporated by reference to Exhibit</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MannKind’s Current Report on Form 8-K (File No. 000-50865), filed with the SEC on December 13, 2017).</w:t>
              </w:r>
            </w:hyperlink>
          </w:p>
        </w:tc>
        <w:tc>
          <w:tcPr>
            <w:tcW w:w="22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0440" w:type="dxa"/>
            <w:vAlign w:val="bottom"/>
            <w:gridSpan w:val="25"/>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Amended and Restated Bylaws (incorporated by reference to MannKind’s Current Report on Form 8-K (File No. 000-50865), filed with the SEC</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87">
              <w:r>
                <w:rPr>
                  <w:rFonts w:ascii="Arial" w:cs="Arial" w:eastAsia="Arial" w:hAnsi="Arial"/>
                  <w:sz w:val="18"/>
                  <w:szCs w:val="18"/>
                  <w:color w:val="0000EE"/>
                  <w:w w:val="87"/>
                </w:rPr>
                <w:t>on November 19, 2007).</w:t>
              </w:r>
            </w:hyperlink>
          </w:p>
        </w:tc>
        <w:tc>
          <w:tcPr>
            <w:tcW w:w="8680" w:type="dxa"/>
            <w:vAlign w:val="bottom"/>
            <w:tcBorders>
              <w:top w:val="single" w:sz="8" w:color="0000EE"/>
            </w:tcBorders>
            <w:gridSpan w:val="21"/>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440" w:type="dxa"/>
            <w:vAlign w:val="bottom"/>
            <w:gridSpan w:val="25"/>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4">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85">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86">
              <w:r>
                <w:rPr>
                  <w:rFonts w:ascii="Arial" w:cs="Arial" w:eastAsia="Arial" w:hAnsi="Arial"/>
                  <w:sz w:val="18"/>
                  <w:szCs w:val="18"/>
                  <w:color w:val="0000EE"/>
                </w:rPr>
                <w:t>3.3</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7">
              <w:r>
                <w:rPr>
                  <w:rFonts w:ascii="Arial" w:cs="Arial" w:eastAsia="Arial" w:hAnsi="Arial"/>
                  <w:sz w:val="18"/>
                  <w:szCs w:val="18"/>
                  <w:color w:val="0000EE"/>
                </w:rPr>
                <w:t>3.4</w:t>
              </w:r>
            </w:hyperlink>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320" w:type="dxa"/>
            <w:vAlign w:val="bottom"/>
            <w:tcBorders>
              <w:bottom w:val="single" w:sz="8" w:color="0000EE"/>
            </w:tcBorders>
            <w:gridSpan w:val="21"/>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Form of common stock certificate (incorporated by reference to Exhibit 4.2 to MannKind’s Annual Report on Form 10-K (File No. 000-50865),</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25"/>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filed with the SEC on March 16, 2017).</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6"/>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440" w:type="dxa"/>
            <w:vAlign w:val="bottom"/>
            <w:tcBorders>
              <w:bottom w:val="single" w:sz="8" w:color="0000EE"/>
            </w:tcBorders>
            <w:gridSpan w:val="25"/>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Form of 9.75% Senior Secured Convertible Promissory Note due 2019 (incorporated by reference Exhibit 99.2 to MannKind’s Current Report on</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25"/>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Form 8-K (File No. 000-50865), filed with the SEC on July 1, 2013).</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340" w:type="dxa"/>
            <w:vAlign w:val="bottom"/>
            <w:gridSpan w:val="10"/>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10440" w:type="dxa"/>
            <w:vAlign w:val="bottom"/>
            <w:gridSpan w:val="25"/>
          </w:tcPr>
          <w:p>
            <w:pPr>
              <w:spacing w:after="0"/>
              <w:rPr>
                <w:rFonts w:ascii="Arial" w:cs="Arial" w:eastAsia="Arial" w:hAnsi="Arial"/>
                <w:sz w:val="18"/>
                <w:szCs w:val="18"/>
                <w:color w:val="0000EE"/>
                <w:w w:val="94"/>
              </w:rPr>
            </w:pPr>
            <w:hyperlink r:id="rId90">
              <w:r>
                <w:rPr>
                  <w:rFonts w:ascii="Arial" w:cs="Arial" w:eastAsia="Arial" w:hAnsi="Arial"/>
                  <w:sz w:val="18"/>
                  <w:szCs w:val="18"/>
                  <w:color w:val="0000EE"/>
                  <w:w w:val="94"/>
                </w:rPr>
                <w:t>Form of Amended and Restated 9.75% Senior Secured Convertible Promissory Note due 2019 (incorporated by reference to Exhibit 4.7 to</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MannKind’s Annual Report on Form 10-K (File No. 000-50865), filed with the SEC on March 3, 2014).</w:t>
              </w:r>
            </w:hyperlink>
          </w:p>
        </w:tc>
        <w:tc>
          <w:tcPr>
            <w:tcW w:w="5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340" w:type="dxa"/>
            <w:vAlign w:val="bottom"/>
            <w:gridSpan w:val="10"/>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0420" w:type="dxa"/>
            <w:vAlign w:val="bottom"/>
            <w:tcBorders>
              <w:bottom w:val="single" w:sz="8" w:color="0000EE"/>
            </w:tcBorders>
            <w:gridSpan w:val="24"/>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Tranche B Senior Secured Note due 2019 (incorporated by reference to Exhibit 4.8 to MannKind’s Quarterly Report on Form 10-Q (File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25"/>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No. 000-50856), filed with the SEC on May 12, 2014).</w:t>
              </w:r>
            </w:hyperlink>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340" w:type="dxa"/>
            <w:vAlign w:val="bottom"/>
            <w:gridSpan w:val="10"/>
            <w:shd w:val="clear" w:color="auto" w:fill="0000EE"/>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10260" w:type="dxa"/>
            <w:vAlign w:val="bottom"/>
            <w:tcBorders>
              <w:bottom w:val="single" w:sz="8" w:color="0000EE"/>
            </w:tcBorders>
            <w:gridSpan w:val="20"/>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Milestone Rights Purchase Agreement, dated as of July 1, 2013, by and among MannKind, Deerfield Private Design Fund II, L.P. and Horizon</w:t>
              </w:r>
            </w:hyperlink>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Santé FLML SÁRL (incorporated by reference to Exhibit 99.3 to MannKind’s Current Report on Form 8-K (File No. 000-50865), filed with the</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40" w:type="dxa"/>
            <w:vAlign w:val="bottom"/>
            <w:gridSpan w:val="25"/>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SEC on July 1, 2013).</w:t>
              </w:r>
            </w:hyperlink>
          </w:p>
        </w:tc>
        <w:tc>
          <w:tcPr>
            <w:tcW w:w="20" w:type="dxa"/>
            <w:vAlign w:val="bottom"/>
          </w:tcPr>
          <w:p>
            <w:pPr>
              <w:spacing w:after="0"/>
              <w:rPr>
                <w:sz w:val="17"/>
                <w:szCs w:val="17"/>
                <w:color w:val="auto"/>
              </w:rPr>
            </w:pPr>
          </w:p>
        </w:tc>
      </w:tr>
      <w:tr>
        <w:trPr>
          <w:trHeight w:val="574"/>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3360" w:type="dxa"/>
            <w:vAlign w:val="bottom"/>
            <w:gridSpan w:val="12"/>
          </w:tcPr>
          <w:p>
            <w:pPr>
              <w:jc w:val="right"/>
              <w:ind w:right="28"/>
              <w:spacing w:after="0"/>
              <w:rPr>
                <w:sz w:val="20"/>
                <w:szCs w:val="20"/>
                <w:color w:val="auto"/>
              </w:rPr>
            </w:pPr>
            <w:r>
              <w:rPr>
                <w:rFonts w:ascii="Arial" w:cs="Arial" w:eastAsia="Arial" w:hAnsi="Arial"/>
                <w:sz w:val="18"/>
                <w:szCs w:val="18"/>
                <w:color w:val="auto"/>
              </w:rPr>
              <w:t>63</w:t>
            </w:r>
          </w:p>
        </w:tc>
        <w:tc>
          <w:tcPr>
            <w:tcW w:w="2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92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920" w:type="dxa"/>
            <w:vAlign w:val="bottom"/>
            <w:gridSpan w:val="3"/>
          </w:tcPr>
          <w:p>
            <w:pPr>
              <w:spacing w:after="0"/>
              <w:rPr>
                <w:sz w:val="20"/>
                <w:szCs w:val="20"/>
                <w:color w:val="auto"/>
              </w:rPr>
            </w:pPr>
            <w:r>
              <w:rPr>
                <w:rFonts w:ascii="Arial" w:cs="Arial" w:eastAsia="Arial" w:hAnsi="Arial"/>
                <w:sz w:val="14"/>
                <w:szCs w:val="14"/>
                <w:color w:val="auto"/>
              </w:rPr>
              <w:t>Number</w:t>
            </w: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960" w:type="dxa"/>
            <w:vAlign w:val="bottom"/>
            <w:gridSpan w:val="30"/>
          </w:tcPr>
          <w:p>
            <w:pPr>
              <w:ind w:left="40"/>
              <w:spacing w:after="0"/>
              <w:rPr>
                <w:sz w:val="20"/>
                <w:szCs w:val="20"/>
                <w:color w:val="auto"/>
              </w:rPr>
            </w:pPr>
            <w:r>
              <w:rPr>
                <w:rFonts w:ascii="Arial" w:cs="Arial" w:eastAsia="Arial" w:hAnsi="Arial"/>
                <w:sz w:val="14"/>
                <w:szCs w:val="14"/>
                <w:color w:val="auto"/>
              </w:rPr>
              <w:t>Description of Document</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8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360" w:type="dxa"/>
            <w:vAlign w:val="bottom"/>
            <w:tcBorders>
              <w:top w:val="single" w:sz="8" w:color="auto"/>
              <w:bottom w:val="single" w:sz="8" w:color="0000EE"/>
            </w:tcBorders>
            <w:gridSpan w:val="28"/>
          </w:tcPr>
          <w:p>
            <w:pPr>
              <w:spacing w:after="0" w:line="170"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Guaranty and Security Agreement, dated as of July 1, 2013, by and among MannKind, MannKind LLC, Deerfield Private Design Fund II, L.P.,</w:t>
              </w:r>
            </w:hyperlink>
          </w:p>
        </w:tc>
        <w:tc>
          <w:tcPr>
            <w:tcW w:w="100" w:type="dxa"/>
            <w:vAlign w:val="bottom"/>
            <w:tcBorders>
              <w:top w:val="single" w:sz="8" w:color="auto"/>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60" w:type="dxa"/>
            <w:vAlign w:val="bottom"/>
            <w:gridSpan w:val="32"/>
          </w:tcPr>
          <w:p>
            <w:pPr>
              <w:spacing w:after="0" w:line="196" w:lineRule="exact"/>
              <w:rPr>
                <w:rFonts w:ascii="Arial" w:cs="Arial" w:eastAsia="Arial" w:hAnsi="Arial"/>
                <w:sz w:val="18"/>
                <w:szCs w:val="18"/>
                <w:color w:val="0000EE"/>
                <w:w w:val="97"/>
              </w:rPr>
            </w:pPr>
            <w:hyperlink r:id="rId95">
              <w:r>
                <w:rPr>
                  <w:rFonts w:ascii="Arial" w:cs="Arial" w:eastAsia="Arial" w:hAnsi="Arial"/>
                  <w:sz w:val="18"/>
                  <w:szCs w:val="18"/>
                  <w:color w:val="0000EE"/>
                  <w:w w:val="97"/>
                </w:rPr>
                <w:t>Deerfield Private Design International II, L.P. and Horizon Santé FLML SÁRL (incorporated by reference to Exhibit 99.4 to MannKind’s</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Current Report on Form 8-K (File No. 000-50865), filed with the SEC on July 1, 2013).</w:t>
              </w:r>
            </w:hyperlink>
          </w:p>
        </w:tc>
        <w:tc>
          <w:tcPr>
            <w:tcW w:w="3560" w:type="dxa"/>
            <w:vAlign w:val="bottom"/>
            <w:tcBorders>
              <w:top w:val="single" w:sz="8" w:color="0000EE"/>
            </w:tcBorders>
            <w:gridSpan w:val="7"/>
          </w:tcPr>
          <w:p>
            <w:pPr>
              <w:spacing w:after="0"/>
              <w:rPr>
                <w:sz w:val="17"/>
                <w:szCs w:val="17"/>
                <w:color w:val="auto"/>
              </w:rPr>
            </w:pPr>
          </w:p>
        </w:tc>
        <w:tc>
          <w:tcPr>
            <w:tcW w:w="56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60" w:type="dxa"/>
            <w:vAlign w:val="bottom"/>
            <w:tcBorders>
              <w:bottom w:val="single" w:sz="8" w:color="0000EE"/>
            </w:tcBorders>
            <w:gridSpan w:val="32"/>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Facility Agreement, dated as of July 1, 2013, by and among MannKind Corporation, Deerfield Private Design Fund II, L.P. and Deerfield Private</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60" w:type="dxa"/>
            <w:vAlign w:val="bottom"/>
            <w:gridSpan w:val="32"/>
          </w:tcPr>
          <w:p>
            <w:pPr>
              <w:spacing w:after="0" w:line="196" w:lineRule="exact"/>
              <w:rPr>
                <w:rFonts w:ascii="Arial" w:cs="Arial" w:eastAsia="Arial" w:hAnsi="Arial"/>
                <w:sz w:val="18"/>
                <w:szCs w:val="18"/>
                <w:color w:val="0000EE"/>
                <w:w w:val="95"/>
              </w:rPr>
            </w:pPr>
            <w:hyperlink r:id="rId96">
              <w:r>
                <w:rPr>
                  <w:rFonts w:ascii="Arial" w:cs="Arial" w:eastAsia="Arial" w:hAnsi="Arial"/>
                  <w:sz w:val="18"/>
                  <w:szCs w:val="18"/>
                  <w:color w:val="0000EE"/>
                  <w:w w:val="95"/>
                </w:rPr>
                <w:t>Design International II, L.P. (incorporated by reference to Exhibit 99.1 MannKind’s Current Report on Form 8-K (File No. 000-50865), filed</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with the SEC on July 1, 2013).</w:t>
              </w:r>
            </w:hyperlink>
          </w:p>
        </w:tc>
        <w:tc>
          <w:tcPr>
            <w:tcW w:w="7920" w:type="dxa"/>
            <w:vAlign w:val="bottom"/>
            <w:tcBorders>
              <w:top w:val="single" w:sz="8" w:color="0000EE"/>
            </w:tcBorders>
            <w:gridSpan w:val="20"/>
          </w:tcPr>
          <w:p>
            <w:pPr>
              <w:spacing w:after="0"/>
              <w:rPr>
                <w:sz w:val="17"/>
                <w:szCs w:val="17"/>
                <w:color w:val="auto"/>
              </w:rPr>
            </w:pPr>
          </w:p>
        </w:tc>
        <w:tc>
          <w:tcPr>
            <w:tcW w:w="3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40" w:type="dxa"/>
            <w:vAlign w:val="bottom"/>
            <w:tcBorders>
              <w:bottom w:val="single" w:sz="8" w:color="0000EE"/>
            </w:tcBorders>
            <w:gridSpan w:val="31"/>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First Amendment to Facility Agreement and Registration Rights Agreement, dated as of February 28, 2014, by and among MannKind, Deerfield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60" w:type="dxa"/>
            <w:vAlign w:val="bottom"/>
            <w:gridSpan w:val="32"/>
          </w:tcPr>
          <w:p>
            <w:pPr>
              <w:spacing w:after="0" w:line="196" w:lineRule="exact"/>
              <w:rPr>
                <w:rFonts w:ascii="Arial" w:cs="Arial" w:eastAsia="Arial" w:hAnsi="Arial"/>
                <w:sz w:val="18"/>
                <w:szCs w:val="18"/>
                <w:color w:val="0000EE"/>
                <w:w w:val="96"/>
              </w:rPr>
            </w:pPr>
            <w:hyperlink r:id="rId97">
              <w:r>
                <w:rPr>
                  <w:rFonts w:ascii="Arial" w:cs="Arial" w:eastAsia="Arial" w:hAnsi="Arial"/>
                  <w:sz w:val="18"/>
                  <w:szCs w:val="18"/>
                  <w:color w:val="0000EE"/>
                  <w:w w:val="96"/>
                </w:rPr>
                <w:t>Private Design Fund II, L.P. and Deerfield Private Design International II, L.P. (incorporated by reference to Exhibit 10.39 to MannKind’s</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Annual Report on Form 10-K (File No. 000-50865), filed with the SEC on March 3, 2014).</w:t>
              </w:r>
            </w:hyperlink>
          </w:p>
        </w:tc>
        <w:tc>
          <w:tcPr>
            <w:tcW w:w="3360" w:type="dxa"/>
            <w:vAlign w:val="bottom"/>
            <w:tcBorders>
              <w:top w:val="single" w:sz="8" w:color="0000EE"/>
            </w:tcBorders>
            <w:gridSpan w:val="7"/>
          </w:tcPr>
          <w:p>
            <w:pPr>
              <w:spacing w:after="0"/>
              <w:rPr>
                <w:sz w:val="17"/>
                <w:szCs w:val="17"/>
                <w:color w:val="auto"/>
              </w:rPr>
            </w:pPr>
          </w:p>
        </w:tc>
        <w:tc>
          <w:tcPr>
            <w:tcW w:w="5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60" w:type="dxa"/>
            <w:vAlign w:val="bottom"/>
            <w:gridSpan w:val="32"/>
          </w:tcPr>
          <w:p>
            <w:pPr>
              <w:spacing w:after="0"/>
              <w:rPr>
                <w:rFonts w:ascii="Arial" w:cs="Arial" w:eastAsia="Arial" w:hAnsi="Arial"/>
                <w:sz w:val="18"/>
                <w:szCs w:val="18"/>
                <w:color w:val="0000EE"/>
                <w:w w:val="97"/>
              </w:rPr>
            </w:pPr>
            <w:hyperlink r:id="rId98">
              <w:r>
                <w:rPr>
                  <w:rFonts w:ascii="Arial" w:cs="Arial" w:eastAsia="Arial" w:hAnsi="Arial"/>
                  <w:sz w:val="18"/>
                  <w:szCs w:val="18"/>
                  <w:color w:val="0000EE"/>
                  <w:w w:val="97"/>
                </w:rPr>
                <w:t>Second Amendment to Facility Agreement and Registration Rights Agreement, dated as of August 11, 2014, by and among MannKind,</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Deerfield Private Design Fund II, L.P. and Deerfield Private Design International II, L.P. (incorporated by reference to Exhibit 4.14 to</w:t>
              </w:r>
            </w:hyperlink>
          </w:p>
        </w:tc>
        <w:tc>
          <w:tcPr>
            <w:tcW w:w="120" w:type="dxa"/>
            <w:vAlign w:val="bottom"/>
            <w:tcBorders>
              <w:top w:val="single" w:sz="8" w:color="0000EE"/>
            </w:tcBorders>
          </w:tcPr>
          <w:p>
            <w:pPr>
              <w:spacing w:after="0"/>
              <w:rPr>
                <w:sz w:val="17"/>
                <w:szCs w:val="17"/>
                <w:color w:val="auto"/>
              </w:rPr>
            </w:pPr>
          </w:p>
        </w:tc>
        <w:tc>
          <w:tcPr>
            <w:tcW w:w="70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MannKind’s Quarterly Report on Form 10-Q (File No. 000-50865), filed with the SEC on November 10, 2014).</w:t>
              </w:r>
            </w:hyperlink>
          </w:p>
        </w:tc>
        <w:tc>
          <w:tcPr>
            <w:tcW w:w="240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20" w:type="dxa"/>
            <w:vAlign w:val="bottom"/>
            <w:tcBorders>
              <w:bottom w:val="single" w:sz="8" w:color="0000EE"/>
            </w:tcBorders>
            <w:gridSpan w:val="18"/>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Exchange and Third Amendment to Facility Agreement, dated June 29, 2017 by and among MannKind, MannKind LLC, Deerfield Private</w:t>
              </w:r>
            </w:hyperlink>
          </w:p>
        </w:tc>
        <w:tc>
          <w:tcPr>
            <w:tcW w:w="4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4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Design Fund II, L.P. and Deerfield Private Design International II, L.P. (incorporated by reference to Exhibit 99.2 to MannKind’s Current Report</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60" w:type="dxa"/>
            <w:vAlign w:val="bottom"/>
            <w:gridSpan w:val="32"/>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on Form 8-K (File No. 000-50865), filed with the SEC on June 29, 2017).</w:t>
              </w:r>
            </w:hyperlink>
          </w:p>
        </w:tc>
        <w:tc>
          <w:tcPr>
            <w:tcW w:w="2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tcBorders>
              <w:bottom w:val="single" w:sz="8" w:color="0000EE"/>
            </w:tcBorders>
            <w:gridSpan w:val="23"/>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Fourth Amendment to Facility Agreement, dated October 23, 2017 by and among MannKind, MannKind LLC, Deerfield Private Design Fund</w:t>
              </w:r>
            </w:hyperlink>
          </w:p>
        </w:tc>
        <w:tc>
          <w:tcPr>
            <w:tcW w:w="2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6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II, 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60" w:type="dxa"/>
            <w:vAlign w:val="bottom"/>
            <w:gridSpan w:val="3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(File No. 000-50865), filed with the SEC on October 23, 2017).</w:t>
              </w:r>
            </w:hyperlink>
          </w:p>
        </w:tc>
        <w:tc>
          <w:tcPr>
            <w:tcW w:w="2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tcBorders>
              <w:bottom w:val="single" w:sz="8" w:color="0000EE"/>
            </w:tcBorders>
            <w:gridSpan w:val="27"/>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Fifth Amendment to Facility Agreement, dated January 15, 2018 by and among MannKind, MannKind LLC, Deerfield Private Design Fund II,</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60" w:type="dxa"/>
            <w:vAlign w:val="bottom"/>
            <w:gridSpan w:val="32"/>
          </w:tcPr>
          <w:p>
            <w:pPr>
              <w:spacing w:after="0" w:line="19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(File No. 000-50865), filed with the SEC on January 18, 2018.</w:t>
              </w:r>
            </w:hyperlink>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10360" w:type="dxa"/>
            <w:vAlign w:val="bottom"/>
            <w:tcBorders>
              <w:bottom w:val="single" w:sz="8" w:color="0000EE"/>
            </w:tcBorders>
            <w:gridSpan w:val="27"/>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Sixth Amendment to Facility Agreement, dated January 18, 2018 by and among MannKind, MannKind LLC, Deerfield Private Design Fund II,</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L.P., and Deerfield Private Design International II, L.P. (incorporated by reference to Exhibit 99.2 to MannKind’s Current Report on Form 8-K</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(File No. 000-50865), filed with the SEC on January 18, 2018.</w:t>
              </w:r>
            </w:hyperlink>
          </w:p>
        </w:tc>
        <w:tc>
          <w:tcPr>
            <w:tcW w:w="5740" w:type="dxa"/>
            <w:vAlign w:val="bottom"/>
            <w:tcBorders>
              <w:top w:val="single" w:sz="8" w:color="0000EE"/>
            </w:tcBorders>
            <w:gridSpan w:val="20"/>
          </w:tcPr>
          <w:p>
            <w:pPr>
              <w:spacing w:after="0"/>
              <w:rPr>
                <w:sz w:val="17"/>
                <w:szCs w:val="17"/>
                <w:color w:val="auto"/>
              </w:rPr>
            </w:pPr>
          </w:p>
        </w:tc>
        <w:tc>
          <w:tcPr>
            <w:tcW w:w="2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10120" w:type="dxa"/>
            <w:vAlign w:val="bottom"/>
            <w:tcBorders>
              <w:bottom w:val="single" w:sz="8" w:color="0000EE"/>
            </w:tcBorders>
            <w:gridSpan w:val="21"/>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Exchange and Seventh Amendment to Facility Agreement, dated June 8, 2018 by and among MannKind, MannKind LLC, Deerfield Private</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on Form 8-K (File No. 000-50865), filed with the SEC on June 11, 2018).</w:t>
              </w:r>
            </w:hyperlink>
          </w:p>
        </w:tc>
        <w:tc>
          <w:tcPr>
            <w:tcW w:w="2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10080" w:type="dxa"/>
            <w:vAlign w:val="bottom"/>
            <w:tcBorders>
              <w:bottom w:val="single" w:sz="8" w:color="0000EE"/>
            </w:tcBorders>
            <w:gridSpan w:val="20"/>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Exchange and Eighth Amendment to Facility Agreement, dated July 12, 2018 by and among MannKind, MannKind LLC, Deerfield Private</w:t>
              </w:r>
            </w:hyperlink>
          </w:p>
        </w:tc>
        <w:tc>
          <w:tcPr>
            <w:tcW w:w="4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on Form 8-K (File No. 000-50865), filed with the SEC on July 13, 2018).</w:t>
              </w:r>
            </w:hyperlink>
          </w:p>
        </w:tc>
        <w:tc>
          <w:tcPr>
            <w:tcW w:w="2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10340" w:type="dxa"/>
            <w:vAlign w:val="bottom"/>
            <w:tcBorders>
              <w:bottom w:val="single" w:sz="8" w:color="0000EE"/>
            </w:tcBorders>
            <w:gridSpan w:val="26"/>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Indenture, by and between MannKind and U.S. Bank (dated October 30, 2017 (incorporated by reference to Exhibit 4.1 to MannKind’s Current</w:t>
              </w:r>
            </w:hyperlink>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Report on Form 8-K (File No. 000-50865), filed with the SEC on October 30, 2017).</w:t>
              </w:r>
            </w:hyperlink>
          </w:p>
        </w:tc>
        <w:tc>
          <w:tcPr>
            <w:tcW w:w="43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4"/>
                <w:szCs w:val="24"/>
                <w:color w:val="auto"/>
              </w:rPr>
            </w:pPr>
          </w:p>
        </w:tc>
        <w:tc>
          <w:tcPr>
            <w:tcW w:w="10440" w:type="dxa"/>
            <w:vAlign w:val="bottom"/>
            <w:tcBorders>
              <w:bottom w:val="single" w:sz="8" w:color="0000EE"/>
            </w:tcBorders>
            <w:gridSpan w:val="30"/>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Form of 5.75% Convertible Senior Subordinated Exchange Note due 2021 (incorporated by reference to Exhibit A of Exhibit 4.1 to MannKind’s</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Current Report on Form 8-K (File No. 000-50865), filed with the SEC on October 30, 2017).</w:t>
              </w:r>
            </w:hyperlink>
          </w:p>
        </w:tc>
        <w:tc>
          <w:tcPr>
            <w:tcW w:w="378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8"/>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Warrant to Purchase Common Stock issued November 16, 2015 (incorporated by reference to Exhibit 4.17 to MannKind’s Annual</w:t>
              </w:r>
            </w:hyperlink>
          </w:p>
        </w:tc>
        <w:tc>
          <w:tcPr>
            <w:tcW w:w="4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Report on Form 10-K (File No. 000-50865), filed with the SEC on March 15, 2016).</w:t>
              </w:r>
            </w:hyperlink>
          </w:p>
        </w:tc>
        <w:tc>
          <w:tcPr>
            <w:tcW w:w="44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4"/>
                <w:szCs w:val="24"/>
                <w:color w:val="auto"/>
              </w:rPr>
            </w:pPr>
          </w:p>
        </w:tc>
        <w:tc>
          <w:tcPr>
            <w:tcW w:w="10500" w:type="dxa"/>
            <w:vAlign w:val="bottom"/>
            <w:gridSpan w:val="33"/>
          </w:tcPr>
          <w:p>
            <w:pPr>
              <w:spacing w:after="0"/>
              <w:rPr>
                <w:rFonts w:ascii="Arial" w:cs="Arial" w:eastAsia="Arial" w:hAnsi="Arial"/>
                <w:sz w:val="18"/>
                <w:szCs w:val="18"/>
                <w:color w:val="0000EE"/>
                <w:w w:val="97"/>
              </w:rPr>
            </w:pPr>
            <w:hyperlink r:id="rId107">
              <w:r>
                <w:rPr>
                  <w:rFonts w:ascii="Arial" w:cs="Arial" w:eastAsia="Arial" w:hAnsi="Arial"/>
                  <w:sz w:val="18"/>
                  <w:szCs w:val="18"/>
                  <w:color w:val="0000EE"/>
                  <w:w w:val="97"/>
                </w:rPr>
                <w:t>Amended and Restated Promissory Note made by MannKind in favor of The Mann Group LLC, dated March 11, 2018 (incorporated by</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reference to Exhibit 99.1 to MannKind’s Current Report on Form 8-K (File No. 000-50865), filed with the SEC on March 12, 2018).</w:t>
              </w:r>
            </w:hyperlink>
          </w:p>
        </w:tc>
        <w:tc>
          <w:tcPr>
            <w:tcW w:w="70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gridSpan w:val="5"/>
            <w:shd w:val="clear" w:color="auto" w:fill="0000EE"/>
          </w:tcPr>
          <w:p>
            <w:pPr>
              <w:spacing w:after="0" w:line="20" w:lineRule="exact"/>
              <w:rPr>
                <w:sz w:val="1"/>
                <w:szCs w:val="1"/>
                <w:color w:val="auto"/>
              </w:rPr>
            </w:pPr>
          </w:p>
        </w:tc>
        <w:tc>
          <w:tcPr>
            <w:tcW w:w="4920" w:type="dxa"/>
            <w:vAlign w:val="bottom"/>
            <w:gridSpan w:val="8"/>
            <w:shd w:val="clear" w:color="auto" w:fill="0000EE"/>
          </w:tcPr>
          <w:p>
            <w:pPr>
              <w:spacing w:after="0" w:line="20" w:lineRule="exact"/>
              <w:rPr>
                <w:sz w:val="1"/>
                <w:szCs w:val="1"/>
                <w:color w:val="auto"/>
              </w:rPr>
            </w:pPr>
          </w:p>
        </w:tc>
        <w:tc>
          <w:tcPr>
            <w:tcW w:w="92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4"/>
                <w:szCs w:val="24"/>
                <w:color w:val="auto"/>
              </w:rPr>
            </w:pPr>
          </w:p>
        </w:tc>
        <w:tc>
          <w:tcPr>
            <w:tcW w:w="10500" w:type="dxa"/>
            <w:vAlign w:val="bottom"/>
            <w:gridSpan w:val="33"/>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Form of Common Stock Purchase Warrant issued April 9, 2018 (incorporated by reference to Exhibit 4.1 to MannKind’s Current Report on Form</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8-K (File No. 000-50865), filed with the SEC on April 6, 2018).</w:t>
              </w:r>
            </w:hyperlink>
          </w:p>
        </w:tc>
        <w:tc>
          <w:tcPr>
            <w:tcW w:w="5840" w:type="dxa"/>
            <w:vAlign w:val="bottom"/>
            <w:tcBorders>
              <w:top w:val="single" w:sz="8" w:color="0000EE"/>
            </w:tcBorders>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440" w:type="dxa"/>
            <w:vAlign w:val="bottom"/>
            <w:tcBorders>
              <w:bottom w:val="single" w:sz="8" w:color="0000EE"/>
            </w:tcBorders>
            <w:gridSpan w:val="30"/>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MannKind Corporation Market Price Stock Purchase Plan (incorporated by reference to Exhibit 99.1 to MannKind’s registration statement Form</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33"/>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S-8 (File No. 333-225428), filed with the SEC on June 5, 2018).</w:t>
              </w:r>
            </w:hyperlink>
          </w:p>
        </w:tc>
        <w:tc>
          <w:tcPr>
            <w:tcW w:w="20" w:type="dxa"/>
            <w:vAlign w:val="bottom"/>
          </w:tcPr>
          <w:p>
            <w:pPr>
              <w:spacing w:after="0"/>
              <w:rPr>
                <w:sz w:val="17"/>
                <w:szCs w:val="17"/>
                <w:color w:val="auto"/>
              </w:rPr>
            </w:pPr>
          </w:p>
        </w:tc>
      </w:tr>
      <w:tr>
        <w:trPr>
          <w:trHeight w:val="66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tcBorders>
              <w:top w:val="single" w:sz="8" w:color="0000EE"/>
            </w:tcBorders>
            <w:gridSpan w:val="5"/>
          </w:tcPr>
          <w:p>
            <w:pPr>
              <w:spacing w:after="0"/>
              <w:rPr>
                <w:sz w:val="24"/>
                <w:szCs w:val="24"/>
                <w:color w:val="auto"/>
              </w:rPr>
            </w:pP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64</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92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2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920" w:type="dxa"/>
            <w:vAlign w:val="bottom"/>
            <w:gridSpan w:val="3"/>
          </w:tcPr>
          <w:p>
            <w:pPr>
              <w:spacing w:after="0"/>
              <w:rPr>
                <w:sz w:val="20"/>
                <w:szCs w:val="20"/>
                <w:color w:val="auto"/>
              </w:rPr>
            </w:pPr>
            <w:r>
              <w:rPr>
                <w:rFonts w:ascii="Arial" w:cs="Arial" w:eastAsia="Arial" w:hAnsi="Arial"/>
                <w:sz w:val="14"/>
                <w:szCs w:val="14"/>
                <w:color w:val="auto"/>
              </w:rPr>
              <w:t>Number</w:t>
            </w:r>
          </w:p>
        </w:tc>
        <w:tc>
          <w:tcPr>
            <w:tcW w:w="2720" w:type="dxa"/>
            <w:vAlign w:val="bottom"/>
          </w:tcPr>
          <w:p>
            <w:pPr>
              <w:spacing w:after="0"/>
              <w:rPr>
                <w:sz w:val="14"/>
                <w:szCs w:val="14"/>
                <w:color w:val="auto"/>
              </w:rPr>
            </w:pPr>
          </w:p>
        </w:tc>
        <w:tc>
          <w:tcPr>
            <w:tcW w:w="7780" w:type="dxa"/>
            <w:vAlign w:val="bottom"/>
            <w:gridSpan w:val="17"/>
          </w:tcPr>
          <w:p>
            <w:pPr>
              <w:ind w:left="1860"/>
              <w:spacing w:after="0"/>
              <w:rPr>
                <w:sz w:val="20"/>
                <w:szCs w:val="20"/>
                <w:color w:val="auto"/>
              </w:rPr>
            </w:pPr>
            <w:r>
              <w:rPr>
                <w:rFonts w:ascii="Arial" w:cs="Arial" w:eastAsia="Arial" w:hAnsi="Arial"/>
                <w:sz w:val="14"/>
                <w:szCs w:val="14"/>
                <w:color w:val="auto"/>
              </w:rPr>
              <w:t>Description of Document</w:t>
            </w:r>
          </w:p>
        </w:tc>
      </w:tr>
      <w:tr>
        <w:trPr>
          <w:trHeight w:val="169"/>
        </w:trPr>
        <w:tc>
          <w:tcPr>
            <w:tcW w:w="20" w:type="dxa"/>
            <w:vAlign w:val="bottom"/>
          </w:tcPr>
          <w:p>
            <w:pPr>
              <w:spacing w:after="0"/>
              <w:rPr>
                <w:sz w:val="14"/>
                <w:szCs w:val="14"/>
                <w:color w:val="auto"/>
              </w:rPr>
            </w:pPr>
          </w:p>
        </w:tc>
        <w:tc>
          <w:tcPr>
            <w:tcW w:w="8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4"/>
                <w:szCs w:val="14"/>
                <w:color w:val="auto"/>
              </w:rPr>
            </w:pPr>
          </w:p>
        </w:tc>
        <w:tc>
          <w:tcPr>
            <w:tcW w:w="10500" w:type="dxa"/>
            <w:vAlign w:val="bottom"/>
            <w:tcBorders>
              <w:top w:val="single" w:sz="8" w:color="auto"/>
            </w:tcBorders>
            <w:gridSpan w:val="18"/>
          </w:tcPr>
          <w:p>
            <w:pPr>
              <w:spacing w:after="0" w:line="170"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Form of Securities Purchase Agreement, dated April 5, 2018 (incorporated by reference to Exhibit 99.1 to MannKind’s Current Report on Form</w:t>
              </w:r>
            </w:hyperlink>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8-K (File No. 000-50865), filed with the SEC on April 6, 2018).</w:t>
              </w:r>
            </w:hyperlink>
          </w:p>
        </w:tc>
        <w:tc>
          <w:tcPr>
            <w:tcW w:w="5720" w:type="dxa"/>
            <w:vAlign w:val="bottom"/>
            <w:tcBorders>
              <w:top w:val="single" w:sz="8" w:color="0000EE"/>
            </w:tcBorders>
            <w:gridSpan w:val="12"/>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9920" w:type="dxa"/>
            <w:vAlign w:val="bottom"/>
            <w:tcBorders>
              <w:bottom w:val="single" w:sz="8" w:color="0000EE"/>
            </w:tcBorders>
            <w:gridSpan w:val="7"/>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Exchange Agreement, dated May 25, 2018, by and among MannKind Corporation and certain holders of MannKind Corporation’s 5.75%</w:t>
              </w:r>
            </w:hyperlink>
          </w:p>
        </w:tc>
        <w:tc>
          <w:tcPr>
            <w:tcW w:w="58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18"/>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Convertible Senior Notes due 2021 (incorporated by reference to Exhibit 99.1 to MannKind’s Current Report on Form 8-K (File No. 000-50865),</w:t>
              </w:r>
            </w:hyperlink>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filed with the SEC on May 25, 2018).</w:t>
              </w:r>
            </w:hyperlink>
          </w:p>
        </w:tc>
        <w:tc>
          <w:tcPr>
            <w:tcW w:w="20" w:type="dxa"/>
            <w:vAlign w:val="bottom"/>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120" w:type="dxa"/>
            <w:vAlign w:val="bottom"/>
            <w:tcBorders>
              <w:bottom w:val="single" w:sz="8" w:color="0000EE"/>
            </w:tcBorders>
            <w:gridSpan w:val="11"/>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Exchange and Seventh Amendment to Facility Agreement, dated June 8, 2018 by and among MannKind, MannKind LLC, Deerfield Private</w:t>
              </w:r>
            </w:hyperlink>
          </w:p>
        </w:tc>
        <w:tc>
          <w:tcPr>
            <w:tcW w:w="38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18"/>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on Form 8-K (File No. 000-50865), filed with the SEC on June 11, 2018).</w:t>
              </w:r>
            </w:hyperlink>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gridSpan w:val="3"/>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080" w:type="dxa"/>
            <w:vAlign w:val="bottom"/>
            <w:tcBorders>
              <w:bottom w:val="single" w:sz="8" w:color="0000EE"/>
            </w:tcBorders>
            <w:gridSpan w:val="9"/>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Exchange and Eighth Amendment to Facility Agreement, dated July 12, 2018 by and among MannKind, MannKind LLC, Deerfield Private</w:t>
              </w:r>
            </w:hyperlink>
          </w:p>
        </w:tc>
        <w:tc>
          <w:tcPr>
            <w:tcW w:w="42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Design Fund II, L.P. and Deerfield Private Design International II, L.P. (incorporated by reference to Exhibit 99.1 to MannKind’s Current Report</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18"/>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on Form 8-K (File No. 000-50865), filed with the SEC on July 13, 2018).</w:t>
              </w:r>
            </w:hyperlink>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500" w:type="dxa"/>
            <w:vAlign w:val="bottom"/>
            <w:gridSpan w:val="18"/>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Third Amendment to Supply Agreement, dated April 11, 2018, by and between MannKind and Amphastar Pharmaceuticals, Inc. (incorporated</w:t>
              </w:r>
            </w:hyperlink>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80" w:type="dxa"/>
            <w:vAlign w:val="bottom"/>
            <w:tcBorders>
              <w:top w:val="single" w:sz="8" w:color="0000EE"/>
            </w:tcBorders>
            <w:gridSpan w:val="12"/>
          </w:tcPr>
          <w:p>
            <w:pPr>
              <w:spacing w:after="0" w:line="196" w:lineRule="exact"/>
              <w:rPr>
                <w:rFonts w:ascii="Arial" w:cs="Arial" w:eastAsia="Arial" w:hAnsi="Arial"/>
                <w:sz w:val="18"/>
                <w:szCs w:val="18"/>
                <w:color w:val="0000EE"/>
                <w:w w:val="97"/>
              </w:rPr>
            </w:pPr>
            <w:hyperlink r:id="rId114">
              <w:r>
                <w:rPr>
                  <w:rFonts w:ascii="Arial" w:cs="Arial" w:eastAsia="Arial" w:hAnsi="Arial"/>
                  <w:sz w:val="18"/>
                  <w:szCs w:val="18"/>
                  <w:color w:val="0000EE"/>
                  <w:w w:val="97"/>
                </w:rPr>
                <w:t>by reference to Exhibit 10.8 to MannKind’s Quarterly Report on Form 10-Q (File No. 000-50865), filed with the SEC on May 9, 2018).</w:t>
              </w:r>
            </w:hyperlink>
          </w:p>
        </w:tc>
        <w:tc>
          <w:tcPr>
            <w:tcW w:w="220" w:type="dxa"/>
            <w:vAlign w:val="bottom"/>
            <w:gridSpan w:val="6"/>
          </w:tcPr>
          <w:p>
            <w:pPr>
              <w:spacing w:after="0"/>
              <w:rPr>
                <w:sz w:val="17"/>
                <w:szCs w:val="17"/>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gridSpan w:val="18"/>
          </w:tcPr>
          <w:p>
            <w:pPr>
              <w:spacing w:after="0"/>
              <w:rPr>
                <w:rFonts w:ascii="Arial" w:cs="Arial" w:eastAsia="Arial" w:hAnsi="Arial"/>
                <w:sz w:val="18"/>
                <w:szCs w:val="18"/>
                <w:color w:val="0000EE"/>
                <w:w w:val="94"/>
              </w:rPr>
            </w:pPr>
            <w:hyperlink w:anchor="page68">
              <w:r>
                <w:rPr>
                  <w:rFonts w:ascii="Arial" w:cs="Arial" w:eastAsia="Arial" w:hAnsi="Arial"/>
                  <w:sz w:val="18"/>
                  <w:szCs w:val="18"/>
                  <w:color w:val="0000EE"/>
                  <w:w w:val="94"/>
                </w:rPr>
                <w:t>Certification of the Chief Executive Officer pursuant to Rules 13a-14(a) and 15d-14(a) of the Securities Exchange Act of 1934, as amended.</w:t>
              </w:r>
            </w:hyperlink>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Certification of the Chief Financial Officer pursuant to Rules 13a-14(a) and 15d-14(a) of the Securities Exchange Act of 1934, as amended.</w:t>
              </w:r>
            </w:hyperlink>
          </w:p>
        </w:tc>
        <w:tc>
          <w:tcPr>
            <w:tcW w:w="40" w:type="dxa"/>
            <w:vAlign w:val="bottom"/>
            <w:tcBorders>
              <w:top w:val="single" w:sz="8" w:color="0000EE"/>
            </w:tcBorders>
            <w:gridSpan w:val="2"/>
          </w:tcPr>
          <w:p>
            <w:pPr>
              <w:spacing w:after="0"/>
              <w:rPr>
                <w:sz w:val="24"/>
                <w:szCs w:val="24"/>
                <w:color w:val="auto"/>
              </w:rPr>
            </w:pPr>
          </w:p>
        </w:tc>
        <w:tc>
          <w:tcPr>
            <w:tcW w:w="400" w:type="dxa"/>
            <w:vAlign w:val="bottom"/>
            <w:gridSpan w:val="8"/>
          </w:tcPr>
          <w:p>
            <w:pPr>
              <w:spacing w:after="0"/>
              <w:rPr>
                <w:sz w:val="24"/>
                <w:szCs w:val="24"/>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gridSpan w:val="18"/>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the Chief Executive Officer pursuant to Rules 13a-14(b) and 15d-14(b) of the Securities Exchange Act of 1934, as amended and</w:t>
              </w:r>
            </w:hyperlink>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Section 1350 of Chapter 63 of Title 18 of the United States Code (18 U.S.C. §1350).</w:t>
              </w:r>
            </w:hyperlink>
          </w:p>
        </w:tc>
        <w:tc>
          <w:tcPr>
            <w:tcW w:w="4260" w:type="dxa"/>
            <w:vAlign w:val="bottom"/>
            <w:tcBorders>
              <w:top w:val="single" w:sz="8" w:color="0000EE"/>
            </w:tcBorders>
            <w:gridSpan w:val="1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3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Certification of the Chief Financial Officer pursuant to Rules 13a-14(b) and 15d-14(b) of the Securities Exchange Act of 1934, as amended and</w:t>
              </w:r>
            </w:hyperlink>
          </w:p>
        </w:tc>
        <w:tc>
          <w:tcPr>
            <w:tcW w:w="16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Section 1350 of Chapter 63 of Title 18 of the United States Code (18 U.S.C. §1350).</w:t>
              </w:r>
            </w:hyperlink>
          </w:p>
        </w:tc>
        <w:tc>
          <w:tcPr>
            <w:tcW w:w="4400" w:type="dxa"/>
            <w:vAlign w:val="bottom"/>
            <w:gridSpan w:val="14"/>
          </w:tcPr>
          <w:p>
            <w:pPr>
              <w:spacing w:after="0"/>
              <w:rPr>
                <w:sz w:val="17"/>
                <w:szCs w:val="17"/>
                <w:color w:val="auto"/>
              </w:rPr>
            </w:pPr>
          </w:p>
        </w:tc>
      </w:tr>
      <w:tr>
        <w:trPr>
          <w:trHeight w:val="453"/>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500" w:type="dxa"/>
            <w:vAlign w:val="bottom"/>
            <w:gridSpan w:val="18"/>
          </w:tcPr>
          <w:p>
            <w:pPr>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858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76"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Omitted portions have been filed separately with the SEC.</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2, 2018</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tab/>
        <w:t>/s/ MICHAEL E. CASTAGNA</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Executive</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ind w:left="5940"/>
        <w:spacing w:after="0"/>
        <w:tabs>
          <w:tab w:leader="none" w:pos="6360" w:val="left"/>
        </w:tabs>
        <w:rPr>
          <w:sz w:val="20"/>
          <w:szCs w:val="20"/>
          <w:color w:val="auto"/>
        </w:rPr>
      </w:pPr>
      <w:r>
        <w:rPr>
          <w:rFonts w:ascii="Arial" w:cs="Arial" w:eastAsia="Arial" w:hAnsi="Arial"/>
          <w:sz w:val="18"/>
          <w:szCs w:val="18"/>
          <w:color w:val="auto"/>
        </w:rPr>
        <w:t>By:</w:t>
        <w:tab/>
        <w:t>/s/ STEVEN B. BINDER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337"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Castagna,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2018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501"/>
        <w:spacing w:after="0" w:line="342" w:lineRule="auto"/>
        <w:tabs>
          <w:tab w:leader="none" w:pos="1259"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501"/>
        <w:spacing w:after="0" w:line="308" w:lineRule="auto"/>
        <w:tabs>
          <w:tab w:leader="none" w:pos="1259"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501"/>
        <w:spacing w:after="0" w:line="277" w:lineRule="auto"/>
        <w:tabs>
          <w:tab w:leader="none" w:pos="12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Date: August 2, 2018</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CASTAGNA</w:t>
            </w: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Michael Castagna</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3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Binder,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2018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501"/>
        <w:spacing w:after="0" w:line="308" w:lineRule="auto"/>
        <w:tabs>
          <w:tab w:leader="none" w:pos="125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501"/>
        <w:spacing w:after="0" w:line="277" w:lineRule="auto"/>
        <w:tabs>
          <w:tab w:leader="none" w:pos="126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Date: August 2, 2018</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BINDER</w:t>
            </w:r>
          </w:p>
        </w:tc>
      </w:tr>
      <w:tr>
        <w:trPr>
          <w:trHeight w:val="195"/>
        </w:trPr>
        <w:tc>
          <w:tcPr>
            <w:tcW w:w="63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Steven Binder</w:t>
            </w:r>
          </w:p>
        </w:tc>
      </w:tr>
      <w:tr>
        <w:trPr>
          <w:trHeight w:val="230"/>
        </w:trPr>
        <w:tc>
          <w:tcPr>
            <w:tcW w:w="63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3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2018, as filed with the Securities and Exchange Commission on or about the date hereof to which this certification is attached as Exhibit 32.1 (the “Report”) and pursuant to the requirement set forth in Rule 13a-14(b) of the Securities Exchange Act of 1934, as amended (the “Exchange Act”), and Section 1350 of Chapter 63 of Title 18 of the United States Code (18 U.S.C. §1350), Michael Castagna, Chief Executive Officer of MannKind Corporation (the “Company”), hereby certifies that, to the best of his knowledge:</w:t>
      </w:r>
    </w:p>
    <w:p>
      <w:pPr>
        <w:spacing w:after="0" w:line="80" w:lineRule="exact"/>
        <w:rPr>
          <w:sz w:val="20"/>
          <w:szCs w:val="20"/>
          <w:color w:val="auto"/>
        </w:rPr>
      </w:pPr>
    </w:p>
    <w:p>
      <w:pPr>
        <w:ind w:left="700" w:hanging="17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the undersigned has set his hand hereto as of the 2nd day of August 2018.</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858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4" w:lineRule="exact"/>
        <w:rPr>
          <w:sz w:val="20"/>
          <w:szCs w:val="20"/>
          <w:color w:val="auto"/>
        </w:rPr>
      </w:pPr>
    </w:p>
    <w:p>
      <w:pPr>
        <w:ind w:left="520" w:right="100" w:hanging="512"/>
        <w:spacing w:after="0" w:line="256" w:lineRule="auto"/>
        <w:tabs>
          <w:tab w:leader="none" w:pos="520" w:val="left"/>
        </w:tabs>
        <w:numPr>
          <w:ilvl w:val="0"/>
          <w:numId w:val="41"/>
        </w:numPr>
        <w:rPr>
          <w:rFonts w:ascii="Arial" w:cs="Arial" w:eastAsia="Arial" w:hAnsi="Arial"/>
          <w:sz w:val="23"/>
          <w:szCs w:val="23"/>
          <w:color w:val="auto"/>
          <w:vertAlign w:val="superscript"/>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ectPr>
          <w:pgSz w:w="11900" w:h="16838" w:orient="portrait"/>
          <w:cols w:equalWidth="0" w:num="1">
            <w:col w:w="11420"/>
          </w:cols>
          <w:pgMar w:left="240" w:top="33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2018, as filed with the Securities and Exchange Commission on or about the date hereof to which this certification is attached as Exhibit 32.2 (the “Report”) and pursuant to the requirement set forth in Rule 13a-14(b) of the Securities Exchange Act of 1934, as amended (the “Exchange Act”), and Section 1350 of Chapter 63 of Title 18 of the United States Code (18 U.S.C. §1350), Steven Binder, Chief Financial Officer of MannKind Corporation (the “Company”), hereby certifies that, to the best of his knowledge:</w:t>
      </w:r>
    </w:p>
    <w:p>
      <w:pPr>
        <w:spacing w:after="0" w:line="80" w:lineRule="exact"/>
        <w:rPr>
          <w:sz w:val="20"/>
          <w:szCs w:val="20"/>
          <w:color w:val="auto"/>
        </w:rPr>
      </w:pPr>
    </w:p>
    <w:p>
      <w:pPr>
        <w:ind w:left="700" w:hanging="17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the undersigned has set his hand hereto as of the 2nd day of August 2018.</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858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4" w:lineRule="exact"/>
        <w:rPr>
          <w:sz w:val="20"/>
          <w:szCs w:val="20"/>
          <w:color w:val="auto"/>
        </w:rPr>
      </w:pPr>
    </w:p>
    <w:p>
      <w:pPr>
        <w:ind w:left="520" w:hanging="512"/>
        <w:spacing w:after="0" w:line="256" w:lineRule="auto"/>
        <w:tabs>
          <w:tab w:leader="none" w:pos="520" w:val="left"/>
        </w:tabs>
        <w:numPr>
          <w:ilvl w:val="0"/>
          <w:numId w:val="43"/>
        </w:numPr>
        <w:rPr>
          <w:rFonts w:ascii="Arial" w:cs="Arial" w:eastAsia="Arial" w:hAnsi="Arial"/>
          <w:sz w:val="23"/>
          <w:szCs w:val="23"/>
          <w:color w:val="auto"/>
          <w:vertAlign w:val="superscript"/>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320"/>
      </w:cols>
      <w:pgMar w:left="24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Roman"/>
      <w:start w:val="1"/>
    </w:lvl>
  </w:abstractNum>
  <w:abstractNum w:abstractNumId="5">
    <w:nsid w:val="8EDBDAB"/>
    <w:multiLevelType w:val="hybridMultilevel"/>
    <w:lvl w:ilvl="0">
      <w:lvlJc w:val="left"/>
      <w:lvlText w:val="(%1)"/>
      <w:numFmt w:val="lowerRoman"/>
      <w:start w:val="3"/>
    </w:lvl>
  </w:abstractNum>
  <w:abstractNum w:abstractNumId="6">
    <w:nsid w:val="79838CB2"/>
    <w:multiLevelType w:val="hybridMultilevel"/>
    <w:lvl w:ilvl="0">
      <w:lvlJc w:val="left"/>
      <w:lvlText w:val="(%1)"/>
      <w:numFmt w:val="lowerLetter"/>
      <w:start w:val="2"/>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lowerLetter"/>
      <w:start w:val="9"/>
    </w:lvl>
  </w:abstractNum>
  <w:abstractNum w:abstractNumId="9">
    <w:nsid w:val="189A769B"/>
    <w:multiLevelType w:val="hybridMultilevel"/>
    <w:lvl w:ilvl="0">
      <w:lvlJc w:val="left"/>
      <w:lvlText w:val="(%1)"/>
      <w:numFmt w:val="lowerLetter"/>
      <w:start w:val="2"/>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lvl w:ilvl="1">
      <w:lvlJc w:val="left"/>
      <w:lvlText w:val="•"/>
      <w:numFmt w:val="bullet"/>
      <w:start w:val="1"/>
    </w:lvl>
  </w:abstractNum>
  <w:abstractNum w:abstractNumId="19">
    <w:nsid w:val="737B8DDC"/>
    <w:multiLevelType w:val="hybridMultilevel"/>
    <w:lvl w:ilvl="0">
      <w:lvlJc w:val="left"/>
      <w:lvlText w:val="(%1)"/>
      <w:numFmt w:val="lowerRoman"/>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emdash "/>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84" Type="http://schemas.openxmlformats.org/officeDocument/2006/relationships/hyperlink" Target="http://www.sec.gov/Archives/edgar/data/899460/000119312516676980/d225552dex31.htm" TargetMode="External"/><Relationship Id="rId85" Type="http://schemas.openxmlformats.org/officeDocument/2006/relationships/hyperlink" Target="http://www.sec.gov/Archives/edgar/data/899460/000119312517066630/d313758dex31.htm" TargetMode="External"/><Relationship Id="rId86" Type="http://schemas.openxmlformats.org/officeDocument/2006/relationships/hyperlink" Target="http://www.sec.gov/Archives/edgar/data/899460/000119312517368329/d511527dex31.htm" TargetMode="External"/><Relationship Id="rId87" Type="http://schemas.openxmlformats.org/officeDocument/2006/relationships/hyperlink" Target="http://www.sec.gov/Archives/edgar/data/899460/000095012407005941/v35880exv3w1.htm" TargetMode="External"/><Relationship Id="rId88" Type="http://schemas.openxmlformats.org/officeDocument/2006/relationships/hyperlink" Target="http://www.sec.gov/Archives/edgar/data/899460/000119312517085519/d305327dex42.htm" TargetMode="External"/><Relationship Id="rId89" Type="http://schemas.openxmlformats.org/officeDocument/2006/relationships/hyperlink" Target="http://www.sec.gov/Archives/edgar/data/899460/000119312513279522/d562665dex992.htm" TargetMode="External"/><Relationship Id="rId90" Type="http://schemas.openxmlformats.org/officeDocument/2006/relationships/hyperlink" Target="http://www.sec.gov/Archives/edgar/data/899460/000119312514080324/d647959dex47.htm" TargetMode="External"/><Relationship Id="rId91" Type="http://schemas.openxmlformats.org/officeDocument/2006/relationships/hyperlink" Target="http://www.sec.gov/Archives/edgar/data/899460/000119312514195057/d697163dex48.htm" TargetMode="External"/><Relationship Id="rId92" Type="http://schemas.openxmlformats.org/officeDocument/2006/relationships/hyperlink" Target="http://www.sec.gov/Archives/edgar/data/899460/000119312513279522/d562665dex993.htm" TargetMode="External"/><Relationship Id="rId95" Type="http://schemas.openxmlformats.org/officeDocument/2006/relationships/hyperlink" Target="http://www.sec.gov/Archives/edgar/data/899460/000119312513279522/d562665dex994.htm" TargetMode="External"/><Relationship Id="rId96" Type="http://schemas.openxmlformats.org/officeDocument/2006/relationships/hyperlink" Target="http://www.sec.gov/Archives/edgar/data/899460/000119312513279522/d562665dex991.htm" TargetMode="External"/><Relationship Id="rId97" Type="http://schemas.openxmlformats.org/officeDocument/2006/relationships/hyperlink" Target="http://www.sec.gov/Archives/edgar/data/899460/000119312514080324/d647959dex1039.htm" TargetMode="External"/><Relationship Id="rId98" Type="http://schemas.openxmlformats.org/officeDocument/2006/relationships/hyperlink" Target="http://www.sec.gov/Archives/edgar/data/899460/000119312514406347/d783199dex414.htm" TargetMode="External"/><Relationship Id="rId99" Type="http://schemas.openxmlformats.org/officeDocument/2006/relationships/hyperlink" Target="http://www.sec.gov/Archives/edgar/data/899460/000119312517217588/d419252dex992.htm" TargetMode="External"/><Relationship Id="rId100" Type="http://schemas.openxmlformats.org/officeDocument/2006/relationships/hyperlink" Target="http://www.sec.gov/Archives/edgar/data/899460/000119312517316062/d422089dex991.htm" TargetMode="External"/><Relationship Id="rId101" Type="http://schemas.openxmlformats.org/officeDocument/2006/relationships/hyperlink" Target="http://www.sec.gov/Archives/edgar/data/899460/000119312518013980/d478599dex991.htm" TargetMode="External"/><Relationship Id="rId102" Type="http://schemas.openxmlformats.org/officeDocument/2006/relationships/hyperlink" Target="http://www.sec.gov/Archives/edgar/data/899460/000119312518013980/d478599dex992.htm" TargetMode="External"/><Relationship Id="rId103" Type="http://schemas.openxmlformats.org/officeDocument/2006/relationships/hyperlink" Target="http://www.sec.gov/Archives/edgar/data/899460/000119312518188678/d600246dex991.htm" TargetMode="External"/><Relationship Id="rId104" Type="http://schemas.openxmlformats.org/officeDocument/2006/relationships/hyperlink" Target="http://www.sec.gov/Archives/edgar/data/899460/000119312518217309/d502299dex991.htm" TargetMode="External"/><Relationship Id="rId105" Type="http://schemas.openxmlformats.org/officeDocument/2006/relationships/hyperlink" Target="http://www.sec.gov/Archives/edgar/data/899460/000119312517324984/d485532dex41.htm" TargetMode="External"/><Relationship Id="rId106" Type="http://schemas.openxmlformats.org/officeDocument/2006/relationships/hyperlink" Target="http://www.sec.gov/Archives/edgar/data/899460/000119312516505366/d107849dex417.htm" TargetMode="External"/><Relationship Id="rId107" Type="http://schemas.openxmlformats.org/officeDocument/2006/relationships/hyperlink" Target="http://www.sec.gov/Archives/edgar/data/899460/000119312518078324/d549308dex991.htm" TargetMode="External"/><Relationship Id="rId108" Type="http://schemas.openxmlformats.org/officeDocument/2006/relationships/hyperlink" Target="http://www.sec.gov/Archives/edgar/data/899460/000119312518109958/d562642dex41.htm" TargetMode="External"/><Relationship Id="rId109" Type="http://schemas.openxmlformats.org/officeDocument/2006/relationships/hyperlink" Target="http://www.sec.gov/Archives/edgar/data/899460/000119312518183644/d578515dex991.htm" TargetMode="External"/><Relationship Id="rId112" Type="http://schemas.openxmlformats.org/officeDocument/2006/relationships/hyperlink" Target="http://www.sec.gov/Archives/edgar/data/899460/000119312518109958/d562642dex991.htm" TargetMode="External"/><Relationship Id="rId113" Type="http://schemas.openxmlformats.org/officeDocument/2006/relationships/hyperlink" Target="http://www.sec.gov/Archives/edgar/data/899460/000119312518174350/d567722dex991.htm" TargetMode="External"/><Relationship Id="rId114" Type="http://schemas.openxmlformats.org/officeDocument/2006/relationships/hyperlink" Target="http://www.sec.gov/Archives/edgar/data/899460/000156459018012419/mnkd-ex108_4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2019-12-28T20:42:38Z</dcterms:created>
  <dcterms:modified xsi:type="dcterms:W3CDTF">2019-12-28T20:42:38Z</dcterms:modified>
</cp:coreProperties>
</file>