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mnkd-20240331.htm"/>
      <w:bookmarkStart w:id="1" w:name="ksmnkd20240331"/>
      <w:bookmarkEnd w:id="0"/>
      <w:bookmarkEnd w:id="1"/>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000-50865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8"/>
        </w:rPr>
        <w:t>MannKind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07" w:type="dxa"/>
        <w:jc w:val="left"/>
        <w:tblInd w:w="0" w:type="dxa"/>
        <w:tblLayout w:type="fixed"/>
        <w:tblCellMar>
          <w:top w:w="28" w:type="dxa"/>
          <w:left w:w="28" w:type="dxa"/>
          <w:bottom w:w="28" w:type="dxa"/>
          <w:right w:w="28" w:type="dxa"/>
        </w:tblCellMar>
      </w:tblPr>
      <w:tblGrid>
        <w:gridCol w:w="2926"/>
        <w:gridCol w:w="1681"/>
      </w:tblGrid>
      <w:tr>
        <w:trPr/>
        <w:tc>
          <w:tcPr>
            <w:tcW w:w="2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13-3607736</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Identification No.)</w:t>
            </w:r>
          </w:p>
        </w:tc>
      </w:tr>
      <w:tr>
        <w:trPr/>
        <w:tc>
          <w:tcPr>
            <w:tcW w:w="292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jc w:val="center"/>
              <w:rPr>
                <w:rFonts w:ascii="Times New Roman" w:hAnsi="Times New Roman"/>
                <w:sz w:val="20"/>
              </w:rPr>
            </w:pPr>
            <w:r>
              <w:rPr>
                <w:rFonts w:ascii="Times New Roman" w:hAnsi="Times New Roman"/>
                <w:b/>
                <w:color w:val="000000"/>
                <w:sz w:val="20"/>
              </w:rPr>
              <w:t>1 Casper Street</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Danbury, Connecticut</w:t>
            </w:r>
          </w:p>
        </w:tc>
        <w:tc>
          <w:tcPr>
            <w:tcW w:w="16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06810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6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(818) 661-5000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N/A</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MNKD</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39" w:type="dxa"/>
        <w:jc w:val="left"/>
        <w:tblInd w:w="0" w:type="dxa"/>
        <w:tblLayout w:type="fixed"/>
        <w:tblCellMar>
          <w:top w:w="28" w:type="dxa"/>
          <w:left w:w="28" w:type="dxa"/>
          <w:bottom w:w="28" w:type="dxa"/>
          <w:right w:w="28" w:type="dxa"/>
        </w:tblCellMar>
      </w:tblPr>
      <w:tblGrid>
        <w:gridCol w:w="1921"/>
        <w:gridCol w:w="386"/>
        <w:gridCol w:w="231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8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42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8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421" w:type="dxa"/>
            <w:tcBorders/>
            <w:vAlign w:val="center"/>
          </w:tcPr>
          <w:p>
            <w:pPr>
              <w:pStyle w:val="TableContents"/>
              <w:bidi w:val="0"/>
              <w:spacing w:before="0" w:after="283"/>
              <w:jc w:val="left"/>
              <w:rPr>
                <w:color w:val="000000"/>
              </w:rPr>
            </w:pPr>
            <w:r>
              <w:rPr>
                <w:color w:val="000000"/>
              </w:rPr>
              <w:t xml:space="preserve">☐ </w:t>
            </w:r>
          </w:p>
        </w:tc>
      </w:tr>
      <w:tr>
        <w:trPr/>
        <w:tc>
          <w:tcPr>
            <w:tcW w:w="192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1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Emerging growth company</w:t>
            </w:r>
          </w:p>
        </w:tc>
        <w:tc>
          <w:tcPr>
            <w:tcW w:w="42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As of April 26, 2024, there were 272,315,846 shares of the registrant’s common stock, $0.01 par value per share,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TABLE OF CONTENTS</w:t>
      </w:r>
    </w:p>
    <w:tbl>
      <w:tblPr>
        <w:tblW w:w="9497" w:type="dxa"/>
        <w:jc w:val="left"/>
        <w:tblInd w:w="0" w:type="dxa"/>
        <w:tblLayout w:type="fixed"/>
        <w:tblCellMar>
          <w:top w:w="28" w:type="dxa"/>
          <w:left w:w="28" w:type="dxa"/>
          <w:bottom w:w="28" w:type="dxa"/>
          <w:right w:w="28" w:type="dxa"/>
        </w:tblCellMar>
      </w:tblPr>
      <w:tblGrid>
        <w:gridCol w:w="8986"/>
        <w:gridCol w:w="511"/>
      </w:tblGrid>
      <w:tr>
        <w:trPr/>
        <w:tc>
          <w:tcPr>
            <w:tcW w:w="898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898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986" w:type="dxa"/>
            <w:tcBorders/>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 FINANCIAL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8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986"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86" w:type="dxa"/>
            <w:tcBorders/>
            <w:vAlign w:val="center"/>
          </w:tcPr>
          <w:p>
            <w:pPr>
              <w:pStyle w:val="TableContents"/>
              <w:bidi w:val="0"/>
              <w:spacing w:before="0" w:after="283"/>
              <w:jc w:val="left"/>
              <w:rPr/>
            </w:pPr>
            <w:hyperlink w:anchor="condensed_consol_stmt_of_operations">
              <w:r>
                <w:rPr>
                  <w:rStyle w:val="InternetLink"/>
                  <w:rFonts w:ascii="Times New Roman" w:hAnsi="Times New Roman"/>
                  <w:color w:val="0000FF"/>
                  <w:sz w:val="20"/>
                  <w:u w:val="single"/>
                </w:rPr>
                <w:t>Condensed Consolidated Statements of Operations: Three months ended March 31,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86" w:type="dxa"/>
            <w:tcBorders/>
            <w:vAlign w:val="center"/>
          </w:tcPr>
          <w:p>
            <w:pPr>
              <w:pStyle w:val="TableContents"/>
              <w:bidi w:val="0"/>
              <w:spacing w:before="0" w:after="283"/>
              <w:jc w:val="left"/>
              <w:rPr/>
            </w:pPr>
            <w:hyperlink w:anchor="condensed_consol_balance_sheets">
              <w:r>
                <w:rPr>
                  <w:rStyle w:val="InternetLink"/>
                  <w:rFonts w:ascii="Times New Roman" w:hAnsi="Times New Roman"/>
                  <w:color w:val="0000FF"/>
                  <w:sz w:val="20"/>
                  <w:u w:val="single"/>
                </w:rPr>
                <w:t>Condensed Consolidated Balance Sheets: March 31, 2024 and December 31,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86" w:type="dxa"/>
            <w:tcBorders/>
            <w:vAlign w:val="center"/>
          </w:tcPr>
          <w:p>
            <w:pPr>
              <w:pStyle w:val="TableContents"/>
              <w:bidi w:val="0"/>
              <w:spacing w:before="0" w:after="283"/>
              <w:jc w:val="left"/>
              <w:rPr/>
            </w:pPr>
            <w:hyperlink w:anchor="consolidated_statements_stockholders">
              <w:r>
                <w:rPr>
                  <w:rStyle w:val="InternetLink"/>
                  <w:rFonts w:ascii="Times New Roman" w:hAnsi="Times New Roman"/>
                  <w:color w:val="0000FF"/>
                  <w:sz w:val="20"/>
                  <w:u w:val="single"/>
                </w:rPr>
                <w:t>Condensed Consolidated Statements of Stockholders’ Deficit: Three months ended March 31,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86"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Three months ended March 31,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86" w:type="dxa"/>
            <w:tcBorders/>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8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98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986"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98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986" w:type="dxa"/>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98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98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98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98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8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8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86"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986"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98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986" w:type="dxa"/>
            <w:tcBorders/>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1: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_stmt_of_operations"/>
      <w:bookmarkEnd w:id="4"/>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8662" w:type="dxa"/>
        <w:jc w:val="left"/>
        <w:tblInd w:w="0" w:type="dxa"/>
        <w:tblLayout w:type="fixed"/>
        <w:tblCellMar>
          <w:top w:w="28" w:type="dxa"/>
          <w:left w:w="28" w:type="dxa"/>
          <w:bottom w:w="28" w:type="dxa"/>
          <w:right w:w="28" w:type="dxa"/>
        </w:tblCellMar>
      </w:tblPr>
      <w:tblGrid>
        <w:gridCol w:w="4981"/>
        <w:gridCol w:w="346"/>
        <w:gridCol w:w="252"/>
        <w:gridCol w:w="934"/>
        <w:gridCol w:w="198"/>
        <w:gridCol w:w="174"/>
        <w:gridCol w:w="252"/>
        <w:gridCol w:w="934"/>
        <w:gridCol w:w="591"/>
      </w:tblGrid>
      <w:tr>
        <w:trPr/>
        <w:tc>
          <w:tcPr>
            <w:tcW w:w="4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74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1" w:type="dxa"/>
            <w:tcBorders/>
            <w:shd w:fill="FFFFFF" w:val="clear"/>
            <w:vAlign w:val="center"/>
          </w:tcPr>
          <w:p>
            <w:pPr>
              <w:pStyle w:val="TableContents"/>
              <w:bidi w:val="0"/>
              <w:spacing w:before="0" w:after="283"/>
              <w:jc w:val="center"/>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vAlign w:val="center"/>
          </w:tcPr>
          <w:p>
            <w:pPr>
              <w:pStyle w:val="TableContents"/>
              <w:bidi w:val="0"/>
              <w:spacing w:before="0" w:after="283"/>
              <w:jc w:val="righ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 – commercial product sales</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18,764</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 collaborations and services</w:t>
            </w:r>
          </w:p>
        </w:tc>
        <w:tc>
          <w:tcPr>
            <w:tcW w:w="3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Royalties – collaborations</w:t>
            </w:r>
          </w:p>
        </w:tc>
        <w:tc>
          <w:tcPr>
            <w:tcW w:w="3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FFFFFF" w:val="clear"/>
            <w:vAlign w:val="center"/>
          </w:tcPr>
          <w:p>
            <w:pPr>
              <w:pStyle w:val="TableContents"/>
              <w:bidi w:val="0"/>
              <w:spacing w:before="0" w:after="283"/>
              <w:jc w:val="right"/>
              <w:rPr/>
            </w:pPr>
            <w:r>
              <w:rPr/>
              <w:t> </w:t>
            </w:r>
          </w:p>
        </w:tc>
        <w:tc>
          <w:tcPr>
            <w:tcW w:w="1186"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18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98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foreign currency transaction</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346" w:type="dxa"/>
            <w:tcBorders/>
            <w:shd w:fill="CFF0FC" w:val="clear"/>
            <w:vAlign w:val="center"/>
          </w:tcPr>
          <w:p>
            <w:pPr>
              <w:pStyle w:val="TableContents"/>
              <w:bidi w:val="0"/>
              <w:spacing w:before="0" w:after="283"/>
              <w:jc w:val="right"/>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46,624</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3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vAlign w:val="center"/>
          </w:tcPr>
          <w:p>
            <w:pPr>
              <w:pStyle w:val="TableContents"/>
              <w:bidi w:val="0"/>
              <w:spacing w:before="0" w:after="283"/>
              <w:jc w:val="righ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financing liability</w:t>
            </w:r>
          </w:p>
        </w:tc>
        <w:tc>
          <w:tcPr>
            <w:tcW w:w="3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3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3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10,894</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3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income (loss)</w:t>
              <w:br/>
              <w:t>per share – basic</w:t>
            </w:r>
          </w:p>
        </w:tc>
        <w:tc>
          <w:tcPr>
            <w:tcW w:w="3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270,356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3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income (loss) </w:t>
              <w:br/>
              <w:t>per share – diluted</w:t>
            </w:r>
          </w:p>
        </w:tc>
        <w:tc>
          <w:tcPr>
            <w:tcW w:w="3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324,733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5" w:name="condensed_consol_balance_sheets"/>
      <w:bookmarkEnd w:id="5"/>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86"/>
        <w:gridCol w:w="146"/>
        <w:gridCol w:w="220"/>
        <w:gridCol w:w="1037"/>
        <w:gridCol w:w="166"/>
        <w:gridCol w:w="146"/>
        <w:gridCol w:w="261"/>
        <w:gridCol w:w="1229"/>
        <w:gridCol w:w="614"/>
      </w:tblGrid>
      <w:tr>
        <w:trPr/>
        <w:tc>
          <w:tcPr>
            <w:tcW w:w="6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center"/>
              <w:rPr/>
            </w:pPr>
            <w:r>
              <w:rPr/>
              <w:t> </w:t>
            </w:r>
          </w:p>
        </w:tc>
        <w:tc>
          <w:tcPr>
            <w:tcW w:w="614" w:type="dxa"/>
            <w:tcBorders/>
            <w:shd w:fill="FFFFFF" w:val="clear"/>
            <w:vAlign w:val="center"/>
          </w:tcPr>
          <w:p>
            <w:pPr>
              <w:pStyle w:val="TableContents"/>
              <w:bidi w:val="0"/>
              <w:spacing w:before="0" w:after="283"/>
              <w:jc w:val="center"/>
              <w:rPr/>
            </w:pPr>
            <w:r>
              <w:rPr/>
              <w:t> </w:t>
            </w:r>
          </w:p>
        </w:tc>
      </w:tr>
      <w:tr>
        <w:trPr/>
        <w:tc>
          <w:tcPr>
            <w:tcW w:w="6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5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4" w:type="dxa"/>
            <w:tcBorders/>
            <w:shd w:fill="FFFFFF" w:val="clear"/>
            <w:vAlign w:val="center"/>
          </w:tcPr>
          <w:p>
            <w:pPr>
              <w:pStyle w:val="TableContents"/>
              <w:bidi w:val="0"/>
              <w:spacing w:before="0" w:after="283"/>
              <w:jc w:val="center"/>
              <w:rPr/>
            </w:pPr>
            <w:r>
              <w:rPr/>
              <w:t> </w:t>
            </w:r>
          </w:p>
        </w:tc>
      </w:tr>
      <w:tr>
        <w:trPr/>
        <w:tc>
          <w:tcPr>
            <w:tcW w:w="638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238,480</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28,545</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373,393</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3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6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42,036</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liability – current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Midcap credit facility – current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Liability for sale of future royalties – current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Recognized loss on purchase commitments – current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104,125</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Mann Group convertible note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liability – long term</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 – long term</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226,851</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for sale of future royalties – long term</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136,054</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loss on purchase commitments – long term</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60,942</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long term</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69,794</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3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721,366</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Undesignated preferred stock, $0.01 par value – 10,000,000 shares authorized; </w:t>
              <w:br/>
              <w:t>no shares issued or outstanding as of March 31, 2024 or December 31, 2023</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 800,000,000 shares authorized;</w:t>
              <w:br/>
              <w:t>   270,801,781 and 270,034,495 shares issued and outstanding as of</w:t>
              <w:br/>
              <w:t>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614" w:type="dxa"/>
            <w:tcBorders/>
            <w:shd w:fill="FFFFFF" w:val="clear"/>
            <w:vAlign w:val="center"/>
          </w:tcPr>
          <w:p>
            <w:pPr>
              <w:pStyle w:val="TableContents"/>
              <w:bidi w:val="0"/>
              <w:spacing w:before="0" w:after="283"/>
              <w:jc w:val="left"/>
              <w:rPr/>
            </w:pPr>
            <w:r>
              <w:rPr/>
              <w:t> </w:t>
            </w:r>
          </w:p>
        </w:tc>
      </w:tr>
      <w:tr>
        <w:trPr/>
        <w:tc>
          <w:tcPr>
            <w:tcW w:w="6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2,980,539</w:t>
            </w:r>
          </w:p>
        </w:tc>
        <w:tc>
          <w:tcPr>
            <w:tcW w:w="614" w:type="dxa"/>
            <w:tcBorders/>
            <w:shd w:fill="CFF0FC" w:val="clear"/>
            <w:vAlign w:val="center"/>
          </w:tcPr>
          <w:p>
            <w:pPr>
              <w:pStyle w:val="TableContents"/>
              <w:bidi w:val="0"/>
              <w:spacing w:before="0" w:after="283"/>
              <w:jc w:val="left"/>
              <w:rPr/>
            </w:pPr>
            <w:r>
              <w:rPr/>
              <w:t> </w:t>
            </w:r>
          </w:p>
        </w:tc>
      </w:tr>
      <w:tr>
        <w:trPr/>
        <w:tc>
          <w:tcPr>
            <w:tcW w:w="6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(3,229,407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(246,168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6" w:name="consolidated_statements_stockholders"/>
      <w:bookmarkEnd w:id="6"/>
      <w:r>
        <w:rPr>
          <w:rFonts w:ascii="Times New Roman" w:hAnsi="Times New Roman"/>
          <w:b/>
          <w:color w:val="000000"/>
          <w:sz w:val="20"/>
        </w:rPr>
        <w:t>CONDENSED CONSOLIDATED STATEMENTS OF STOCKHOLDERS’ DEFICIT</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087" w:type="dxa"/>
        <w:jc w:val="left"/>
        <w:tblInd w:w="0" w:type="dxa"/>
        <w:tblLayout w:type="fixed"/>
        <w:tblCellMar>
          <w:top w:w="28" w:type="dxa"/>
          <w:left w:w="28" w:type="dxa"/>
          <w:bottom w:w="28" w:type="dxa"/>
          <w:right w:w="28" w:type="dxa"/>
        </w:tblCellMar>
      </w:tblPr>
      <w:tblGrid>
        <w:gridCol w:w="2936"/>
        <w:gridCol w:w="146"/>
        <w:gridCol w:w="146"/>
        <w:gridCol w:w="586"/>
        <w:gridCol w:w="146"/>
        <w:gridCol w:w="146"/>
        <w:gridCol w:w="181"/>
        <w:gridCol w:w="436"/>
        <w:gridCol w:w="146"/>
        <w:gridCol w:w="146"/>
        <w:gridCol w:w="211"/>
        <w:gridCol w:w="809"/>
        <w:gridCol w:w="151"/>
        <w:gridCol w:w="146"/>
        <w:gridCol w:w="254"/>
        <w:gridCol w:w="1036"/>
        <w:gridCol w:w="151"/>
        <w:gridCol w:w="146"/>
        <w:gridCol w:w="181"/>
        <w:gridCol w:w="631"/>
        <w:gridCol w:w="356"/>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2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49" w:type="dxa"/>
            <w:gridSpan w:val="18"/>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56" w:type="dxa"/>
            <w:tcBorders/>
            <w:shd w:fill="FFFFFF" w:val="clear"/>
            <w:vAlign w:val="center"/>
          </w:tcPr>
          <w:p>
            <w:pPr>
              <w:pStyle w:val="TableContents"/>
              <w:bidi w:val="0"/>
              <w:spacing w:before="0" w:after="283"/>
              <w:jc w:val="center"/>
              <w:rPr/>
            </w:pPr>
            <w:r>
              <w:rPr/>
              <w:t> </w:t>
            </w:r>
          </w:p>
        </w:tc>
      </w:tr>
      <w:tr>
        <w:trPr/>
        <w:tc>
          <w:tcPr>
            <w:tcW w:w="293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(3,217,469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(250,538</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associated</w:t>
              <w:br/>
              <w:t>   with at-the-market placement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9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w:t>
              <w:br/>
              <w:t>   placement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9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9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2,969,225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(3,227,264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(255,396</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center"/>
        <w:rPr/>
      </w:pPr>
      <w:r>
        <w:rPr/>
        <w:t> </w:t>
      </w:r>
    </w:p>
    <w:tbl>
      <w:tblPr>
        <w:tblW w:w="9082" w:type="dxa"/>
        <w:jc w:val="left"/>
        <w:tblInd w:w="0" w:type="dxa"/>
        <w:tblLayout w:type="fixed"/>
        <w:tblCellMar>
          <w:top w:w="28" w:type="dxa"/>
          <w:left w:w="28" w:type="dxa"/>
          <w:bottom w:w="28" w:type="dxa"/>
          <w:right w:w="28" w:type="dxa"/>
        </w:tblCellMar>
      </w:tblPr>
      <w:tblGrid>
        <w:gridCol w:w="2936"/>
        <w:gridCol w:w="146"/>
        <w:gridCol w:w="146"/>
        <w:gridCol w:w="586"/>
        <w:gridCol w:w="146"/>
        <w:gridCol w:w="146"/>
        <w:gridCol w:w="181"/>
        <w:gridCol w:w="436"/>
        <w:gridCol w:w="146"/>
        <w:gridCol w:w="146"/>
        <w:gridCol w:w="211"/>
        <w:gridCol w:w="809"/>
        <w:gridCol w:w="146"/>
        <w:gridCol w:w="146"/>
        <w:gridCol w:w="254"/>
        <w:gridCol w:w="1036"/>
        <w:gridCol w:w="151"/>
        <w:gridCol w:w="146"/>
        <w:gridCol w:w="181"/>
        <w:gridCol w:w="631"/>
        <w:gridCol w:w="356"/>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2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44" w:type="dxa"/>
            <w:gridSpan w:val="18"/>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56" w:type="dxa"/>
            <w:tcBorders/>
            <w:shd w:fill="FFFFFF" w:val="clear"/>
            <w:vAlign w:val="center"/>
          </w:tcPr>
          <w:p>
            <w:pPr>
              <w:pStyle w:val="TableContents"/>
              <w:bidi w:val="0"/>
              <w:spacing w:before="0" w:after="283"/>
              <w:jc w:val="center"/>
              <w:rPr/>
            </w:pPr>
            <w:r>
              <w:rPr/>
              <w:t> </w:t>
            </w:r>
          </w:p>
        </w:tc>
      </w:tr>
      <w:tr>
        <w:trPr/>
        <w:tc>
          <w:tcPr>
            <w:tcW w:w="293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2,980,539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(3,229,407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(246,168</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9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9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9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2,986,104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(3,218,777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(229,970</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MANNKIND CORPORATION AND SUBSIDIARIES</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18"/>
        </w:rPr>
        <w:t>CONDENSED CONSOLIDATED STATEMENTS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tbl>
      <w:tblPr>
        <w:tblW w:w="8632" w:type="dxa"/>
        <w:jc w:val="left"/>
        <w:tblInd w:w="0" w:type="dxa"/>
        <w:tblLayout w:type="fixed"/>
        <w:tblCellMar>
          <w:top w:w="28" w:type="dxa"/>
          <w:left w:w="28" w:type="dxa"/>
          <w:bottom w:w="28" w:type="dxa"/>
          <w:right w:w="28" w:type="dxa"/>
        </w:tblCellMar>
      </w:tblPr>
      <w:tblGrid>
        <w:gridCol w:w="5526"/>
        <w:gridCol w:w="146"/>
        <w:gridCol w:w="202"/>
        <w:gridCol w:w="656"/>
        <w:gridCol w:w="169"/>
        <w:gridCol w:w="163"/>
        <w:gridCol w:w="202"/>
        <w:gridCol w:w="572"/>
        <w:gridCol w:w="996"/>
      </w:tblGrid>
      <w:tr>
        <w:trPr/>
        <w:tc>
          <w:tcPr>
            <w:tcW w:w="5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64"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996" w:type="dxa"/>
            <w:tcBorders/>
            <w:shd w:fill="FFFFFF" w:val="clear"/>
            <w:vAlign w:val="center"/>
          </w:tcPr>
          <w:p>
            <w:pPr>
              <w:pStyle w:val="TableContents"/>
              <w:bidi w:val="0"/>
              <w:spacing w:before="0" w:after="283"/>
              <w:jc w:val="center"/>
              <w:rPr/>
            </w:pPr>
            <w:r>
              <w:rPr/>
              <w:t> </w:t>
            </w:r>
          </w:p>
        </w:tc>
      </w:tr>
      <w:tr>
        <w:trPr/>
        <w:tc>
          <w:tcPr>
            <w:tcW w:w="55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858"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74"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5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(9,795</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income (loss) to net cash provided by</w:t>
              <w:br/>
              <w:t>   operating activities:</w:t>
            </w:r>
          </w:p>
        </w:tc>
        <w:tc>
          <w:tcPr>
            <w:tcW w:w="146" w:type="dxa"/>
            <w:tcBorders/>
            <w:shd w:fill="CFF0FC" w:val="clear"/>
            <w:vAlign w:val="center"/>
          </w:tcPr>
          <w:p>
            <w:pPr>
              <w:pStyle w:val="TableContents"/>
              <w:bidi w:val="0"/>
              <w:spacing w:before="0" w:after="283"/>
              <w:jc w:val="right"/>
              <w:rPr/>
            </w:pPr>
            <w:r>
              <w:rPr/>
              <w:t> </w:t>
            </w:r>
          </w:p>
        </w:tc>
        <w:tc>
          <w:tcPr>
            <w:tcW w:w="858"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74"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400"/>
              <w:jc w:val="right"/>
              <w:rPr/>
            </w:pPr>
            <w:r>
              <w:rPr/>
              <w:t> </w:t>
            </w:r>
          </w:p>
        </w:tc>
      </w:tr>
      <w:tr>
        <w:trPr/>
        <w:tc>
          <w:tcPr>
            <w:tcW w:w="55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liability for sale of future royalties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4,248</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5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5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5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estimated returns of acquired product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5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Write-off of inventory</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2,416</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5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5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right-of-use assets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5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Mann Group convertible note</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5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5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(Gain) loss on foreign currency transaction</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(1,399</w:t>
            </w:r>
          </w:p>
        </w:tc>
        <w:tc>
          <w:tcPr>
            <w:tcW w:w="16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5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accretion of investments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(984</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5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right"/>
              <w:rPr/>
            </w:pPr>
            <w:r>
              <w:rPr/>
              <w:t> </w:t>
            </w:r>
          </w:p>
        </w:tc>
        <w:tc>
          <w:tcPr>
            <w:tcW w:w="858"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774"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600"/>
              <w:jc w:val="right"/>
              <w:rPr/>
            </w:pPr>
            <w:r>
              <w:rPr/>
              <w:t> </w:t>
            </w:r>
          </w:p>
        </w:tc>
      </w:tr>
      <w:tr>
        <w:trPr/>
        <w:tc>
          <w:tcPr>
            <w:tcW w:w="552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(5,456</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(2,913</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(2,641</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(3,274</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2,426</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552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w:t>
            </w:r>
          </w:p>
        </w:tc>
        <w:tc>
          <w:tcPr>
            <w:tcW w:w="16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552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(2,431</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2,837</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552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(3,562</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(3,537</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8,558</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552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Recognized loss on purchase commitments</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w:t>
            </w:r>
          </w:p>
        </w:tc>
        <w:tc>
          <w:tcPr>
            <w:tcW w:w="16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(2,074</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996" w:type="dxa"/>
            <w:tcBorders/>
            <w:shd w:fill="FFFFFF" w:val="cle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2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6,703</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1,156</w:t>
            </w:r>
          </w:p>
        </w:tc>
        <w:tc>
          <w:tcPr>
            <w:tcW w:w="9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5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146" w:type="dxa"/>
            <w:tcBorders/>
            <w:shd w:fill="FFFFFF" w:val="clear"/>
            <w:vAlign w:val="center"/>
          </w:tcPr>
          <w:p>
            <w:pPr>
              <w:pStyle w:val="TableContents"/>
              <w:bidi w:val="0"/>
              <w:spacing w:before="0" w:after="283"/>
              <w:jc w:val="right"/>
              <w:rPr/>
            </w:pPr>
            <w:r>
              <w:rPr/>
              <w:t> </w:t>
            </w:r>
          </w:p>
        </w:tc>
        <w:tc>
          <w:tcPr>
            <w:tcW w:w="858"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4"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5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held-to-maturity debt securities</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21,974</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22,103</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held-to-maturity debt securities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(68,399</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5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(2,408</w:t>
            </w:r>
          </w:p>
        </w:tc>
        <w:tc>
          <w:tcPr>
            <w:tcW w:w="16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(8,311</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insurance claim</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800"/>
              <w:jc w:val="left"/>
              <w:rPr/>
            </w:pPr>
            <w:r>
              <w:rPr/>
              <w:t> </w:t>
            </w:r>
          </w:p>
        </w:tc>
      </w:tr>
      <w:tr>
        <w:trPr/>
        <w:tc>
          <w:tcPr>
            <w:tcW w:w="552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CFF0FC" w:val="clear"/>
            <w:vAlign w:val="center"/>
          </w:tcPr>
          <w:p>
            <w:pPr>
              <w:pStyle w:val="TableContents"/>
              <w:bidi w:val="0"/>
              <w:spacing w:before="0" w:after="283"/>
              <w:jc w:val="right"/>
              <w:rPr/>
            </w:pPr>
            <w:r>
              <w:rPr/>
              <w:t> </w:t>
            </w:r>
          </w:p>
        </w:tc>
        <w:tc>
          <w:tcPr>
            <w:tcW w:w="2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(48,437</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13,792</w:t>
            </w:r>
          </w:p>
        </w:tc>
        <w:tc>
          <w:tcPr>
            <w:tcW w:w="9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5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858"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4"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5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market price stock purchase plan</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for taxes related to net issuance of common stock associated with</w:t>
              <w:br/>
              <w:t>   restricted stock units and stock options</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1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5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 on financing liability</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6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 on MidCap credit facility</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6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5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at-the-market-offering</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associated with at-the-market offering</w:t>
            </w:r>
          </w:p>
        </w:tc>
        <w:tc>
          <w:tcPr>
            <w:tcW w:w="146" w:type="dxa"/>
            <w:tcBorders/>
            <w:shd w:fill="FFFFFF" w:val="cle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52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(DECREASE) INCREASE IN CASH AND CASH EQUIVALENTS</w:t>
            </w:r>
          </w:p>
        </w:tc>
        <w:tc>
          <w:tcPr>
            <w:tcW w:w="146" w:type="dxa"/>
            <w:tcBorders/>
            <w:shd w:fill="FFFFFF" w:val="cle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(45,208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BEGINNING OF PERIOD</w:t>
            </w:r>
          </w:p>
        </w:tc>
        <w:tc>
          <w:tcPr>
            <w:tcW w:w="146" w:type="dxa"/>
            <w:tcBorders/>
            <w:shd w:fill="CFF0FC" w:val="cle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238,480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69,767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END OF PERIOD</w:t>
            </w:r>
          </w:p>
        </w:tc>
        <w:tc>
          <w:tcPr>
            <w:tcW w:w="146" w:type="dxa"/>
            <w:tcBorders/>
            <w:shd w:fill="FFFFFF" w:val="cle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193,272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85,869</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7302" w:type="dxa"/>
        <w:jc w:val="left"/>
        <w:tblInd w:w="0" w:type="dxa"/>
        <w:tblLayout w:type="fixed"/>
        <w:tblCellMar>
          <w:top w:w="28" w:type="dxa"/>
          <w:left w:w="28" w:type="dxa"/>
          <w:bottom w:w="28" w:type="dxa"/>
          <w:right w:w="28" w:type="dxa"/>
        </w:tblCellMar>
      </w:tblPr>
      <w:tblGrid>
        <w:gridCol w:w="4901"/>
        <w:gridCol w:w="146"/>
        <w:gridCol w:w="222"/>
        <w:gridCol w:w="535"/>
        <w:gridCol w:w="179"/>
        <w:gridCol w:w="179"/>
        <w:gridCol w:w="222"/>
        <w:gridCol w:w="627"/>
        <w:gridCol w:w="291"/>
      </w:tblGrid>
      <w:tr>
        <w:trPr/>
        <w:tc>
          <w:tcPr>
            <w:tcW w:w="4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4"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490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DISCLOSURES:</w:t>
            </w:r>
          </w:p>
        </w:tc>
        <w:tc>
          <w:tcPr>
            <w:tcW w:w="146" w:type="dxa"/>
            <w:tcBorders/>
            <w:shd w:fill="CFF0FC" w:val="clear"/>
            <w:vAlign w:val="center"/>
          </w:tcPr>
          <w:p>
            <w:pPr>
              <w:pStyle w:val="TableContents"/>
              <w:bidi w:val="0"/>
              <w:spacing w:before="0" w:after="283"/>
              <w:jc w:val="right"/>
              <w:rPr/>
            </w:pPr>
            <w:r>
              <w:rPr/>
              <w:t> </w:t>
            </w:r>
          </w:p>
        </w:tc>
        <w:tc>
          <w:tcPr>
            <w:tcW w:w="757"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490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paid in cash</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5,931</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3,700</w:t>
            </w:r>
          </w:p>
        </w:tc>
        <w:tc>
          <w:tcPr>
            <w:tcW w:w="291" w:type="dxa"/>
            <w:tcBorders/>
            <w:shd w:fill="FFFFFF" w:val="clear"/>
            <w:vAlign w:val="center"/>
          </w:tcPr>
          <w:p>
            <w:pPr>
              <w:pStyle w:val="TableContents"/>
              <w:bidi w:val="0"/>
              <w:spacing w:before="0" w:after="283"/>
              <w:jc w:val="left"/>
              <w:rPr/>
            </w:pPr>
            <w:r>
              <w:rPr/>
              <w:t> </w:t>
            </w:r>
          </w:p>
        </w:tc>
      </w:tr>
      <w:tr>
        <w:trPr/>
        <w:tc>
          <w:tcPr>
            <w:tcW w:w="490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vAlign w:val="center"/>
          </w:tcPr>
          <w:p>
            <w:pPr>
              <w:pStyle w:val="TableContents"/>
              <w:bidi w:val="0"/>
              <w:spacing w:before="0" w:after="283"/>
              <w:jc w:val="right"/>
              <w:rPr/>
            </w:pPr>
            <w:r>
              <w:rPr/>
              <w:t> </w:t>
            </w:r>
          </w:p>
        </w:tc>
        <w:tc>
          <w:tcPr>
            <w:tcW w:w="757"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Midcap credit facility from long-term to current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investments from long-term to current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53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4,653</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Non-cash construction in progress, property and equipment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1,667</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Thirona convertible notes and interest receivable</w:t>
              <w:br/>
              <w:t>   from current to long-term</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535" w:type="dxa"/>
            <w:tcBorders/>
            <w:shd w:fill="CFF0FC" w:val="clear"/>
            <w:vAlign w:val="center"/>
          </w:tcPr>
          <w:p>
            <w:pPr>
              <w:pStyle w:val="TableContents"/>
              <w:bidi w:val="0"/>
              <w:spacing w:before="0" w:after="283"/>
              <w:jc w:val="right"/>
              <w:rPr>
                <w:color w:val="000000"/>
              </w:rPr>
            </w:pPr>
            <w:r>
              <w:rPr>
                <w:color w:val="000000"/>
              </w:rPr>
              <w:t>—</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Right-of-use asset modification</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color w:val="000000"/>
              </w:rPr>
            </w:pPr>
            <w:r>
              <w:rPr>
                <w:color w:val="000000"/>
              </w:rPr>
              <w:t>—</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Goodwill adjustment for a net reduction in liabilities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535" w:type="dxa"/>
            <w:tcBorders/>
            <w:shd w:fill="CFF0FC" w:val="clear"/>
            <w:vAlign w:val="center"/>
          </w:tcPr>
          <w:p>
            <w:pPr>
              <w:pStyle w:val="TableContents"/>
              <w:bidi w:val="0"/>
              <w:spacing w:before="0" w:after="283"/>
              <w:jc w:val="right"/>
              <w:rPr>
                <w:color w:val="000000"/>
              </w:rPr>
            </w:pPr>
            <w:r>
              <w:rPr>
                <w:color w:val="000000"/>
              </w:rPr>
              <w:t>—</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Description of Business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2023, filed with the SEC on February 27, 2024 (the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all adjustments, consisting only of normal, recurring adjustments, considered necessary for a fair presentation of the results of these interim periods have been included. The results of operations for the three months ended March 31, 2024 may not be indicative of the results that may be expected for the full year. </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Statement Estimates</w:t>
      </w:r>
      <w:r>
        <w:rPr>
          <w:rFonts w:ascii="Times New Roman" w:hAnsi="Times New Roman"/>
          <w:color w:val="000000"/>
          <w:sz w:val="20"/>
        </w:rPr>
        <w:t xml:space="preserve"> — The preparation of financial statements in conformity with GAAP requires management to make estimates and 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Business </w:t>
      </w:r>
      <w:r>
        <w:rPr>
          <w:rFonts w:ascii="Times New Roman" w:hAnsi="Times New Roman"/>
          <w:color w:val="000000"/>
          <w:sz w:val="20"/>
        </w:rPr>
        <w:t>— MannKind is a biopharmaceutical company focused on the development and commercialization of innovative therapeutic products and devices to address serious unmet medical needs for those living with endocrine and orphan lung diseases. The Company’s signature technologies—Technosphere dry-powder formulations and Dreamboat inhalation devices—offer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UT, began commercializing Tyvaso DPI in June 2022 and is obligated to pay the Company a 10% royalty on net sales of the product. The Company also receives a margin on supplies of Tyvaso DPI that it manufactures for UT.</w:t>
      </w:r>
    </w:p>
    <w:p>
      <w:pPr>
        <w:pStyle w:val="TextBody"/>
        <w:bidi w:val="0"/>
        <w:spacing w:before="24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 The condensed consolidated financial statements have been prepared in accordance with GAAP. </w:t>
      </w:r>
    </w:p>
    <w:p>
      <w:pPr>
        <w:pStyle w:val="TextBody"/>
        <w:bidi w:val="0"/>
        <w:spacing w:before="240" w:after="283"/>
        <w:jc w:val="left"/>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 xml:space="preserve"> — The condensed consolidated financial statements include the accounts of the Company and its wholly-owned subsidiaries. Intercompany balances and transactions have been eliminated.</w:t>
      </w:r>
    </w:p>
    <w:p>
      <w:pPr>
        <w:pStyle w:val="TextBody"/>
        <w:bidi w:val="0"/>
        <w:spacing w:before="240" w:after="283"/>
        <w:jc w:val="left"/>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xml:space="preserve"> — Certain amounts reported in the prior period have been reclassified to conform with current period presentation. The Company has presented non-cash interest accretion on financing liability on a net basis in Other, net, in the condensed consolidated statements of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Segment Information</w:t>
      </w:r>
      <w:r>
        <w:rPr>
          <w:rFonts w:ascii="Times New Roman" w:hAnsi="Times New Roman"/>
          <w:color w:val="000000"/>
          <w:sz w:val="20"/>
        </w:rPr>
        <w:t xml:space="preserve"> — 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 The Company recognizes revenue when its customers obtain control of promised goods or services, in an amount that reflects the consideration which the Company expects to be entitled in exchange for those goods or services.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Net Revenue — Commercial Product Sales —</w:t>
      </w:r>
      <w:r>
        <w:rPr>
          <w:rFonts w:ascii="Times New Roman" w:hAnsi="Times New Roman"/>
          <w:color w:val="000000"/>
          <w:sz w:val="20"/>
        </w:rPr>
        <w:t xml:space="preserve"> The Company sells its products to a limited number of wholesale distributors, 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 w:hAnsi="Times New Roman"/>
          <w:i/>
          <w:color w:val="000000"/>
          <w:sz w:val="20"/>
        </w:rPr>
        <w:t xml:space="preserve">Reserves for Variable Consideration </w:t>
      </w:r>
      <w:r>
        <w:rPr>
          <w:rFonts w:ascii="Times New Roman" w:hAnsi="Times New Roman"/>
          <w:color w:val="000000"/>
          <w:sz w:val="20"/>
        </w:rPr>
        <w:t>below.</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Reserves for Variable Consideration </w:t>
      </w:r>
      <w:r>
        <w:rPr>
          <w:rFonts w:ascii="Times New Roman" w:hAnsi="Times New Roman"/>
          <w:color w:val="000000"/>
          <w:sz w:val="20"/>
        </w:rPr>
        <w:t>— 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Trade Discounts and Allowances </w:t>
      </w:r>
      <w:r>
        <w:rPr>
          <w:rFonts w:ascii="Times New Roman" w:hAnsi="Times New Roman"/>
          <w:color w:val="000000"/>
          <w:sz w:val="20"/>
        </w:rPr>
        <w:t xml:space="preserve">— The Company generally provides Customers with discounts which include incentives, such as prompt pay discounts, that are explicitly stated in the Company’s contracts and are recorded as a reduction of revenue in the period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Returns </w:t>
      </w:r>
      <w:r>
        <w:rPr>
          <w:rFonts w:ascii="Times New Roman" w:hAnsi="Times New Roman"/>
          <w:color w:val="000000"/>
          <w:sz w:val="20"/>
        </w:rPr>
        <w:t>— Consistent with industry practice, the Company generally offers Customers a right of return for unopened product that has been 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are made when changes in the Company's assumptions result in revised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Provider Chargebacks and Discounts </w:t>
      </w:r>
      <w:r>
        <w:rPr>
          <w:rFonts w:ascii="Times New Roman" w:hAnsi="Times New Roman"/>
          <w:color w:val="000000"/>
          <w:sz w:val="20"/>
        </w:rPr>
        <w:t>— 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Government Rebates </w:t>
      </w:r>
      <w:r>
        <w:rPr>
          <w:rFonts w:ascii="Times New Roman" w:hAnsi="Times New Roman"/>
          <w:color w:val="000000"/>
          <w:sz w:val="20"/>
        </w:rPr>
        <w:t>— 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Payer Rebates </w:t>
      </w:r>
      <w:r>
        <w:rPr>
          <w:rFonts w:ascii="Times New Roman" w:hAnsi="Times New Roman"/>
          <w:color w:val="000000"/>
          <w:sz w:val="20"/>
        </w:rPr>
        <w:t>— 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Incentives </w:t>
      </w:r>
      <w:r>
        <w:rPr>
          <w:rFonts w:ascii="Times New Roman" w:hAnsi="Times New Roman"/>
          <w:color w:val="000000"/>
          <w:sz w:val="20"/>
        </w:rPr>
        <w:t>— 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Revenue Recognition — Revenue — Collaborations and Services </w:t>
      </w:r>
      <w:r>
        <w:rPr>
          <w:rFonts w:ascii="Times New Roman" w:hAnsi="Times New Roman"/>
          <w:color w:val="000000"/>
          <w:sz w:val="20"/>
        </w:rPr>
        <w:t xml:space="preserve">— 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and Product Sales”). Pre-production activities under the CSA, such as facility expansion services and other administrative services, were considered bundled services under the Manufacturing Services and Product Sales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9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9 – </w:t>
      </w:r>
      <w:r>
        <w:rPr>
          <w:rFonts w:ascii="Times New Roman" w:hAnsi="Times New Roman"/>
          <w:i/>
          <w:color w:val="000000"/>
          <w:sz w:val="20"/>
        </w:rPr>
        <w:t>Collaboration, Licensing and Other Arrangements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collaboration agreements that allow collaboration partners to select additional optioned products or services, the Company evaluates whether such options contain material rights (i.e., have exercise prices that are discounted compared to what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long-term commercial supply agreement with UT (as amended, the "CSA")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pStyle w:val="TextBody"/>
        <w:bidi w:val="0"/>
        <w:spacing w:before="240" w:after="240"/>
        <w:jc w:val="left"/>
        <w:rPr>
          <w:rFonts w:ascii="Times New Roman" w:hAnsi="Times New Roman"/>
          <w:sz w:val="20"/>
        </w:rPr>
      </w:pPr>
      <w:r>
        <w:rPr>
          <w:rFonts w:ascii="Times New Roman" w:hAnsi="Times New Roman"/>
          <w:i/>
          <w:color w:val="000000"/>
          <w:sz w:val="20"/>
        </w:rPr>
        <w:t>Revenue Recognition — Royalties —</w:t>
      </w:r>
      <w:r>
        <w:rPr>
          <w:rFonts w:ascii="Times New Roman" w:hAnsi="Times New Roman"/>
          <w:color w:val="000000"/>
          <w:sz w:val="20"/>
        </w:rPr>
        <w:t xml:space="preserve"> The Company recognizes royalty revenue for a sales-based or usage-based royalty if it is promised in exchange for an intellectual property license. The royalty revenue is recognized as the latter of the subsequent sale of the product occurs or if the performance obligation to which the royalty has been allocated has been satisfied or partially satisfied. The Company’s UT License Agreement (as defined in Note 9 – </w:t>
      </w:r>
      <w:r>
        <w:rPr>
          <w:rFonts w:ascii="Times New Roman" w:hAnsi="Times New Roman"/>
          <w:i/>
          <w:color w:val="000000"/>
          <w:sz w:val="20"/>
        </w:rPr>
        <w:t>Collaboration, Licensing and Other Arrangements</w:t>
      </w:r>
      <w:r>
        <w:rPr>
          <w:rFonts w:ascii="Times New Roman" w:hAnsi="Times New Roman"/>
          <w:color w:val="000000"/>
          <w:sz w:val="20"/>
        </w:rPr>
        <w:t xml:space="preserve">) entitles it to receive a 10% royalty on net sales of Tyvaso DPI for the license of the Company’s IP that was considered to be interdependent with the development activities that supported the approval of Tyvaso DPI. Although the Company recognizes a 10% royalty on net revenue from the sale of Tyvaso DPI as revenue, it will only collect 9% of future royalties due to its sale of 1% of future royalties in December 2023 as detailed in Note 14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net revenue and cost of revenue and goods sold as shown on the condensed consolidated statement of operations is comprised of revenue generated from product sales, services and royalties as shown below (in thousands):</w:t>
      </w:r>
    </w:p>
    <w:tbl>
      <w:tblPr>
        <w:tblW w:w="4749" w:type="dxa"/>
        <w:jc w:val="left"/>
        <w:tblInd w:w="0" w:type="dxa"/>
        <w:tblLayout w:type="fixed"/>
        <w:tblCellMar>
          <w:top w:w="28" w:type="dxa"/>
          <w:left w:w="28" w:type="dxa"/>
          <w:bottom w:w="28" w:type="dxa"/>
          <w:right w:w="28" w:type="dxa"/>
        </w:tblCellMar>
      </w:tblPr>
      <w:tblGrid>
        <w:gridCol w:w="1946"/>
        <w:gridCol w:w="146"/>
        <w:gridCol w:w="211"/>
        <w:gridCol w:w="676"/>
        <w:gridCol w:w="146"/>
        <w:gridCol w:w="146"/>
        <w:gridCol w:w="211"/>
        <w:gridCol w:w="676"/>
        <w:gridCol w:w="5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Product revenue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Royalties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the revenue from Afrezza and V-Go sales to wholesalers and specialty pharmacies and Tyvaso DPI to UT.</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Amounts represent revenue generated from the Company's collaboration arrangements, including Next-Gen R&amp;D Services (as defined in Note 9) for UT as well as arrangements with other collaboration partners. See Note 9 – </w:t>
      </w:r>
      <w:r>
        <w:rPr>
          <w:rFonts w:ascii="Times New Roman" w:hAnsi="Times New Roman"/>
          <w:i/>
          <w:color w:val="000000"/>
          <w:sz w:val="18"/>
        </w:rPr>
        <w:t>Collaboration, Licensing and Other Arrangements</w:t>
      </w:r>
      <w:r>
        <w:rPr>
          <w:rFonts w:ascii="Times New Roman" w:hAnsi="Times New Roman"/>
          <w:color w:val="000000"/>
          <w:sz w:val="18"/>
        </w:rPr>
        <w:t xml:space="preserve">. </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Amounts represent royalties on UT’s net revenue from Tyvaso DPI sales.</w:t>
      </w:r>
    </w:p>
    <w:tbl>
      <w:tblPr>
        <w:tblW w:w="6894" w:type="dxa"/>
        <w:jc w:val="left"/>
        <w:tblInd w:w="0" w:type="dxa"/>
        <w:tblLayout w:type="fixed"/>
        <w:tblCellMar>
          <w:top w:w="28" w:type="dxa"/>
          <w:left w:w="28" w:type="dxa"/>
          <w:bottom w:w="28" w:type="dxa"/>
          <w:right w:w="28" w:type="dxa"/>
        </w:tblCellMar>
      </w:tblPr>
      <w:tblGrid>
        <w:gridCol w:w="4091"/>
        <w:gridCol w:w="146"/>
        <w:gridCol w:w="211"/>
        <w:gridCol w:w="676"/>
        <w:gridCol w:w="146"/>
        <w:gridCol w:w="146"/>
        <w:gridCol w:w="211"/>
        <w:gridCol w:w="676"/>
        <w:gridCol w:w="5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 and 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goods sold and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Milestone Payments </w:t>
      </w:r>
      <w:r>
        <w:rPr>
          <w:rFonts w:ascii="Times New Roman" w:hAnsi="Times New Roman"/>
          <w:color w:val="000000"/>
          <w:sz w:val="20"/>
        </w:rPr>
        <w:t xml:space="preserve">—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 of the overall transaction price. Any such adjustments are recorded on a cumulative catch-up basis, which would affect license, collaboration, other revenue, and earnings in the period of adjustment.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Goods Sold </w:t>
      </w:r>
      <w:r>
        <w:rPr>
          <w:rFonts w:ascii="Times New Roman" w:hAnsi="Times New Roman"/>
          <w:color w:val="000000"/>
          <w:sz w:val="20"/>
        </w:rPr>
        <w:t>— Cost of goods sold includes material, labor costs and manufacturing overhead. Cost of goods sold also includes a component 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Revenues </w:t>
      </w:r>
      <w:r>
        <w:rPr>
          <w:rFonts w:ascii="Times New Roman" w:hAnsi="Times New Roman"/>
          <w:color w:val="000000"/>
          <w:sz w:val="20"/>
        </w:rPr>
        <w:t xml:space="preserve">— </w:t>
      </w:r>
      <w:r>
        <w:rPr>
          <w:rFonts w:ascii="Times New Roman" w:hAnsi="Times New Roman"/>
          <w:i/>
          <w:color w:val="000000"/>
          <w:sz w:val="20"/>
        </w:rPr>
        <w:t>Collaborations and Services</w:t>
      </w:r>
      <w:r>
        <w:rPr>
          <w:rFonts w:ascii="Times New Roman" w:hAnsi="Times New Roman"/>
          <w:color w:val="000000"/>
          <w:sz w:val="20"/>
        </w:rPr>
        <w:t xml:space="preserve"> — Cost of revenues for collaborations and services includes material, labor costs, manufacturing overhead, 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w:t>
      </w:r>
      <w:r>
        <w:rPr>
          <w:rFonts w:ascii="Times New Roman" w:hAnsi="Times New Roman"/>
          <w:color w:val="000000"/>
          <w:sz w:val="20"/>
        </w:rPr>
        <w:t xml:space="preserve"> Clinical trial expenses result from obligations under contracts with vendors, consultants and clinical site 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 </w:t>
      </w:r>
    </w:p>
    <w:p>
      <w:pPr>
        <w:pStyle w:val="TextBody"/>
        <w:bidi w:val="0"/>
        <w:spacing w:before="24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 The Company considers all highly liquid investments with original or remaining maturities of 90 days or less at the time of purchase, that are readily convertible into cash to be cash equivalents. As of March 31, 2024 and December 31, 2023, cash equivalents were comprised of money market funds, U.S. Treasury securities, corporate bonds and commercial paper with original maturities less than 90 days from the date of purchase.</w:t>
      </w:r>
    </w:p>
    <w:p>
      <w:pPr>
        <w:pStyle w:val="TextBody"/>
        <w:bidi w:val="0"/>
        <w:spacing w:before="240" w:after="283"/>
        <w:jc w:val="left"/>
        <w:rPr>
          <w:rFonts w:ascii="Times New Roman" w:hAnsi="Times New Roman"/>
          <w:sz w:val="20"/>
        </w:rPr>
      </w:pPr>
      <w:r>
        <w:rPr>
          <w:rFonts w:ascii="Times New Roman" w:hAnsi="Times New Roman"/>
          <w:i/>
          <w:color w:val="000000"/>
          <w:sz w:val="20"/>
        </w:rPr>
        <w:t>Held-to-Maturity Investments</w:t>
      </w:r>
      <w:r>
        <w:rPr>
          <w:rFonts w:ascii="Times New Roman" w:hAnsi="Times New Roman"/>
          <w:color w:val="000000"/>
          <w:sz w:val="20"/>
        </w:rPr>
        <w:t xml:space="preserve"> — The Company’s investments generally consisted of commercial paper, corporate notes or bonds and U.S. Treasury securities. As of March 31, 2024 and December 31, 2023,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available-for-sale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w:t>
      </w:r>
      <w:r>
        <w:rPr>
          <w:rFonts w:ascii="Times New Roman" w:hAnsi="Times New Roman"/>
          <w:color w:val="000000"/>
          <w:sz w:val="20"/>
        </w:rPr>
        <w:t xml:space="preserve"> — In June 2021, the Company purchased a $3.0 million convertible promissory note (the “Thirona convertible note”) issued by Thirona Bio, Inc. (“Thirona”). In January 2022, the Company purchased an additional $5.0 million convertible promissory note issued by Thirona.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The Thirona convertible notes are general unsecured obligations of Thirona and accrue interest at a rate of 6% per annum. The Thirona convertible notes are classified as available-for-sale securities and are included in prepaid expenses and other current assets in the condensed consolidated balance sheets. The Company periodically assesses whether it has any intention to sell the investment, determines the fair value of its available-for-sale investments using level 3 inputs and assesses whether there were other-than-temporary impairments associated with the investment. Unrealized holding gains and losses are excluded from earnings and reported in other comprehensive income until realized, while unrealized losses related to credit risk are reported through earnings in the period incurred. In June 2021, the Company and Thirona also entered into a collaboration agreement to develop a compound for the treatment of fibrotic pulmonary diseases. See Note 9 – </w:t>
      </w:r>
      <w:r>
        <w:rPr>
          <w:rFonts w:ascii="Times New Roman" w:hAnsi="Times New Roman"/>
          <w:i/>
          <w:color w:val="000000"/>
          <w:sz w:val="20"/>
        </w:rPr>
        <w:t>Collaboration, Licensing and Other Arrangements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concentration of credit risk consisted of cash and cash 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The cash equivalents and investments are regularly monitored by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Accounts Receivable and Allowance for Credit Losses </w:t>
      </w:r>
      <w:r>
        <w:rPr>
          <w:rFonts w:ascii="Times New Roman" w:hAnsi="Times New Roman"/>
          <w:color w:val="000000"/>
          <w:sz w:val="20"/>
        </w:rPr>
        <w:t>— 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Pre-Launch Inventory </w:t>
      </w:r>
      <w:r>
        <w:rPr>
          <w:rFonts w:ascii="Times New Roman" w:hAnsi="Times New Roman"/>
          <w:color w:val="000000"/>
          <w:sz w:val="20"/>
        </w:rPr>
        <w:t>— An improvement to the manufacturing process for the Company’s primary excipient, fumaryl diketopiperazine (“FDKP”) was 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choosing instead to recognize such costs as R&amp;D expense in the period incurred.</w:t>
      </w:r>
    </w:p>
    <w:p>
      <w:pPr>
        <w:pStyle w:val="TextBody"/>
        <w:bidi w:val="0"/>
        <w:spacing w:before="240" w:after="283"/>
        <w:jc w:val="left"/>
        <w:rPr>
          <w:rFonts w:ascii="Times New Roman" w:hAnsi="Times New Roman"/>
          <w:sz w:val="20"/>
        </w:rPr>
      </w:pPr>
      <w:r>
        <w:rPr>
          <w:rFonts w:ascii="Times New Roman" w:hAnsi="Times New Roman"/>
          <w:i/>
          <w:color w:val="000000"/>
          <w:sz w:val="20"/>
        </w:rPr>
        <w:t>Inventories</w:t>
      </w:r>
      <w:r>
        <w:rPr>
          <w:rFonts w:ascii="Times New Roman" w:hAnsi="Times New Roman"/>
          <w:color w:val="000000"/>
          <w:sz w:val="20"/>
        </w:rPr>
        <w:t xml:space="preserve"> —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 Property and equipment is recorded at historical cost, net of accumulated depreciation. Depreciation expense is recorded over the assets’ useful lives on a straight-line basis. See Note 5 – </w:t>
      </w:r>
      <w:r>
        <w:rPr>
          <w:rFonts w:ascii="Times New Roman" w:hAnsi="Times New Roman"/>
          <w:i/>
          <w:color w:val="000000"/>
          <w:sz w:val="20"/>
        </w:rPr>
        <w:t>Property and Equipment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 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Acquisitions — </w:t>
      </w:r>
      <w:r>
        <w:rPr>
          <w:rFonts w:ascii="Times New Roman" w:hAnsi="Times New Roman"/>
          <w:color w:val="000000"/>
          <w:sz w:val="20"/>
        </w:rPr>
        <w:t xml:space="preserve">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projects, and liabilities assumed are recorded at their respective fair values as of the acquisition date in the Company’s condensed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are recorded in R&amp;D expense upon acquisition, and contingent consideration obligations incurred in connection with an asset acquisition are recorded when it is probable that they will occur and they can be reasonably estimated.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Goodwill and Other Intangible Assets — </w:t>
      </w:r>
      <w:r>
        <w:rPr>
          <w:rFonts w:ascii="Times New Roman" w:hAnsi="Times New Roman"/>
          <w:color w:val="000000"/>
          <w:sz w:val="20"/>
        </w:rPr>
        <w:t xml:space="preserve">The fair value of acquired intangible assets is determined using an income-based approach referred to as the 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283"/>
        <w:jc w:val="left"/>
        <w:rPr>
          <w:rFonts w:ascii="Times New Roman" w:hAnsi="Times New Roman"/>
          <w:sz w:val="20"/>
        </w:rPr>
      </w:pPr>
      <w:r>
        <w:rPr>
          <w:rFonts w:ascii="Times New Roman" w:hAnsi="Times New Roman"/>
          <w:i/>
          <w:color w:val="000000"/>
          <w:sz w:val="20"/>
        </w:rPr>
        <w:t>Recognized Loss on Purchase Commitments</w:t>
      </w:r>
      <w:r>
        <w:rPr>
          <w:rFonts w:ascii="Times New Roman" w:hAnsi="Times New Roman"/>
          <w:color w:val="000000"/>
          <w:sz w:val="20"/>
        </w:rPr>
        <w:t xml:space="preserve"> — The Company reviews the terms of the long-term supply agreements and assesses the need for any accrual for estimated losses, such as lower of cost or net realizable value, that will not be recovered by future product sales. The recognized loss on purchase commitments is reduced as inventory items are received or as the liability is extinguished. See Note 14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Rights Liability</w:t>
      </w:r>
      <w:r>
        <w:rPr>
          <w:rFonts w:ascii="Times New Roman" w:hAnsi="Times New Roman"/>
          <w:color w:val="000000"/>
          <w:sz w:val="20"/>
        </w:rPr>
        <w:t xml:space="preserve"> — 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$55.0 million of which remains payable as of March 31, 2024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10 – </w:t>
      </w:r>
      <w:r>
        <w:rPr>
          <w:rFonts w:ascii="Times New Roman" w:hAnsi="Times New Roman"/>
          <w:i/>
          <w:color w:val="000000"/>
          <w:sz w:val="20"/>
        </w:rPr>
        <w:t>Fair Value of Financial Instruments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14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Fair Value of Financial Instruments </w:t>
      </w:r>
      <w:r>
        <w:rPr>
          <w:rFonts w:ascii="Times New Roman" w:hAnsi="Times New Roman"/>
          <w:color w:val="000000"/>
          <w:sz w:val="20"/>
        </w:rPr>
        <w:t xml:space="preserve">— 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 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 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Stock-Based Compensation </w:t>
      </w:r>
      <w:r>
        <w:rPr>
          <w:rFonts w:ascii="Times New Roman" w:hAnsi="Times New Roman"/>
          <w:color w:val="000000"/>
          <w:sz w:val="20"/>
        </w:rPr>
        <w:t>— Share-based payments to employees, including grants of restricted stock units (</w:t>
      </w:r>
      <w:r>
        <w:rPr>
          <w:rFonts w:ascii="Times New Roman" w:hAnsi="Times New Roman"/>
          <w:color w:val="000000"/>
          <w:sz w:val="20"/>
          <w:u w:val="single"/>
        </w:rPr>
        <w:t>“</w:t>
      </w:r>
      <w:r>
        <w:rPr>
          <w:rFonts w:ascii="Times New Roman" w:hAnsi="Times New Roman"/>
          <w:color w:val="000000"/>
          <w:sz w:val="20"/>
        </w:rPr>
        <w:t>RSUs</w:t>
      </w:r>
      <w:r>
        <w:rPr>
          <w:rFonts w:ascii="Times New Roman" w:hAnsi="Times New Roman"/>
          <w:color w:val="000000"/>
          <w:sz w:val="20"/>
          <w:u w:val="single"/>
        </w:rPr>
        <w:t>”</w:t>
      </w:r>
      <w:r>
        <w:rPr>
          <w:rFonts w:ascii="Times New Roman" w:hAnsi="Times New Roman"/>
          <w:color w:val="000000"/>
          <w:sz w:val="20"/>
        </w:rPr>
        <w:t xml:space="preserve">), performance-based non-qualified 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w:t>
      </w:r>
    </w:p>
    <w:p>
      <w:pPr>
        <w:pStyle w:val="TextBody"/>
        <w:bidi w:val="0"/>
        <w:spacing w:before="240" w:after="283"/>
        <w:jc w:val="left"/>
        <w:rPr>
          <w:rFonts w:ascii="Times New Roman" w:hAnsi="Times New Roman"/>
          <w:sz w:val="20"/>
        </w:rPr>
      </w:pPr>
      <w:r>
        <w:rPr>
          <w:rFonts w:ascii="Times New Roman" w:hAnsi="Times New Roman"/>
          <w:i/>
          <w:color w:val="000000"/>
          <w:sz w:val="20"/>
        </w:rPr>
        <w:t>Clinical Trial Expenses</w:t>
      </w:r>
      <w:r>
        <w:rPr>
          <w:rFonts w:ascii="Times New Roman" w:hAnsi="Times New Roman"/>
          <w:color w:val="000000"/>
          <w:sz w:val="20"/>
        </w:rPr>
        <w:t xml:space="preserve"> — Clinical trial expenses, which are primarily reflected in R&amp;D expenses in the condensed consolidated statements of operations, result from obligations under contracts with vendors, consultants and clinical site agreements in addition to internal costs associated with conducting clinical trials. </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 (Loss) Per Share of Common Stock</w:t>
      </w:r>
      <w:r>
        <w:rPr>
          <w:rFonts w:ascii="Times New Roman" w:hAnsi="Times New Roman"/>
          <w:color w:val="000000"/>
          <w:sz w:val="20"/>
        </w:rPr>
        <w:t xml:space="preserve"> — Basic net income or loss per share ("EPS") is calculated by dividing net income by the weighted average 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pStyle w:val="TextBody"/>
        <w:bidi w:val="0"/>
        <w:spacing w:before="240" w:after="283"/>
        <w:jc w:val="left"/>
        <w:rPr>
          <w:rFonts w:ascii="Times New Roman" w:hAnsi="Times New Roman"/>
          <w:sz w:val="20"/>
        </w:rPr>
      </w:pPr>
      <w:r>
        <w:rPr>
          <w:rFonts w:ascii="Times New Roman" w:hAnsi="Times New Roman"/>
          <w:i/>
          <w:color w:val="000000"/>
          <w:sz w:val="20"/>
        </w:rPr>
        <w:t>Recently Issued Accounting Standards</w:t>
      </w:r>
      <w:r>
        <w:rPr>
          <w:rFonts w:ascii="Times New Roman" w:hAnsi="Times New Roman"/>
          <w:color w:val="000000"/>
          <w:sz w:val="20"/>
        </w:rPr>
        <w:t xml:space="preserve"> — From time to time, new accounting pronouncements are issued by the FASB or other standard setting bodies that are adopted by the Company as of the specified effective date. Unless otherwise discussed,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believes that the impact of recently issued standards that are not yet effective will not have a material impact on the Company’s condensed consolidated financial position or results of operations upon adoption. </w:t>
      </w:r>
    </w:p>
    <w:p>
      <w:pPr>
        <w:pStyle w:val="TextBody"/>
        <w:bidi w:val="0"/>
        <w:spacing w:before="240" w:after="283"/>
        <w:jc w:val="left"/>
        <w:rPr>
          <w:rFonts w:ascii="Times New Roman" w:hAnsi="Times New Roman"/>
          <w:sz w:val="20"/>
        </w:rPr>
      </w:pPr>
      <w:r>
        <w:rPr>
          <w:rFonts w:ascii="Times New Roman" w:hAnsi="Times New Roman"/>
          <w:b/>
          <w:color w:val="000000"/>
          <w:sz w:val="20"/>
        </w:rPr>
        <w:t>2.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Cash Equivalents </w:t>
      </w:r>
      <w:r>
        <w:rPr>
          <w:rFonts w:ascii="Times New Roman" w:hAnsi="Times New Roman"/>
          <w:color w:val="000000"/>
          <w:sz w:val="20"/>
        </w:rPr>
        <w:t xml:space="preserve">— Cash equivalents consist of highly liquid investments with original or remaining maturities of 90 days or less at the time of purchase that are readily convertible into cash. </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w:t>
      </w:r>
      <w:r>
        <w:rPr>
          <w:rFonts w:ascii="Times New Roman" w:hAnsi="Times New Roman"/>
          <w:color w:val="000000"/>
          <w:sz w:val="20"/>
        </w:rPr>
        <w:t xml:space="preserve"> — The Thirona convertible notes are classified as available-for-sale securities and are included in prepaid expenses and other current assets in the condensed consolidated balance sheets. Available-for-sale investments are subsequently measured at fair value with realized gains and losses reported in other income (expense) in the condensed consolidated statements of operations. Unrealized holding gains and losses are excluded from earnings and reported in other comprehensive income (loss) until realized. The Company determines the fair value of its available-for-sale investments using level 3 inputs and evaluates the fair value of its investment in Thirona by applying a scenario based method. For the three months ended March 31, 2023, the Company recognized $0.1 million of interest income on investment. No interest income on investment was recognized during the three months ended March 31, 2024. The Company's investment in Thirona is comprised of two notes with aggregate face value of $8.0 million and stated interest rate of 6%. As of March 31, 2024 and December 31, 2023, the fair value of the Company's investment in Thirona was $6.9 million. No gains or losses from credit risk or unrealized holding gains or losses were recognized during the three months ended March 31, 2024 or 2023.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Held-to-Maturity Investments </w:t>
      </w:r>
      <w:r>
        <w:rPr>
          <w:rFonts w:ascii="Times New Roman" w:hAnsi="Times New Roman"/>
          <w:color w:val="000000"/>
          <w:sz w:val="20"/>
        </w:rPr>
        <w:t>— Investments consist of highly liquid investments that are intended to facilitate liquidity and capital preservation. The amortization or accretion of the Company’s investments is recognized in the condensed consolidated statements of operations as interest income, which was approximately $3.4 million and $1.2 million for the three months ended March 31, 2024 and 2023, respectively. No allowance for credit losses on held-to-maturity securities was required as of March 31, 2024 or December 31, 2023.</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contractual maturities of the Company’s held-to-maturity investments are summarized below (in thousands): </w:t>
      </w:r>
    </w:p>
    <w:tbl>
      <w:tblPr>
        <w:tblW w:w="8687"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46"/>
        <w:gridCol w:w="146"/>
        <w:gridCol w:w="211"/>
        <w:gridCol w:w="781"/>
        <w:gridCol w:w="146"/>
        <w:gridCol w:w="146"/>
        <w:gridCol w:w="211"/>
        <w:gridCol w:w="781"/>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Due in one year or less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115,374</w:t>
            </w:r>
          </w:p>
        </w:tc>
        <w:tc>
          <w:tcPr>
            <w:tcW w:w="5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122,571</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The investments due in one year or less include cash equivalents of $134.5</w:t>
      </w:r>
      <w:r>
        <w:rPr>
          <w:rFonts w:ascii="Times New Roman" w:hAnsi="Times New Roman"/>
          <w:color w:val="000000"/>
          <w:sz w:val="20"/>
        </w:rPr>
        <w:t xml:space="preserve"> </w:t>
      </w:r>
      <w:r>
        <w:rPr>
          <w:rFonts w:ascii="Times New Roman" w:hAnsi="Times New Roman"/>
          <w:color w:val="000000"/>
          <w:sz w:val="18"/>
        </w:rPr>
        <w:t>million as of March 31, 2024</w:t>
      </w:r>
      <w:r>
        <w:rPr>
          <w:rFonts w:ascii="Times New Roman" w:hAnsi="Times New Roman"/>
          <w:color w:val="000000"/>
          <w:sz w:val="20"/>
        </w:rPr>
        <w:t xml:space="preserve"> and </w:t>
      </w:r>
      <w:r>
        <w:rPr>
          <w:rFonts w:ascii="Times New Roman" w:hAnsi="Times New Roman"/>
          <w:color w:val="000000"/>
          <w:sz w:val="18"/>
        </w:rPr>
        <w:t>$58.6</w:t>
      </w:r>
      <w:r>
        <w:rPr>
          <w:rFonts w:ascii="Times New Roman" w:hAnsi="Times New Roman"/>
          <w:color w:val="000000"/>
          <w:sz w:val="20"/>
        </w:rPr>
        <w:t xml:space="preserve"> </w:t>
      </w:r>
      <w:r>
        <w:rPr>
          <w:rFonts w:ascii="Times New Roman" w:hAnsi="Times New Roman"/>
          <w:color w:val="000000"/>
          <w:sz w:val="18"/>
        </w:rPr>
        <w:t>million as of December 31, 2023.</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fair value of the cash equivalents, long-term and short-term investments are disclosed below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2"/>
        <w:gridCol w:w="146"/>
        <w:gridCol w:w="1104"/>
        <w:gridCol w:w="146"/>
        <w:gridCol w:w="239"/>
        <w:gridCol w:w="958"/>
        <w:gridCol w:w="166"/>
        <w:gridCol w:w="146"/>
        <w:gridCol w:w="464"/>
        <w:gridCol w:w="931"/>
        <w:gridCol w:w="146"/>
        <w:gridCol w:w="146"/>
        <w:gridCol w:w="395"/>
        <w:gridCol w:w="707"/>
        <w:gridCol w:w="166"/>
        <w:gridCol w:w="146"/>
        <w:gridCol w:w="211"/>
        <w:gridCol w:w="841"/>
        <w:gridCol w:w="615"/>
      </w:tblGrid>
      <w:tr>
        <w:trPr/>
        <w:tc>
          <w:tcPr>
            <w:tcW w:w="2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5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2"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and other</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95,389</w:t>
            </w:r>
          </w:p>
        </w:tc>
        <w:tc>
          <w:tcPr>
            <w:tcW w:w="615" w:type="dxa"/>
            <w:tcBorders/>
            <w:shd w:fill="FFFFFF" w:val="clear"/>
            <w:vAlign w:val="center"/>
          </w:tcPr>
          <w:p>
            <w:pPr>
              <w:pStyle w:val="TableContents"/>
              <w:bidi w:val="0"/>
              <w:spacing w:before="0" w:after="283"/>
              <w:jc w:val="left"/>
              <w:rPr/>
            </w:pPr>
            <w:r>
              <w:rPr/>
              <w:t> </w:t>
            </w:r>
          </w:p>
        </w:tc>
      </w:tr>
      <w:tr>
        <w:trPr/>
        <w:tc>
          <w:tcPr>
            <w:tcW w:w="25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w:t>
            </w:r>
          </w:p>
        </w:tc>
        <w:tc>
          <w:tcPr>
            <w:tcW w:w="615" w:type="dxa"/>
            <w:tcBorders/>
            <w:shd w:fill="CFF0FC" w:val="clear"/>
            <w:vAlign w:val="center"/>
          </w:tcPr>
          <w:p>
            <w:pPr>
              <w:pStyle w:val="TableContents"/>
              <w:bidi w:val="0"/>
              <w:spacing w:before="0" w:after="283"/>
              <w:jc w:val="left"/>
              <w:rPr/>
            </w:pPr>
            <w:r>
              <w:rPr/>
              <w:t> </w:t>
            </w:r>
          </w:p>
        </w:tc>
      </w:tr>
      <w:tr>
        <w:trPr/>
        <w:tc>
          <w:tcPr>
            <w:tcW w:w="25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245,741</w:t>
            </w:r>
          </w:p>
        </w:tc>
        <w:tc>
          <w:tcPr>
            <w:tcW w:w="615" w:type="dxa"/>
            <w:tcBorders/>
            <w:shd w:fill="CFF0FC" w:val="clear"/>
            <w:vAlign w:val="center"/>
          </w:tcPr>
          <w:p>
            <w:pPr>
              <w:pStyle w:val="TableContents"/>
              <w:bidi w:val="0"/>
              <w:spacing w:before="0" w:after="283"/>
              <w:jc w:val="left"/>
              <w:rPr/>
            </w:pPr>
            <w:r>
              <w:rPr/>
              <w:t> </w:t>
            </w:r>
          </w:p>
        </w:tc>
      </w:tr>
      <w:tr>
        <w:trPr/>
        <w:tc>
          <w:tcPr>
            <w:tcW w:w="25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3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146"/>
        <w:gridCol w:w="1112"/>
        <w:gridCol w:w="146"/>
        <w:gridCol w:w="249"/>
        <w:gridCol w:w="924"/>
        <w:gridCol w:w="166"/>
        <w:gridCol w:w="146"/>
        <w:gridCol w:w="472"/>
        <w:gridCol w:w="946"/>
        <w:gridCol w:w="146"/>
        <w:gridCol w:w="146"/>
        <w:gridCol w:w="398"/>
        <w:gridCol w:w="713"/>
        <w:gridCol w:w="166"/>
        <w:gridCol w:w="146"/>
        <w:gridCol w:w="211"/>
        <w:gridCol w:w="781"/>
        <w:gridCol w:w="615"/>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8"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69,611</w:t>
            </w:r>
          </w:p>
        </w:tc>
        <w:tc>
          <w:tcPr>
            <w:tcW w:w="615" w:type="dxa"/>
            <w:tcBorders/>
            <w:shd w:fill="FFFFFF" w:val="clear"/>
            <w:vAlign w:val="center"/>
          </w:tcPr>
          <w:p>
            <w:pPr>
              <w:pStyle w:val="TableContents"/>
              <w:bidi w:val="0"/>
              <w:spacing w:before="0" w:after="283"/>
              <w:jc w:val="left"/>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43,348</w:t>
            </w:r>
          </w:p>
        </w:tc>
        <w:tc>
          <w:tcPr>
            <w:tcW w:w="615" w:type="dxa"/>
            <w:tcBorders/>
            <w:shd w:fill="CFF0FC" w:val="cle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122,571</w:t>
            </w:r>
          </w:p>
        </w:tc>
        <w:tc>
          <w:tcPr>
            <w:tcW w:w="615" w:type="dxa"/>
            <w:tcBorders/>
            <w:shd w:fill="CFF0FC" w:val="cle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63,927</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and December 31, 2023, there was $0.6 million and $0.5 million, respectively, of accrued interest receivable on investments which is included in prepaid expense and other current assets in our condensed consolidated balance sheets.</w:t>
      </w:r>
    </w:p>
    <w:p>
      <w:pPr>
        <w:pStyle w:val="TextBody"/>
        <w:bidi w:val="0"/>
        <w:spacing w:before="240" w:after="283"/>
        <w:jc w:val="left"/>
        <w:rPr>
          <w:rFonts w:ascii="Times New Roman" w:hAnsi="Times New Roman"/>
          <w:sz w:val="20"/>
        </w:rPr>
      </w:pPr>
      <w:r>
        <w:rPr>
          <w:rFonts w:ascii="Times New Roman" w:hAnsi="Times New Roman"/>
          <w:b/>
          <w:color w:val="000000"/>
          <w:sz w:val="20"/>
        </w:rPr>
        <w:t>3. Accounts Receivable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Accounts receivable, net consists of the following (in thousands): </w:t>
      </w:r>
    </w:p>
    <w:tbl>
      <w:tblPr>
        <w:tblW w:w="8755" w:type="dxa"/>
        <w:jc w:val="left"/>
        <w:tblInd w:w="0" w:type="dxa"/>
        <w:tblLayout w:type="fixed"/>
        <w:tblCellMar>
          <w:top w:w="28" w:type="dxa"/>
          <w:left w:w="28" w:type="dxa"/>
          <w:bottom w:w="28" w:type="dxa"/>
          <w:right w:w="28" w:type="dxa"/>
        </w:tblCellMar>
      </w:tblPr>
      <w:tblGrid>
        <w:gridCol w:w="4746"/>
        <w:gridCol w:w="146"/>
        <w:gridCol w:w="299"/>
        <w:gridCol w:w="961"/>
        <w:gridCol w:w="166"/>
        <w:gridCol w:w="146"/>
        <w:gridCol w:w="357"/>
        <w:gridCol w:w="1143"/>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commercial</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200"/>
              <w:jc w:val="center"/>
              <w:rPr/>
            </w:pPr>
            <w:r>
              <w:rPr/>
              <w:t> </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Wholesaler distribution fees and prompt pay discounts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Reserve for returns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accounts receivable – commercial, net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w:t>
            </w:r>
          </w:p>
        </w:tc>
        <w:tc>
          <w:tcPr>
            <w:tcW w:w="791" w:type="dxa"/>
            <w:tcBorders/>
            <w:shd w:fill="FFFFFF" w:val="clear"/>
            <w:vAlign w:val="center"/>
          </w:tcPr>
          <w:p>
            <w:pPr>
              <w:pStyle w:val="TableContents"/>
              <w:bidi w:val="0"/>
              <w:spacing w:before="0" w:after="283"/>
              <w:jc w:val="left"/>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collaborations and services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791" w:type="dxa"/>
            <w:tcBorders/>
            <w:shd w:fill="CFF0FC" w:val="clear"/>
            <w:vAlign w:val="center"/>
          </w:tcPr>
          <w:p>
            <w:pPr>
              <w:pStyle w:val="TableContents"/>
              <w:bidi w:val="0"/>
              <w:spacing w:before="0" w:after="283"/>
              <w:ind w:left="0" w:right="0" w:firstLine="600"/>
              <w:jc w:val="left"/>
              <w:rPr/>
            </w:pPr>
            <w:r>
              <w:rPr/>
              <w:t> </w:t>
            </w:r>
          </w:p>
        </w:tc>
      </w:tr>
      <w:tr>
        <w:trPr/>
        <w:tc>
          <w:tcPr>
            <w:tcW w:w="474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and December 31, 2023, the allowance for credit losses and doubtful accounts for commercial accounts receivable of $0.2 million was related to $0.2 million of accounts receivable for Zealand Pharma US, Inc. As of March 31, 2024, the Company had three wholesale distributors representing approximately 78% of commercial accounts receivable and 70% of gross sales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and December 31, 2023, there was no allowance for credit losses for accounts receivable for collaborations and services. The Company had one collaboration partner, UT, that comprised 100% of the collaboration and services net accounts receivable as of March 31, 2024 and December 31, 2023 and approximately 100% of gross revenue from collaborations and services for the three months ended March 31, 2024 and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Inventories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5185" w:type="dxa"/>
        <w:jc w:val="left"/>
        <w:tblInd w:w="0" w:type="dxa"/>
        <w:tblLayout w:type="fixed"/>
        <w:tblCellMar>
          <w:top w:w="28" w:type="dxa"/>
          <w:left w:w="28" w:type="dxa"/>
          <w:bottom w:w="28" w:type="dxa"/>
          <w:right w:w="28" w:type="dxa"/>
        </w:tblCellMar>
      </w:tblPr>
      <w:tblGrid>
        <w:gridCol w:w="1596"/>
        <w:gridCol w:w="146"/>
        <w:gridCol w:w="299"/>
        <w:gridCol w:w="961"/>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391" w:type="dxa"/>
            <w:tcBorders/>
            <w:shd w:fill="CFF0FC" w:val="clear"/>
            <w:vAlign w:val="center"/>
          </w:tcPr>
          <w:p>
            <w:pPr>
              <w:pStyle w:val="TableContents"/>
              <w:bidi w:val="0"/>
              <w:spacing w:before="0" w:after="283"/>
              <w:jc w:val="left"/>
              <w:rPr/>
            </w:pPr>
            <w:r>
              <w:rPr/>
              <w:t> </w:t>
            </w:r>
          </w:p>
        </w:tc>
      </w:tr>
      <w:tr>
        <w:trPr/>
        <w:tc>
          <w:tcPr>
            <w:tcW w:w="1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w:t>
            </w:r>
          </w:p>
        </w:tc>
        <w:tc>
          <w:tcPr>
            <w:tcW w:w="391" w:type="dxa"/>
            <w:tcBorders/>
            <w:shd w:fill="FFFFFF" w:val="clear"/>
            <w:vAlign w:val="center"/>
          </w:tcPr>
          <w:p>
            <w:pPr>
              <w:pStyle w:val="TableContents"/>
              <w:bidi w:val="0"/>
              <w:spacing w:before="0" w:after="283"/>
              <w:jc w:val="left"/>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Work-in-process and finished goods as of March 31, 2024 and December 31, 2023 include conversion costs and exclude the cost of insulin. All insulin inventory on hand was written off and the projected loss on the purchase commitment contract to purchase future insulin was accrued as of the end of 2016. Raw materials inventory included $0.8 million of pre-launch inventory as of March 31, 2024 and December 31, 2023, which consisted of FDKP received in November 2019.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March 31, 2024 and December 31, 2023. Inventory that was forecasted to become obsolete due to expiration as well as inventory that does not meet acceptable standards is recorded in costs of goods sold in the condensed consolidated statements of operations and a reserve for inventory in the condensed consolidated balance sheets. As a result of this assessment there were inventory write-offs of $1.0 million and $2.4 million for the three months ended March 31, 2024 and 2023,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5. Property and Equipment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Property and equipment consisted of the following (in thousands): </w:t>
      </w:r>
    </w:p>
    <w:tbl>
      <w:tblPr>
        <w:tblW w:w="8587"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252"/>
        <w:gridCol w:w="1008"/>
        <w:gridCol w:w="166"/>
        <w:gridCol w:w="146"/>
        <w:gridCol w:w="301"/>
        <w:gridCol w:w="1199"/>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2"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46,357</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60,410</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185,756</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Depreciation expense related to property and equipment was as follows (in thousands): </w:t>
      </w:r>
    </w:p>
    <w:tbl>
      <w:tblPr>
        <w:tblW w:w="4099" w:type="dxa"/>
        <w:jc w:val="left"/>
        <w:tblInd w:w="0" w:type="dxa"/>
        <w:tblLayout w:type="fixed"/>
        <w:tblCellMar>
          <w:top w:w="28" w:type="dxa"/>
          <w:left w:w="28" w:type="dxa"/>
          <w:bottom w:w="28" w:type="dxa"/>
          <w:right w:w="28" w:type="dxa"/>
        </w:tblCellMar>
      </w:tblPr>
      <w:tblGrid>
        <w:gridCol w:w="1906"/>
        <w:gridCol w:w="146"/>
        <w:gridCol w:w="211"/>
        <w:gridCol w:w="571"/>
        <w:gridCol w:w="146"/>
        <w:gridCol w:w="146"/>
        <w:gridCol w:w="211"/>
        <w:gridCol w:w="57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three months ended March 31, 2024, the Company retired $0.1 million of manufacturing equipment as it was no longer in service. The net book value for the disposed assets was </w:t>
      </w:r>
      <w:r>
        <w:rPr>
          <w:rFonts w:ascii="Times New Roman" w:hAnsi="Times New Roman"/>
          <w:i/>
          <w:color w:val="000000"/>
          <w:sz w:val="20"/>
        </w:rPr>
        <w:t>de minimis</w:t>
      </w:r>
      <w:r>
        <w:rPr>
          <w:rFonts w:ascii="Times New Roman" w:hAnsi="Times New Roman"/>
          <w:color w:val="000000"/>
          <w:sz w:val="20"/>
        </w:rPr>
        <w:t>. There were no asset retirements during the three months ended March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Goodwill and Other Intangible Asset</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 Goodwill represents the excess of the purchase price over the identifiable tangible and intangible assets acquired plus liabilities assumed arising from business combinations. The balance of goodwill was approximately $1.9 million as of March 31, 2024 and December 31, 2023 as a result of the Company's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Other Intangible Asset </w:t>
      </w:r>
      <w:r>
        <w:rPr>
          <w:rFonts w:ascii="Times New Roman" w:hAnsi="Times New Roman"/>
          <w:color w:val="000000"/>
          <w:sz w:val="20"/>
        </w:rPr>
        <w:t>— Other intangible asset consisted of the following (in thousands):</w:t>
      </w:r>
    </w:p>
    <w:tbl>
      <w:tblPr>
        <w:tblW w:w="10205" w:type="dxa"/>
        <w:jc w:val="left"/>
        <w:tblInd w:w="0" w:type="dxa"/>
        <w:tblLayout w:type="fixed"/>
        <w:tblCellMar>
          <w:top w:w="28" w:type="dxa"/>
          <w:left w:w="28" w:type="dxa"/>
          <w:bottom w:w="28" w:type="dxa"/>
          <w:right w:w="28" w:type="dxa"/>
        </w:tblCellMar>
      </w:tblPr>
      <w:tblGrid>
        <w:gridCol w:w="1472"/>
        <w:gridCol w:w="146"/>
        <w:gridCol w:w="282"/>
        <w:gridCol w:w="611"/>
        <w:gridCol w:w="146"/>
        <w:gridCol w:w="146"/>
        <w:gridCol w:w="211"/>
        <w:gridCol w:w="571"/>
        <w:gridCol w:w="146"/>
        <w:gridCol w:w="146"/>
        <w:gridCol w:w="329"/>
        <w:gridCol w:w="752"/>
        <w:gridCol w:w="166"/>
        <w:gridCol w:w="146"/>
        <w:gridCol w:w="267"/>
        <w:gridCol w:w="724"/>
        <w:gridCol w:w="146"/>
        <w:gridCol w:w="146"/>
        <w:gridCol w:w="211"/>
        <w:gridCol w:w="571"/>
        <w:gridCol w:w="146"/>
        <w:gridCol w:w="146"/>
        <w:gridCol w:w="329"/>
        <w:gridCol w:w="752"/>
        <w:gridCol w:w="166"/>
        <w:gridCol w:w="146"/>
        <w:gridCol w:w="267"/>
        <w:gridCol w:w="724"/>
        <w:gridCol w:w="194"/>
      </w:tblGrid>
      <w:tr>
        <w:trPr/>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94"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Amortization expense related to the other intangible asset was </w:t>
      </w:r>
      <w:r>
        <w:rPr>
          <w:rFonts w:ascii="Times New Roman" w:hAnsi="Times New Roman"/>
          <w:i/>
          <w:color w:val="000000"/>
          <w:sz w:val="20"/>
        </w:rPr>
        <w:t>de minimis</w:t>
      </w:r>
      <w:r>
        <w:rPr>
          <w:rFonts w:ascii="Times New Roman" w:hAnsi="Times New Roman"/>
          <w:color w:val="000000"/>
          <w:sz w:val="20"/>
        </w:rPr>
        <w:t xml:space="preserve"> for the three months ended March 31,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annual amortization expense for the other intangible asset for the years ended December 31, 2024 through 2028 will be approximately $0.1 million per year and $0.6 million, thereafter.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its other intangible asset for potential impairment when events or changes in circumstances indicate that the carrying amount of an asset or asset group may not be recoverable.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Accrued Expenses and Other Current Liabilities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were comprised of the following (in thousands): </w:t>
      </w:r>
    </w:p>
    <w:tbl>
      <w:tblPr>
        <w:tblW w:w="8180" w:type="dxa"/>
        <w:jc w:val="left"/>
        <w:tblInd w:w="0" w:type="dxa"/>
        <w:tblLayout w:type="fixed"/>
        <w:tblCellMar>
          <w:top w:w="28" w:type="dxa"/>
          <w:left w:w="28" w:type="dxa"/>
          <w:bottom w:w="28" w:type="dxa"/>
          <w:right w:w="28" w:type="dxa"/>
        </w:tblCellMar>
      </w:tblPr>
      <w:tblGrid>
        <w:gridCol w:w="4591"/>
        <w:gridCol w:w="146"/>
        <w:gridCol w:w="299"/>
        <w:gridCol w:w="961"/>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related expenses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Discounts and allowances for commercial product sales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liability</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lease liability</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milestone rights liability</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Returns reserve for acquired product</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Danbury facility buildout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 xml:space="preserve">See Note 14 </w:t>
      </w:r>
      <w:r>
        <w:rPr>
          <w:rFonts w:ascii="Times New Roman" w:hAnsi="Times New Roman"/>
          <w:color w:val="000000"/>
          <w:sz w:val="20"/>
        </w:rPr>
        <w:t xml:space="preserve">– </w:t>
      </w:r>
      <w:r>
        <w:rPr>
          <w:rFonts w:ascii="Times New Roman" w:hAnsi="Times New Roman"/>
          <w:i/>
          <w:color w:val="000000"/>
          <w:sz w:val="18"/>
        </w:rPr>
        <w:t>Commitments and Contingencies.</w:t>
      </w:r>
    </w:p>
    <w:p>
      <w:pPr>
        <w:pStyle w:val="TextBody"/>
        <w:bidi w:val="0"/>
        <w:spacing w:before="24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Borrowings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Carrying amount of the Company's borrowings consisted of the following (in thousands): </w:t>
      </w:r>
    </w:p>
    <w:tbl>
      <w:tblPr>
        <w:tblW w:w="6580" w:type="dxa"/>
        <w:jc w:val="left"/>
        <w:tblInd w:w="0" w:type="dxa"/>
        <w:tblLayout w:type="fixed"/>
        <w:tblCellMar>
          <w:top w:w="28" w:type="dxa"/>
          <w:left w:w="28" w:type="dxa"/>
          <w:bottom w:w="28" w:type="dxa"/>
          <w:right w:w="28" w:type="dxa"/>
        </w:tblCellMar>
      </w:tblPr>
      <w:tblGrid>
        <w:gridCol w:w="2991"/>
        <w:gridCol w:w="146"/>
        <w:gridCol w:w="268"/>
        <w:gridCol w:w="992"/>
        <w:gridCol w:w="146"/>
        <w:gridCol w:w="146"/>
        <w:gridCol w:w="319"/>
        <w:gridCol w:w="1181"/>
        <w:gridCol w:w="39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226,851</w:t>
            </w:r>
          </w:p>
        </w:tc>
        <w:tc>
          <w:tcPr>
            <w:tcW w:w="391" w:type="dxa"/>
            <w:tcBorders/>
            <w:shd w:fill="CFF0FC" w:val="clear"/>
            <w:vAlign w:val="center"/>
          </w:tcPr>
          <w:p>
            <w:pPr>
              <w:pStyle w:val="TableContents"/>
              <w:bidi w:val="0"/>
              <w:spacing w:before="0" w:after="283"/>
              <w:jc w:val="left"/>
              <w:rPr/>
            </w:pPr>
            <w:r>
              <w:rPr/>
              <w:t> </w:t>
            </w:r>
          </w:p>
        </w:tc>
      </w:tr>
      <w:tr>
        <w:trPr/>
        <w:tc>
          <w:tcPr>
            <w:tcW w:w="2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33,019</w:t>
            </w:r>
          </w:p>
        </w:tc>
        <w:tc>
          <w:tcPr>
            <w:tcW w:w="391" w:type="dxa"/>
            <w:tcBorders/>
            <w:shd w:fill="FFFFFF" w:val="clear"/>
            <w:vAlign w:val="center"/>
          </w:tcPr>
          <w:p>
            <w:pPr>
              <w:pStyle w:val="TableContents"/>
              <w:bidi w:val="0"/>
              <w:spacing w:before="0" w:after="283"/>
              <w:jc w:val="left"/>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debt – net carrying amount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provides a summary of the Company’s principal balance of debt and key terms: </w:t>
      </w:r>
    </w:p>
    <w:tbl>
      <w:tblPr>
        <w:tblW w:w="10096" w:type="dxa"/>
        <w:jc w:val="left"/>
        <w:tblInd w:w="0" w:type="dxa"/>
        <w:tblLayout w:type="fixed"/>
        <w:tblCellMar>
          <w:top w:w="28" w:type="dxa"/>
          <w:left w:w="28" w:type="dxa"/>
          <w:bottom w:w="28" w:type="dxa"/>
          <w:right w:w="28" w:type="dxa"/>
        </w:tblCellMar>
      </w:tblPr>
      <w:tblGrid>
        <w:gridCol w:w="2536"/>
        <w:gridCol w:w="146"/>
        <w:gridCol w:w="1321"/>
        <w:gridCol w:w="146"/>
        <w:gridCol w:w="1501"/>
        <w:gridCol w:w="146"/>
        <w:gridCol w:w="1231"/>
        <w:gridCol w:w="146"/>
        <w:gridCol w:w="1381"/>
        <w:gridCol w:w="146"/>
        <w:gridCol w:w="1396"/>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Terms</w:t>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Interest</w:t>
              <w:br/>
              <w: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Conversion Price</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 million</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 million</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2026</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$5.21 </w:t>
              <w:br/>
              <w:t>per share</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$28.3 million</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 million</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one-month</w:t>
              <w:br/>
              <w:t>SOFR</w:t>
              <w:br/>
              <w:t>(1% floor)</w:t>
              <w:br/>
              <w:t>plus 6.25%;</w:t>
              <w:br/>
              <w:t>cap of 8.25%</w:t>
            </w:r>
          </w:p>
        </w:tc>
        <w:tc>
          <w:tcPr>
            <w:tcW w:w="146" w:type="dxa"/>
            <w:tcBorders/>
            <w:shd w:fill="FFFFFF" w:val="clear"/>
            <w:vAlign w:val="center"/>
          </w:tcPr>
          <w:p>
            <w:pPr>
              <w:pStyle w:val="TableContents"/>
              <w:bidi w:val="0"/>
              <w:spacing w:before="0" w:after="283"/>
              <w:jc w:val="center"/>
              <w:rPr/>
            </w:pPr>
            <w:r>
              <w:rPr/>
              <w:t> </w:t>
            </w:r>
          </w:p>
        </w:tc>
        <w:tc>
          <w:tcPr>
            <w:tcW w:w="13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2025</w:t>
            </w:r>
          </w:p>
        </w:tc>
        <w:tc>
          <w:tcPr>
            <w:tcW w:w="146"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million</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million</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2025</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br/>
              <w:t>per share</w:t>
            </w:r>
          </w:p>
        </w:tc>
      </w:tr>
    </w:tbl>
    <w:p>
      <w:pPr>
        <w:pStyle w:val="TextBody"/>
        <w:bidi w:val="0"/>
        <w:spacing w:before="240" w:after="240"/>
        <w:jc w:val="left"/>
        <w:rPr>
          <w:rFonts w:ascii="Times New Roman" w:hAnsi="Times New Roman"/>
          <w:sz w:val="20"/>
        </w:rPr>
      </w:pPr>
      <w:r>
        <w:rPr>
          <w:rFonts w:ascii="Times New Roman" w:hAnsi="Times New Roman"/>
          <w:color w:val="000000"/>
          <w:sz w:val="20"/>
        </w:rPr>
        <w:t xml:space="preserve">In early April 2024, the Company repaid all obligations owed under the MidCap credit facility and the Mann Group convertible notes. See Note 16 – </w:t>
      </w:r>
      <w:r>
        <w:rPr>
          <w:rFonts w:ascii="Times New Roman" w:hAnsi="Times New Roman"/>
          <w:i/>
          <w:color w:val="000000"/>
          <w:sz w:val="20"/>
        </w:rPr>
        <w:t>Subsequent Events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maturities of the Company’s borrowings as of March 31, 2024 are as follows (in thousands):</w:t>
      </w:r>
    </w:p>
    <w:tbl>
      <w:tblPr>
        <w:tblW w:w="5305" w:type="dxa"/>
        <w:jc w:val="left"/>
        <w:tblInd w:w="0" w:type="dxa"/>
        <w:tblLayout w:type="fixed"/>
        <w:tblCellMar>
          <w:top w:w="28" w:type="dxa"/>
          <w:left w:w="28" w:type="dxa"/>
          <w:bottom w:w="28" w:type="dxa"/>
          <w:right w:w="28" w:type="dxa"/>
        </w:tblCellMar>
      </w:tblPr>
      <w:tblGrid>
        <w:gridCol w:w="3556"/>
        <w:gridCol w:w="346"/>
        <w:gridCol w:w="211"/>
        <w:gridCol w:w="781"/>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w:t>
            </w:r>
          </w:p>
        </w:tc>
        <w:tc>
          <w:tcPr>
            <w:tcW w:w="4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5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267,163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and prepayment fee</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Senior convertible notes </w:t>
      </w:r>
      <w:r>
        <w:rPr>
          <w:rFonts w:ascii="Times New Roman" w:hAnsi="Times New Roman"/>
          <w:color w:val="000000"/>
          <w:sz w:val="20"/>
        </w:rPr>
        <w:t>– In March 2021, the Company issued $230.0 million aggregate principal amount of Senior convertible notes in a private offering. The Senior convertible notes were issued pursuant to an indenture, dated March 4, 2021 (the “Indenture”), between the Company and U.S. Bank National Association, as trustee.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Senior convertible notes are general unsecured obligations of the Company and will mature on March 1, 2026, unless earlier converted, redeemed or repurchased by the Company.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Indenture includes customary covenants and sets forth certain events of default after which the Senior convertible notes may be declared immediately due and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proceeds from the March 2021 offering were approximately $222.7 million, after deducting the initial purchasers’ discounts and commissions and the estimated offering expenses payable by the Company. As of March 31, 2024, the unamortized debt issuance cost was $2.8 million.</w:t>
      </w:r>
    </w:p>
    <w:p>
      <w:pPr>
        <w:pStyle w:val="TextBody"/>
        <w:bidi w:val="0"/>
        <w:spacing w:before="240" w:after="283"/>
        <w:jc w:val="left"/>
        <w:rPr>
          <w:rFonts w:ascii="Times New Roman" w:hAnsi="Times New Roman"/>
          <w:sz w:val="20"/>
        </w:rPr>
      </w:pPr>
      <w:r>
        <w:rPr>
          <w:rFonts w:ascii="Times New Roman" w:hAnsi="Times New Roman"/>
          <w:i/>
          <w:color w:val="000000"/>
          <w:sz w:val="20"/>
        </w:rPr>
        <w:t>MidCap credit facility</w:t>
      </w:r>
      <w:r>
        <w:rPr>
          <w:rFonts w:ascii="Times New Roman" w:hAnsi="Times New Roman"/>
          <w:color w:val="000000"/>
          <w:sz w:val="20"/>
        </w:rPr>
        <w:t xml:space="preserve"> — In August 2019, the Company entered into the MidCap credit facility and borrowed the first advance of $40.0 million (“Tranche 1”) in August 2019 and the second advance of $10.0 million (“Tranche 2”) in December 2020. In April 2021, $10.0 million was prepaid. Under the terms of the MidCap credit facility, a third advance of $60.0 million (“Tranche 3”) became available to the Company after the Tyvaso DPI approval by the FDA through June 30, 2022 (see Note 9 – </w:t>
      </w:r>
      <w:r>
        <w:rPr>
          <w:rFonts w:ascii="Times New Roman" w:hAnsi="Times New Roman"/>
          <w:i/>
          <w:color w:val="000000"/>
          <w:sz w:val="20"/>
        </w:rPr>
        <w:t>Collaboration, Licensing and Other Arrangements</w:t>
      </w:r>
      <w:r>
        <w:rPr>
          <w:rFonts w:ascii="Times New Roman" w:hAnsi="Times New Roman"/>
          <w:color w:val="000000"/>
          <w:sz w:val="20"/>
        </w:rPr>
        <w:t xml:space="preserve">). The Company did not exercise its right to borrow Tranche 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an April 2021 amendment to the MidCap credit facility,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 The prepayment penalty of $1.0 million related to the payment of $10.0 million was capitalized and amortized over the remaining life of the debt. As of March 31, 2024, the unamortized debt discount was $0.1 million and the unamortized prepayment penalty was $0.2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Tranche 1 and Tranche 2 accrued interest at an annual rate equal to the lesser of (i) 8.25% and (ii) the one-month Secured Overnight Financing Rate ("SOFR") (subject to a one-month SOFR floor of 1.00%) plus 6.25%. Interest on each term loan advance was due and payable monthly in arrears. Principal on each term loan advance under Tranche 1 and Tranche 2 was payable in 24 equal monthly installments that began September 1, 2023.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1, 2024, the Company exercised its option to prepay the existing term loans in whole in exchange for a payment of approximately $31.6 million, which included an early termination fee in an amount equal to 1.00% of principal prepaid as well as an exit fee in an amount equal to 7.00% of the initial Tranche 1 balance of $40.0 million. See Note 16 –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obligations under the MidCap credit facility were secured by a security interest on substantially all of its assets, including intellectual property, all of which were released as of April 2,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MidCap credit facility, as amended, contained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was also required to comply with a financial covenant relating to trailing twelve month minimum Afrezza net revenue, tested on a monthly basis, unless the Company has $90.0 million or more of unrestricted cash and short-term investments. As of March 31, 2024, the Company was in compliance with the financial covenant.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MidCap credit facility also contained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could have declared all or a portion of the Company’s outstanding obligations to be immediately due and payable and exercise other rights and remedies provided for under the MidCap credit facility. During the existence of an event of default, interest on the term loans could have been increased by 2.00%.</w:t>
      </w:r>
    </w:p>
    <w:p>
      <w:pPr>
        <w:pStyle w:val="TextBody"/>
        <w:bidi w:val="0"/>
        <w:spacing w:before="240" w:after="283"/>
        <w:jc w:val="left"/>
        <w:rPr>
          <w:rFonts w:ascii="Times New Roman" w:hAnsi="Times New Roman"/>
          <w:sz w:val="20"/>
        </w:rPr>
      </w:pPr>
      <w:r>
        <w:rPr>
          <w:rFonts w:ascii="Times New Roman" w:hAnsi="Times New Roman"/>
          <w:i/>
          <w:color w:val="000000"/>
          <w:sz w:val="20"/>
        </w:rPr>
        <w:t>Mann Group convertible note</w:t>
      </w:r>
      <w:r>
        <w:rPr>
          <w:rFonts w:ascii="Times New Roman" w:hAnsi="Times New Roman"/>
          <w:color w:val="000000"/>
          <w:sz w:val="20"/>
        </w:rPr>
        <w:t xml:space="preserve"> — In August 2019, the Company issued a $35.0 million note that is convertible into shares of the Company’s common stock at $2.50 per share (the “Mann Group convertible note”) as part of a restructuring of its then existing indebtedness to Mann Group.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Mann Group convertible note accrued interest at the rate of 2.5% per year on the principal amount, payable quarterly in arrears on the first day of each calendar quarter, with a maturity date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and any accrued and unpaid interest under the Mann Group convertible note was convertible,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Interest on the convertible note was payable in kind by adding the amount thereof to the principal amount; provided that with respect to interest accruing from and after January 1, 2021, the Company had the option to pay any such interest on any interest payment date, if certain conditions are met, in shares of the Company’s common stock at a price per shall equal to the last reported sale price on the trading day immediately prior to the payment date.</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During the three months ended March 31, 2023, Mann Group converted $0.1 million of interest into 10,491 shares of common stock. During the three months ended March 31, 2024, Mann group converted $0.1 million of interest into 15,285 shares of common stock. On April 2, 2024, the Company and Mann Group agreed to discharge and terminate the Mann Group convertible note in exchange for (i) the Company’s issuance to Mann Group of 1,500,000 shares of the Company’s common stock and (ii) the Company’s payment to Mann Group of approximately $8.9 million. See Note 16 –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Amortization of the premium and accretion of debt issuance costs related to all borrowings were as follows (in thousands):</w:t>
      </w:r>
    </w:p>
    <w:tbl>
      <w:tblPr>
        <w:tblW w:w="6094" w:type="dxa"/>
        <w:jc w:val="left"/>
        <w:tblInd w:w="0" w:type="dxa"/>
        <w:tblLayout w:type="fixed"/>
        <w:tblCellMar>
          <w:top w:w="28" w:type="dxa"/>
          <w:left w:w="28" w:type="dxa"/>
          <w:bottom w:w="28" w:type="dxa"/>
          <w:right w:w="28" w:type="dxa"/>
        </w:tblCellMar>
      </w:tblPr>
      <w:tblGrid>
        <w:gridCol w:w="4201"/>
        <w:gridCol w:w="146"/>
        <w:gridCol w:w="211"/>
        <w:gridCol w:w="421"/>
        <w:gridCol w:w="146"/>
        <w:gridCol w:w="146"/>
        <w:gridCol w:w="211"/>
        <w:gridCol w:w="42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prepayment fee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Collaboration, Licensing and Other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Revenue from collaborations and services were as follows (in thousands):</w:t>
      </w:r>
    </w:p>
    <w:tbl>
      <w:tblPr>
        <w:tblW w:w="6719"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CSA</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License Agreement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Cipla License and Distribution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 from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consist of revenue recognized for Manufacturing Services and Product Sales to UT for the periods presented.</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color w:val="000000"/>
          <w:sz w:val="18"/>
        </w:rPr>
      </w:pPr>
      <w:r>
        <w:rPr>
          <w:rFonts w:ascii="Times New Roman" w:hAnsi="Times New Roman"/>
          <w:color w:val="000000"/>
          <w:sz w:val="18"/>
        </w:rPr>
        <w:t>Amounts consist of revenue recognized for Next-Gen R&amp;D Services and R&amp;D Services and License for the periods presented.</w:t>
      </w:r>
    </w:p>
    <w:p>
      <w:pPr>
        <w:pStyle w:val="TextBody"/>
        <w:bidi w:val="0"/>
        <w:spacing w:before="240" w:after="283"/>
        <w:jc w:val="left"/>
        <w:rPr>
          <w:rFonts w:ascii="Times New Roman" w:hAnsi="Times New Roman"/>
          <w:sz w:val="20"/>
        </w:rPr>
      </w:pPr>
      <w:r>
        <w:rPr>
          <w:rFonts w:ascii="Times New Roman" w:hAnsi="Times New Roman"/>
          <w:i/>
          <w:color w:val="000000"/>
          <w:sz w:val="20"/>
        </w:rPr>
        <w:t>United Therapeutics License Agreement</w:t>
      </w:r>
      <w:r>
        <w:rPr>
          <w:rFonts w:ascii="Times New Roman" w:hAnsi="Times New Roman"/>
          <w:color w:val="000000"/>
          <w:sz w:val="20"/>
        </w:rPr>
        <w:t xml:space="preserve"> — In September 2018, the Company and UT entered into an exclusive global license and collaboration agreement (the “UT License Agreement”), pursuant to which UT is responsible for global development, regulatory and commercial activities with respect to Tyvaso DPI. The Company is responsible for manufacturing Tyvaso DPI.</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revenue from UT was as follows (in thousands):</w:t>
      </w:r>
    </w:p>
    <w:tbl>
      <w:tblPr>
        <w:tblW w:w="5214" w:type="dxa"/>
        <w:jc w:val="left"/>
        <w:tblInd w:w="0" w:type="dxa"/>
        <w:tblLayout w:type="fixed"/>
        <w:tblCellMar>
          <w:top w:w="28" w:type="dxa"/>
          <w:left w:w="28" w:type="dxa"/>
          <w:bottom w:w="28" w:type="dxa"/>
          <w:right w:w="28" w:type="dxa"/>
        </w:tblCellMar>
      </w:tblPr>
      <w:tblGrid>
        <w:gridCol w:w="2611"/>
        <w:gridCol w:w="146"/>
        <w:gridCol w:w="211"/>
        <w:gridCol w:w="676"/>
        <w:gridCol w:w="146"/>
        <w:gridCol w:w="146"/>
        <w:gridCol w:w="211"/>
        <w:gridCol w:w="676"/>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CSA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3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 Collaborations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 from UT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Amounts consist of royalties associated with the UT License Agreement. The contract assets related to the royalties is included in prepaid expense and other current assets in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2018, the Company and UT entered into the UT License Agreement for the collaboration and development of Tyvaso DPI. Pursuant to this agreement, the Company receives a 10% royalty on net sales of Tyvaso DPI. In December 2023, the Company sold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activities and deliverables under the CSA and UT License Agreement resulted in distinct performance obligations which include the: (1) R&amp;D Services and License, (2) Next-Gen R&amp;D Services, and (3) Manufacturing Services and Product Sales.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 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modification. The modification did not result in a change in the activities and deliverables under the CSA.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December 2022, the Company and UT agreed to fund an additional $39.5 million to support capital and continuous improvement activities and $2.3 million in the development of alternative manufacturing processes. The Company determined that the capital and continuous improvements should be combined with the manufacturing services performance obligation and the alternative manufacturing processes should be combined with the Next-Gen R&amp;D Services. The total revised anticipated cash flows of $722.3 million from the transaction was allocated to the three distinct performance obligations as follows (dollars in millions):</w:t>
      </w:r>
    </w:p>
    <w:tbl>
      <w:tblPr>
        <w:tblW w:w="10205" w:type="dxa"/>
        <w:jc w:val="left"/>
        <w:tblInd w:w="0" w:type="dxa"/>
        <w:tblLayout w:type="fixed"/>
        <w:tblCellMar>
          <w:top w:w="28" w:type="dxa"/>
          <w:left w:w="28" w:type="dxa"/>
          <w:bottom w:w="28" w:type="dxa"/>
          <w:right w:w="28" w:type="dxa"/>
        </w:tblCellMar>
      </w:tblPr>
      <w:tblGrid>
        <w:gridCol w:w="2425"/>
        <w:gridCol w:w="146"/>
        <w:gridCol w:w="227"/>
        <w:gridCol w:w="616"/>
        <w:gridCol w:w="146"/>
        <w:gridCol w:w="146"/>
        <w:gridCol w:w="354"/>
        <w:gridCol w:w="965"/>
        <w:gridCol w:w="146"/>
        <w:gridCol w:w="146"/>
        <w:gridCol w:w="1399"/>
        <w:gridCol w:w="146"/>
        <w:gridCol w:w="1205"/>
        <w:gridCol w:w="146"/>
        <w:gridCol w:w="1797"/>
        <w:gridCol w:w="195"/>
      </w:tblGrid>
      <w:tr>
        <w:trPr/>
        <w:tc>
          <w:tcPr>
            <w:tcW w:w="2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Anticipated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Recognition Method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Progress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br/>
              <w:t>Recognition</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anticipated cash flow</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Distinct Performance Obligation</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Services and License</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Over time</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Ratably</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2021 - Oct 2021</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Next-Gen R&amp;D Services</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Over time</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Input</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of completion of costs</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Manufacturing Services and</w:t>
              <w:br/>
              <w:t>   Product Sales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Point in time</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Transfer of control</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120"/>
        <w:jc w:val="left"/>
        <w:rPr>
          <w:rFonts w:ascii="Times New Roman" w:hAnsi="Times New Roman"/>
          <w:sz w:val="20"/>
        </w:rPr>
      </w:pPr>
      <w:r>
        <w:rPr>
          <w:rFonts w:ascii="Times New Roman" w:hAnsi="Times New Roman"/>
          <w:color w:val="000000"/>
          <w:sz w:val="18"/>
        </w:rPr>
        <w:t>The total anticipated cash flow includes a transaction price of $120.0</w:t>
      </w:r>
      <w:r>
        <w:rPr>
          <w:rFonts w:ascii="Times New Roman" w:hAnsi="Times New Roman"/>
          <w:color w:val="000000"/>
          <w:sz w:val="20"/>
        </w:rPr>
        <w:t xml:space="preserve"> </w:t>
      </w:r>
      <w:r>
        <w:rPr>
          <w:rFonts w:ascii="Times New Roman" w:hAnsi="Times New Roman"/>
          <w:color w:val="000000"/>
          <w:sz w:val="18"/>
        </w:rPr>
        <w:t>million for the contractual obligations under the CSA for the Manufacturing Services and Product Sales and the Next-Gen R&amp;D Services performance obligations and $602.3</w:t>
      </w:r>
      <w:r>
        <w:rPr>
          <w:rFonts w:ascii="Times New Roman" w:hAnsi="Times New Roman"/>
          <w:color w:val="000000"/>
          <w:sz w:val="20"/>
        </w:rPr>
        <w:t xml:space="preserve"> </w:t>
      </w:r>
      <w:r>
        <w:rPr>
          <w:rFonts w:ascii="Times New Roman" w:hAnsi="Times New Roman"/>
          <w:color w:val="000000"/>
          <w:sz w:val="18"/>
        </w:rPr>
        <w:t>million for future supply of Tyvaso DPI over the remaining term of the CSA.</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sz w:val="20"/>
        </w:rPr>
      </w:pPr>
      <w:r>
        <w:rPr>
          <w:rFonts w:ascii="Times New Roman" w:hAnsi="Times New Roman"/>
          <w:color w:val="000000"/>
          <w:sz w:val="18"/>
        </w:rPr>
        <w:t>The Manufacturing Services and Product Sales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and Product Sales includes a material right related to the Company’s estimated production of product in the amount of $220.8</w:t>
      </w:r>
      <w:r>
        <w:rPr>
          <w:rFonts w:ascii="Times New Roman" w:hAnsi="Times New Roman"/>
          <w:color w:val="000000"/>
          <w:sz w:val="20"/>
        </w:rPr>
        <w:t xml:space="preserve"> </w:t>
      </w:r>
      <w:r>
        <w:rPr>
          <w:rFonts w:ascii="Times New Roman" w:hAnsi="Times New Roman"/>
          <w:color w:val="000000"/>
          <w:sz w:val="18"/>
        </w:rPr>
        <w:t>million. The Company will sell product to UT under individual purchase orders, which represent distinct performance obligations. The ultimate cash flows may vary as manufacturing purchase orders are received.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February 2024, the Company began in-house kitting of certain Tyvaso DPI stock-keeping units. The Company's obligation to perform such in-house kitting will be accounted for separately as it is distinct from Manufacturing Services and Product Sales and offered at a standalone selling price. Revenue for in-house kitting will be recognized at a point in time as services are rendered.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deferred revenue consisted of $74.0 million, of which $7.4 million was classified as current and $66.6 million was classified as long-term on the condensed consolidated balance sheet. As of December 31, 2023, deferred revenue consisted of $77.5 million, of which $8.9 million was classified as current and $68.6 million was classified as long-term on the condensed consolidated balance sheet. The Company determined that the revenue recognition associated with the capital improvements should be combined with the Manufacturing Services and Product Sales performance obligation.</w:t>
      </w:r>
    </w:p>
    <w:p>
      <w:pPr>
        <w:pStyle w:val="TextBody"/>
        <w:bidi w:val="0"/>
        <w:spacing w:before="240" w:after="283"/>
        <w:jc w:val="left"/>
        <w:rPr>
          <w:rFonts w:ascii="Times New Roman" w:hAnsi="Times New Roman"/>
          <w:sz w:val="20"/>
        </w:rPr>
      </w:pPr>
      <w:r>
        <w:rPr>
          <w:rFonts w:ascii="Times New Roman" w:hAnsi="Times New Roman"/>
          <w:i/>
          <w:color w:val="000000"/>
          <w:sz w:val="20"/>
        </w:rPr>
        <w:t>Thirona Collaboration Agreement</w:t>
      </w:r>
      <w:r>
        <w:rPr>
          <w:rFonts w:ascii="Times New Roman" w:hAnsi="Times New Roman"/>
          <w:color w:val="000000"/>
          <w:sz w:val="20"/>
        </w:rPr>
        <w:t xml:space="preserve"> — In June 2021, the Company and Thirona entered into a collaboration agreement to evaluate the therapeutic potential of Thirona’s compound for the treatment of fibrotic pulmonary diseases. If initial studies are promising, the Company can exercise certain rights to seek a full license to the compound for clinical development and commercialization.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will perform their respective obligations and provide reasonable support for research, clinical development and regulatory strategy. The collaboration agreement was accounted for under ASC 808, Collaborative Agreements; however, no consideration was exchanged between the parties. The costs incurred by the Company were expensed as R&amp;D in the condensed consolidated statements of operations. On February 28, 2023, the collaboration agreement was amended to extend the term through June 2024. In accordance with the amendment, the Company agreed to fund a minimum of $1.1 million to be expended on a revised development plan prepared by Thirona, of which $0.9 million has been funded through March 31, 2024. </w:t>
      </w:r>
    </w:p>
    <w:p>
      <w:pPr>
        <w:pStyle w:val="TextBody"/>
        <w:bidi w:val="0"/>
        <w:spacing w:before="240" w:after="283"/>
        <w:jc w:val="left"/>
        <w:rPr>
          <w:rFonts w:ascii="Times New Roman" w:hAnsi="Times New Roman"/>
          <w:sz w:val="20"/>
        </w:rPr>
      </w:pPr>
      <w:r>
        <w:rPr>
          <w:rFonts w:ascii="Times New Roman" w:hAnsi="Times New Roman"/>
          <w:i/>
          <w:color w:val="000000"/>
          <w:sz w:val="20"/>
        </w:rPr>
        <w:t>Biomm Supply and Distribution Agreement</w:t>
      </w:r>
      <w:r>
        <w:rPr>
          <w:rFonts w:ascii="Times New Roman" w:hAnsi="Times New Roman"/>
          <w:color w:val="000000"/>
          <w:sz w:val="20"/>
        </w:rPr>
        <w:t xml:space="preserve"> — In May 2017, the Company and Biomm S.A. ("Biomm") entered into a supply and distribution agreement 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shipments of product were made to Biomm in 2023 or the first quarter of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Cipla License and Distribution Agreement </w:t>
      </w:r>
      <w:r>
        <w:rPr>
          <w:rFonts w:ascii="Times New Roman" w:hAnsi="Times New Roman"/>
          <w:color w:val="000000"/>
          <w:sz w:val="20"/>
        </w:rPr>
        <w:t>— In May 2018, the Company and Cipla Ltd. (“Cipla”) entered into an exclusive agreement for the marketing 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the deferred revenue balance was $1.3 million, of which $0.1 million was classified as current and $1.2 million was classified as long term in the condensed consolidated balance sheets. As of December 31, 2023, the deferred revenue balance was $1.4 million, of which $0.2 million was classified as current and $1.2 million was classified as long term in the condensed consolidated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and Financing liability are disclosed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Financial Liabilities</w:t>
      </w:r>
      <w:r>
        <w:rPr>
          <w:rFonts w:ascii="Times New Roman" w:hAnsi="Times New Roman"/>
          <w:color w:val="000000"/>
          <w:sz w:val="20"/>
        </w:rPr>
        <w:t xml:space="preserve"> — The following tables set forth the fair value of the Company’s financial instruments (Level 3 in the fair value hierarchy) (in millions): </w:t>
      </w:r>
    </w:p>
    <w:tbl>
      <w:tblPr>
        <w:tblW w:w="6640" w:type="dxa"/>
        <w:jc w:val="left"/>
        <w:tblInd w:w="0" w:type="dxa"/>
        <w:tblLayout w:type="fixed"/>
        <w:tblCellMar>
          <w:top w:w="28" w:type="dxa"/>
          <w:left w:w="28" w:type="dxa"/>
          <w:bottom w:w="28" w:type="dxa"/>
          <w:right w:w="28" w:type="dxa"/>
        </w:tblCellMar>
      </w:tblPr>
      <w:tblGrid>
        <w:gridCol w:w="3321"/>
        <w:gridCol w:w="146"/>
        <w:gridCol w:w="336"/>
        <w:gridCol w:w="909"/>
        <w:gridCol w:w="146"/>
        <w:gridCol w:w="146"/>
        <w:gridCol w:w="335"/>
        <w:gridCol w:w="910"/>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Contingent milestone liability</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Liability for sale of future royalties</w:t>
            </w:r>
            <w:r>
              <w:rPr>
                <w:rFonts w:ascii="Times New Roman" w:hAnsi="Times New Roman"/>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11%, volatility of 59.9% and a Monte Carlo simulation for the value of the conversion feature. A change in yield of + or – 2% would result in a fair value of $239.8</w:t>
      </w:r>
      <w:r>
        <w:rPr>
          <w:rFonts w:ascii="Times New Roman" w:hAnsi="Times New Roman"/>
          <w:color w:val="000000"/>
          <w:sz w:val="20"/>
        </w:rPr>
        <w:t xml:space="preserve"> </w:t>
      </w:r>
      <w:r>
        <w:rPr>
          <w:rFonts w:ascii="Times New Roman" w:hAnsi="Times New Roman"/>
          <w:color w:val="000000"/>
          <w:sz w:val="18"/>
        </w:rPr>
        <w:t>million and $253.3</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12%. A change in yield of + or – 2% would result in a fair value of $29.7</w:t>
      </w:r>
      <w:r>
        <w:rPr>
          <w:rFonts w:ascii="Times New Roman" w:hAnsi="Times New Roman"/>
          <w:color w:val="000000"/>
          <w:sz w:val="20"/>
        </w:rPr>
        <w:t xml:space="preserve"> </w:t>
      </w:r>
      <w:r>
        <w:rPr>
          <w:rFonts w:ascii="Times New Roman" w:hAnsi="Times New Roman"/>
          <w:color w:val="000000"/>
          <w:sz w:val="18"/>
        </w:rPr>
        <w:t>million and $30.4</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The fair value was determined by applying a discounted cash flow analysis with a hypothetical yield of 13% and volatility of 55.6% to the straight note and a binomial option pricing model for the value of the conversion feature. A change in yield of + or – 2% would result in a fair value of $16.9</w:t>
      </w:r>
      <w:r>
        <w:rPr>
          <w:rFonts w:ascii="Times New Roman" w:hAnsi="Times New Roman"/>
          <w:color w:val="000000"/>
          <w:sz w:val="20"/>
        </w:rPr>
        <w:t xml:space="preserve"> </w:t>
      </w:r>
      <w:r>
        <w:rPr>
          <w:rFonts w:ascii="Times New Roman" w:hAnsi="Times New Roman"/>
          <w:color w:val="000000"/>
          <w:sz w:val="18"/>
        </w:rPr>
        <w:t>million and $17.4</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4.2%, dividend yield of 0%, volatility of 50%, period of 7.75</w:t>
      </w:r>
      <w:r>
        <w:rPr>
          <w:rFonts w:ascii="Times New Roman" w:hAnsi="Times New Roman"/>
          <w:color w:val="000000"/>
          <w:sz w:val="20"/>
        </w:rPr>
        <w:t xml:space="preserve"> </w:t>
      </w:r>
      <w:r>
        <w:rPr>
          <w:rFonts w:ascii="Times New Roman" w:hAnsi="Times New Roman"/>
          <w:color w:val="000000"/>
          <w:sz w:val="18"/>
        </w:rPr>
        <w:t>years and credit risk of 17%.</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(5)</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4.29%, dividend yield of 0%, volatility of 43%, period of 13.75</w:t>
      </w:r>
      <w:r>
        <w:rPr>
          <w:rFonts w:ascii="Times New Roman" w:hAnsi="Times New Roman"/>
          <w:color w:val="000000"/>
          <w:sz w:val="20"/>
        </w:rPr>
        <w:t xml:space="preserve"> </w:t>
      </w:r>
      <w:r>
        <w:rPr>
          <w:rFonts w:ascii="Times New Roman" w:hAnsi="Times New Roman"/>
          <w:color w:val="000000"/>
          <w:sz w:val="18"/>
        </w:rPr>
        <w:t xml:space="preserve">years and credit risk of 17%.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(6)</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9.5%.</w:t>
      </w:r>
      <w:r>
        <w:rPr>
          <w:rFonts w:ascii="Times New Roman" w:hAnsi="Times New Roman"/>
          <w:color w:val="000000"/>
          <w:sz w:val="20"/>
        </w:rPr>
        <w:t xml:space="preserve"> </w:t>
      </w:r>
      <w:r>
        <w:rPr>
          <w:rFonts w:ascii="Times New Roman" w:hAnsi="Times New Roman"/>
          <w:color w:val="000000"/>
          <w:sz w:val="18"/>
        </w:rPr>
        <w:t>A change in yield of + or – 2% would result in a fair value of $94.0</w:t>
      </w:r>
      <w:r>
        <w:rPr>
          <w:rFonts w:ascii="Times New Roman" w:hAnsi="Times New Roman"/>
          <w:color w:val="000000"/>
          <w:sz w:val="20"/>
        </w:rPr>
        <w:t xml:space="preserve"> </w:t>
      </w:r>
      <w:r>
        <w:rPr>
          <w:rFonts w:ascii="Times New Roman" w:hAnsi="Times New Roman"/>
          <w:color w:val="000000"/>
          <w:sz w:val="18"/>
        </w:rPr>
        <w:t>million and $122.4</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(7)</w:t>
      </w:r>
    </w:p>
    <w:p>
      <w:pPr>
        <w:pStyle w:val="TextBody"/>
        <w:bidi w:val="0"/>
        <w:spacing w:before="0" w:after="240"/>
        <w:jc w:val="left"/>
        <w:rPr>
          <w:rFonts w:ascii="Times New Roman" w:hAnsi="Times New Roman"/>
          <w:sz w:val="20"/>
        </w:rPr>
      </w:pPr>
      <w:r>
        <w:rPr>
          <w:rFonts w:ascii="Times New Roman" w:hAnsi="Times New Roman"/>
          <w:color w:val="000000"/>
          <w:sz w:val="18"/>
        </w:rPr>
        <w:t>At March 31, 2024, fair value was determined by applying a discounted cash flow analysis with a hypothetical yield of 11%. A change in yield of + or – 2% would result in a fair value of $139.6</w:t>
      </w:r>
      <w:r>
        <w:rPr>
          <w:rFonts w:ascii="Times New Roman" w:hAnsi="Times New Roman"/>
          <w:color w:val="000000"/>
          <w:sz w:val="20"/>
        </w:rPr>
        <w:t xml:space="preserve"> </w:t>
      </w:r>
      <w:r>
        <w:rPr>
          <w:rFonts w:ascii="Times New Roman" w:hAnsi="Times New Roman"/>
          <w:color w:val="000000"/>
          <w:sz w:val="18"/>
        </w:rPr>
        <w:t>million and $184.4</w:t>
      </w:r>
      <w:r>
        <w:rPr>
          <w:rFonts w:ascii="Times New Roman" w:hAnsi="Times New Roman"/>
          <w:color w:val="000000"/>
          <w:sz w:val="20"/>
        </w:rPr>
        <w:t xml:space="preserve"> </w:t>
      </w:r>
      <w:r>
        <w:rPr>
          <w:rFonts w:ascii="Times New Roman" w:hAnsi="Times New Roman"/>
          <w:color w:val="000000"/>
          <w:sz w:val="18"/>
        </w:rPr>
        <w:t>million, respectively. At December 31, 2023, the carrying value approximated the fair value.</w:t>
      </w:r>
    </w:p>
    <w:tbl>
      <w:tblPr>
        <w:tblW w:w="6280" w:type="dxa"/>
        <w:jc w:val="left"/>
        <w:tblInd w:w="0" w:type="dxa"/>
        <w:tblLayout w:type="fixed"/>
        <w:tblCellMar>
          <w:top w:w="28" w:type="dxa"/>
          <w:left w:w="28" w:type="dxa"/>
          <w:bottom w:w="28" w:type="dxa"/>
          <w:right w:w="28" w:type="dxa"/>
        </w:tblCellMar>
      </w:tblPr>
      <w:tblGrid>
        <w:gridCol w:w="2961"/>
        <w:gridCol w:w="146"/>
        <w:gridCol w:w="336"/>
        <w:gridCol w:w="909"/>
        <w:gridCol w:w="146"/>
        <w:gridCol w:w="146"/>
        <w:gridCol w:w="335"/>
        <w:gridCol w:w="910"/>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Contingent milestone liability</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11%, volatility of 62.7% and a Monte Carlo simulation for the value of the conversion feature. A change in yield of + or – 2% would result in a fair value of $224.1</w:t>
      </w:r>
      <w:r>
        <w:rPr>
          <w:rFonts w:ascii="Times New Roman" w:hAnsi="Times New Roman"/>
          <w:color w:val="000000"/>
          <w:sz w:val="20"/>
        </w:rPr>
        <w:t xml:space="preserve"> </w:t>
      </w:r>
      <w:r>
        <w:rPr>
          <w:rFonts w:ascii="Times New Roman" w:hAnsi="Times New Roman"/>
          <w:color w:val="000000"/>
          <w:sz w:val="18"/>
        </w:rPr>
        <w:t>million and $238.9</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12%. A change in yield of + or – 2% would result in a fair value of $35.0</w:t>
      </w:r>
      <w:r>
        <w:rPr>
          <w:rFonts w:ascii="Times New Roman" w:hAnsi="Times New Roman"/>
          <w:color w:val="000000"/>
          <w:sz w:val="20"/>
        </w:rPr>
        <w:t xml:space="preserve"> </w:t>
      </w:r>
      <w:r>
        <w:rPr>
          <w:rFonts w:ascii="Times New Roman" w:hAnsi="Times New Roman"/>
          <w:color w:val="000000"/>
          <w:sz w:val="18"/>
        </w:rPr>
        <w:t>million and $36.0</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13% and volatility of 62.7% to the straight note and a binomial option pricing model for the value of the conversion feature. A change in yield of + or – 2% would result in a fair value of $14.2</w:t>
      </w:r>
      <w:r>
        <w:rPr>
          <w:rFonts w:ascii="Times New Roman" w:hAnsi="Times New Roman"/>
          <w:color w:val="000000"/>
          <w:sz w:val="20"/>
        </w:rPr>
        <w:t xml:space="preserve"> </w:t>
      </w:r>
      <w:r>
        <w:rPr>
          <w:rFonts w:ascii="Times New Roman" w:hAnsi="Times New Roman"/>
          <w:color w:val="000000"/>
          <w:sz w:val="18"/>
        </w:rPr>
        <w:t>million and $14.7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jc w:val="left"/>
        <w:rPr>
          <w:rFonts w:ascii="Times New Roman" w:hAnsi="Times New Roman"/>
          <w:color w:val="000000"/>
          <w:sz w:val="18"/>
        </w:rPr>
      </w:pPr>
      <w:r>
        <w:rPr>
          <w:rFonts w:ascii="Times New Roman" w:hAnsi="Times New Roman"/>
          <w:color w:val="000000"/>
          <w:sz w:val="18"/>
        </w:rPr>
        <w:t xml:space="preserve">Fair value was determined by applying a Monte Carlo simulation method for the calculation of the potential payment and the Geometric Brownian Motion forecasting model to estimate the underlying revenue. Market based inputs and other level 3 inputs were used to forecast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sz w:val="20"/>
        </w:rPr>
      </w:pPr>
      <w:r>
        <w:rPr>
          <w:rFonts w:ascii="Times New Roman" w:hAnsi="Times New Roman"/>
          <w:color w:val="000000"/>
          <w:sz w:val="18"/>
        </w:rPr>
        <w:t>future revenue. The key inputs used included a risk-free rate of 3.88%, dividend yield of 0%, volatility of 50%, period of 8</w:t>
      </w:r>
      <w:r>
        <w:rPr>
          <w:rFonts w:ascii="Times New Roman" w:hAnsi="Times New Roman"/>
          <w:color w:val="000000"/>
          <w:sz w:val="20"/>
        </w:rPr>
        <w:t xml:space="preserve"> </w:t>
      </w:r>
      <w:r>
        <w:rPr>
          <w:rFonts w:ascii="Times New Roman" w:hAnsi="Times New Roman"/>
          <w:color w:val="000000"/>
          <w:sz w:val="18"/>
        </w:rPr>
        <w:t>years and credit risk of 17%.</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(5)</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using the Monte Carlo simulation method for the calculation of the potential payment and the Geometric Brownian Motion forecasting model to estimate the underlying revenue. Market-based inputs and other level 3 inputs were used to forecast future revenue. The key inputs used included a risk-free rate of 4.01%, dividend yield of 0%, volatility of 43%, period of 15</w:t>
      </w:r>
      <w:r>
        <w:rPr>
          <w:rFonts w:ascii="Times New Roman" w:hAnsi="Times New Roman"/>
          <w:color w:val="000000"/>
          <w:sz w:val="20"/>
        </w:rPr>
        <w:t xml:space="preserve"> </w:t>
      </w:r>
      <w:r>
        <w:rPr>
          <w:rFonts w:ascii="Times New Roman" w:hAnsi="Times New Roman"/>
          <w:color w:val="000000"/>
          <w:sz w:val="18"/>
        </w:rPr>
        <w:t xml:space="preserve">years and credit risk of 17%.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(6)</w:t>
      </w:r>
    </w:p>
    <w:p>
      <w:pPr>
        <w:pStyle w:val="TextBody"/>
        <w:bidi w:val="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9.5%.</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Milestone Rights Liability </w:t>
      </w:r>
      <w:r>
        <w:rPr>
          <w:rFonts w:ascii="Times New Roman" w:hAnsi="Times New Roman"/>
          <w:color w:val="000000"/>
          <w:sz w:val="20"/>
        </w:rPr>
        <w:t xml:space="preserve">— The fair value measurement of the Milestone Rights liability is sensitive to the discount rate and the timing of achievement of 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14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Contingent Milestone Liability — </w:t>
      </w:r>
      <w:r>
        <w:rPr>
          <w:rFonts w:ascii="Times New Roman" w:hAnsi="Times New Roman"/>
          <w:color w:val="000000"/>
          <w:sz w:val="20"/>
        </w:rPr>
        <w:t>The acquisition of V-Go in May 2022 resulted in a contingent milestone liability which could result in obligations to the seller if certain revenue thresholds are met. The initial fair value of the contingent milestone liability was recorded as an adjustment to the purchase price. Subsequent changes in the fair value are reported in general and administrative expenses.</w:t>
      </w:r>
    </w:p>
    <w:p>
      <w:pPr>
        <w:pStyle w:val="TextBody"/>
        <w:bidi w:val="0"/>
        <w:spacing w:before="240" w:after="240"/>
        <w:jc w:val="left"/>
        <w:rPr>
          <w:rFonts w:ascii="Times New Roman" w:hAnsi="Times New Roman"/>
          <w:sz w:val="20"/>
        </w:rPr>
      </w:pPr>
      <w:r>
        <w:rPr>
          <w:rFonts w:ascii="Times New Roman" w:hAnsi="Times New Roman"/>
          <w:i/>
          <w:color w:val="000000"/>
          <w:sz w:val="20"/>
        </w:rPr>
        <w:t>Financing Liability</w:t>
      </w:r>
      <w:r>
        <w:rPr>
          <w:rFonts w:ascii="Times New Roman" w:hAnsi="Times New Roman"/>
          <w:color w:val="000000"/>
          <w:sz w:val="20"/>
        </w:rPr>
        <w:t xml:space="preserve"> — The Sale-Leaseback Transaction in November 2021 resulted in a financing liability. See Note 14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The sale of a portion of our royalty rights in December 2023 resulted in a liability for sale of future royalties. See Note 14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Common and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March 31, 2024 and December 31, 2023, 270,801,781 and 270,034,495 shares of common stock, respectively, were issued and outstanding and no shares of preferred stock were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There were no sales under the CF Sales Agreement for the three months ended March 31, 2024. During the three months ended March 31, 2023, the Company sold 269,383 shares of common stock at a weighted average purchase price of $4.45 per share for gross proceeds of approximately $1.2 million pursuant to the CF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 Company received $1.4 million from the market price stock purchase plan ("MPSPP") for 416,099 shares of common stock. There were no MPSPP transactions during the three months ended March 31, 2023.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shares of common stock issued pursuant to the Company's 2004 employee stock purchase plan ("ESPP"), see Note 13 – </w:t>
      </w:r>
      <w:r>
        <w:rPr>
          <w:rFonts w:ascii="Times New Roman" w:hAnsi="Times New Roman"/>
          <w:i/>
          <w:color w:val="000000"/>
          <w:sz w:val="20"/>
        </w:rPr>
        <w:t>Stock-Based Compensation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Earnings per Common Share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summarize the components of the basic and diluted EPS computations (in thousands, except per share amounts):</w:t>
      </w:r>
    </w:p>
    <w:tbl>
      <w:tblPr>
        <w:tblW w:w="8329" w:type="dxa"/>
        <w:jc w:val="left"/>
        <w:tblInd w:w="0" w:type="dxa"/>
        <w:tblLayout w:type="fixed"/>
        <w:tblCellMar>
          <w:top w:w="28" w:type="dxa"/>
          <w:left w:w="28" w:type="dxa"/>
          <w:bottom w:w="28" w:type="dxa"/>
          <w:right w:w="28" w:type="dxa"/>
        </w:tblCellMar>
      </w:tblPr>
      <w:tblGrid>
        <w:gridCol w:w="5496"/>
        <w:gridCol w:w="146"/>
        <w:gridCol w:w="211"/>
        <w:gridCol w:w="781"/>
        <w:gridCol w:w="146"/>
        <w:gridCol w:w="146"/>
        <w:gridCol w:w="211"/>
        <w:gridCol w:w="781"/>
        <w:gridCol w:w="41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basic: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diluted: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interest and amortization expense on convertible notes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net income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 — common shares issuable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diluted net income per share excluded the weighted average effect of 5.4 million RSUs and Market RSUs and 2.1 million options and PNQs as they were antidilutive.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Common shares issuable represents incremental shares of common stock which consist of RSUs, stock options, warrants, and shares that could be issued upon conversion of the Senior convertible notes and the Mann Group convertible notes. Potentially dilutive securities outstanding which were considered antidilutive are summarized as follows (in shares):</w:t>
      </w:r>
    </w:p>
    <w:tbl>
      <w:tblPr>
        <w:tblW w:w="4738" w:type="dxa"/>
        <w:jc w:val="left"/>
        <w:tblInd w:w="0" w:type="dxa"/>
        <w:tblLayout w:type="fixed"/>
        <w:tblCellMar>
          <w:top w:w="28" w:type="dxa"/>
          <w:left w:w="28" w:type="dxa"/>
          <w:bottom w:w="28" w:type="dxa"/>
          <w:right w:w="28" w:type="dxa"/>
        </w:tblCellMar>
      </w:tblPr>
      <w:tblGrid>
        <w:gridCol w:w="2851"/>
        <w:gridCol w:w="146"/>
        <w:gridCol w:w="166"/>
        <w:gridCol w:w="1184"/>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44,120,463</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RSUs and Market RSUs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15,468,000</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PNQs</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8,943,899</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notes</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FF0FC" w:val="cle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71,902,362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Market RSUs issued in 2020, 2021 and 2022 are included at the share delivery of 300%, 0% and 210%, respectively, in accordance with a valuation assessment obtained as of March 31, 2023.</w:t>
      </w:r>
    </w:p>
    <w:p>
      <w:pPr>
        <w:pStyle w:val="TextBody"/>
        <w:bidi w:val="0"/>
        <w:spacing w:before="240" w:after="283"/>
        <w:jc w:val="left"/>
        <w:rPr>
          <w:rFonts w:ascii="Times New Roman" w:hAnsi="Times New Roman"/>
          <w:sz w:val="20"/>
        </w:rPr>
      </w:pPr>
      <w:r>
        <w:rPr>
          <w:rFonts w:ascii="Times New Roman" w:hAnsi="Times New Roman"/>
          <w:b/>
          <w:color w:val="000000"/>
          <w:sz w:val="20"/>
        </w:rPr>
        <w:t>13. Stock-Based Compensation Expense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granted the following awards (in shares):</w:t>
      </w:r>
    </w:p>
    <w:tbl>
      <w:tblPr>
        <w:tblW w:w="3793" w:type="dxa"/>
        <w:jc w:val="left"/>
        <w:tblInd w:w="0" w:type="dxa"/>
        <w:tblLayout w:type="fixed"/>
        <w:tblCellMar>
          <w:top w:w="28" w:type="dxa"/>
          <w:left w:w="28" w:type="dxa"/>
          <w:bottom w:w="28" w:type="dxa"/>
          <w:right w:w="28" w:type="dxa"/>
        </w:tblCellMar>
      </w:tblPr>
      <w:tblGrid>
        <w:gridCol w:w="1606"/>
        <w:gridCol w:w="146"/>
        <w:gridCol w:w="260"/>
        <w:gridCol w:w="1390"/>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awards:</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60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RSUs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left"/>
              <w:rPr/>
            </w:pPr>
            <w:r>
              <w:rPr/>
              <w:t> </w:t>
            </w:r>
          </w:p>
        </w:tc>
        <w:tc>
          <w:tcPr>
            <w:tcW w:w="13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sz w:val="20"/>
        </w:rPr>
      </w:pPr>
      <w:r>
        <w:rPr>
          <w:rFonts w:ascii="Times New Roman" w:hAnsi="Times New Roman"/>
          <w:color w:val="000000"/>
          <w:sz w:val="18"/>
        </w:rPr>
        <w:t>RSUs had a weighted average grant date fair value of $3.28</w:t>
      </w:r>
      <w:r>
        <w:rPr>
          <w:rFonts w:ascii="Times New Roman" w:hAnsi="Times New Roman"/>
          <w:color w:val="000000"/>
          <w:sz w:val="20"/>
        </w:rPr>
        <w:t xml:space="preserve"> </w:t>
      </w:r>
      <w:r>
        <w:rPr>
          <w:rFonts w:ascii="Times New Roman" w:hAnsi="Times New Roman"/>
          <w:color w:val="000000"/>
          <w:sz w:val="18"/>
        </w:rPr>
        <w:t>per share, of which 211,895</w:t>
      </w:r>
      <w:r>
        <w:rPr>
          <w:rFonts w:ascii="Times New Roman" w:hAnsi="Times New Roman"/>
          <w:color w:val="000000"/>
          <w:sz w:val="20"/>
        </w:rPr>
        <w:t xml:space="preserve"> </w:t>
      </w:r>
      <w:r>
        <w:rPr>
          <w:rFonts w:ascii="Times New Roman" w:hAnsi="Times New Roman"/>
          <w:color w:val="000000"/>
          <w:sz w:val="18"/>
        </w:rPr>
        <w:t>RSUs had a vesting period of 33.3% annually over the second, third, and fourth</w:t>
      </w:r>
      <w:r>
        <w:rPr>
          <w:rFonts w:ascii="Times New Roman" w:hAnsi="Times New Roman"/>
          <w:color w:val="000000"/>
          <w:sz w:val="20"/>
        </w:rPr>
        <w:t xml:space="preserve"> </w:t>
      </w:r>
      <w:r>
        <w:rPr>
          <w:rFonts w:ascii="Times New Roman" w:hAnsi="Times New Roman"/>
          <w:color w:val="000000"/>
          <w:sz w:val="18"/>
        </w:rPr>
        <w:t>anniversary of the vesting determination date, 53,720</w:t>
      </w:r>
      <w:r>
        <w:rPr>
          <w:rFonts w:ascii="Times New Roman" w:hAnsi="Times New Roman"/>
          <w:color w:val="000000"/>
          <w:sz w:val="20"/>
        </w:rPr>
        <w:t xml:space="preserve"> </w:t>
      </w:r>
      <w:r>
        <w:rPr>
          <w:rFonts w:ascii="Times New Roman" w:hAnsi="Times New Roman"/>
          <w:color w:val="000000"/>
          <w:sz w:val="18"/>
        </w:rPr>
        <w:t>RSUs had a cliff vesting period of three years, and 2,375</w:t>
      </w:r>
      <w:r>
        <w:rPr>
          <w:rFonts w:ascii="Times New Roman" w:hAnsi="Times New Roman"/>
          <w:color w:val="000000"/>
          <w:sz w:val="20"/>
        </w:rPr>
        <w:t xml:space="preserve"> </w:t>
      </w:r>
      <w:r>
        <w:rPr>
          <w:rFonts w:ascii="Times New Roman" w:hAnsi="Times New Roman"/>
          <w:color w:val="000000"/>
          <w:sz w:val="18"/>
        </w:rPr>
        <w:t xml:space="preserve">RSUs had a vesting period of 25% annually over four years.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March 31, 2024, there was a </w:t>
      </w:r>
      <w:r>
        <w:rPr>
          <w:rFonts w:ascii="Times New Roman" w:hAnsi="Times New Roman"/>
          <w:i/>
          <w:color w:val="000000"/>
          <w:sz w:val="20"/>
        </w:rPr>
        <w:t>de minimis</w:t>
      </w:r>
      <w:r>
        <w:rPr>
          <w:rFonts w:ascii="Times New Roman" w:hAnsi="Times New Roman"/>
          <w:color w:val="000000"/>
          <w:sz w:val="20"/>
        </w:rPr>
        <w:t xml:space="preserve"> amount of unrecognized stock-based compensation expense related to options and PNQs, which is expected to be recognized over a weighted average period of approximately 0.11 years, and $16.5 million and $12.1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million of unrecognized stock-based compensation expense related to RSUs and Market RSUs, respectively, which is expected to be recognized over a weighted average period of approximately 2.20 and 1.37 years, respectively.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as cost of goods sold, cost of revenue – collaborations and services, R&amp;D and selling, general and administrative expense was as follows (in thousands):</w:t>
      </w:r>
    </w:p>
    <w:tbl>
      <w:tblPr>
        <w:tblW w:w="4989"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approximately 2.9 million shares of common stock available for issuance under the ESPP as of March 31, 2024.</w:t>
      </w:r>
    </w:p>
    <w:p>
      <w:pPr>
        <w:pStyle w:val="TextBody"/>
        <w:bidi w:val="0"/>
        <w:spacing w:before="240" w:after="283"/>
        <w:jc w:val="left"/>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Guarantees and Indemnifications </w:t>
      </w:r>
      <w:r>
        <w:rPr>
          <w:rFonts w:ascii="Times New Roman" w:hAnsi="Times New Roman"/>
          <w:color w:val="000000"/>
          <w:sz w:val="20"/>
        </w:rPr>
        <w:t xml:space="preserve">— 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Litigation </w:t>
      </w:r>
      <w:r>
        <w:rPr>
          <w:rFonts w:ascii="Times New Roman" w:hAnsi="Times New Roman"/>
          <w:color w:val="000000"/>
          <w:sz w:val="20"/>
        </w:rPr>
        <w:t xml:space="preserve">— The Company is subject to legal proceedings and claims which arise in the ordinary course of its business. The Company does not anticipate 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Contingencies — Milestone Rights </w:t>
      </w:r>
      <w:r>
        <w:rPr>
          <w:rFonts w:ascii="Times New Roman" w:hAnsi="Times New Roman"/>
          <w:color w:val="000000"/>
          <w:sz w:val="20"/>
        </w:rPr>
        <w:t>— In July 2013, the Company entered into the Milestone Rights Agreement with the Original Milestone Purchasers, pursuant to which the Company granted the Milestone Rights to receive payments up to $90.0 million upon the occurrence of specified strategic and sales milestones, $55.0 million of which remains payable to the Milestone Purchasers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2024 and December 31, 2023, the remaining Milestone Rights liability balance was $3.9 million and consisted of $0.8 million of current liability, which was presented as accrued expenses and other current liabilities, and $3.1 million of long-term liability, which was presented as milestone liabilities in our condensed consolidated balance sheets. The value of the Milestone Rights liability was based on initial fair value estimates calculated using the income approach and reduced by milestone achievement payments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Loss Contingencies — Returns Reserve for Acquired Product</w:t>
      </w:r>
      <w:r>
        <w:rPr>
          <w:rFonts w:ascii="Times New Roman" w:hAnsi="Times New Roman"/>
          <w:color w:val="000000"/>
          <w:sz w:val="20"/>
        </w:rPr>
        <w:t xml:space="preserve"> — During the three months ended March 31, 2024, the Company revised its previously-determined estimates for product returns associated with sales of V-Go that pre-date the Company's acquisition of the product totaling $1.2 million which is included in accrued expenses and other current liabilities in the condensed consolidated balance sheets as of March 31, 2024 and general and administrative expenses in the condensed consolidated statements of operations for three months ended March 31, 2024. Although future returns are probable, the Company cannot reasonably estimate any associated losses as of March 31, 2024.</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On December 27, 2023 (the “Inception Date”), the Company executed a Purchase and Sale Agreement (the “PSA”) with Sagard Healthcare 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twelve consecutive months on or prior to December 31, 2026 (“Net Sales Threshold A”), or a milestone of $45.0 million if net Sales Threshold A is not met and net sales of Tyvaso DPI meet or exceed $2.3 billion for any twelve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(the “Commencement Date”) through December 31, 2042 (the “Termination Date”) and will automatically terminate upon payment of the final royalty owed to Sagard thereafter. Upon the Termination Date, ownership of the Sagard Royalty will revert to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(the "Transaction Costs") are reported net of the Royalty Liability balance and amortized to interest expense in the condensed consolidated statements of operations over the life of the PSA using the effective interest method. The Company will continue to recognize the full 10% of future royalty revenues in its condensed consolidated statements of operations, with the Sagard Royalty being non-cash revenue for the Company. As royalty payments are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 The Company’s effective annual interest rate on the Royalty Liability was approximately 11.1% during the three months ended March 31, 2024, during which time the Company recorded $4.2 million in non-cash interest expense and $0.1 million amortization of the Transaction Costs in the condensed consolidated statements of operations. Non-cash revenue recognized by the Company during the period of the Commencement Date through December 31, 2023 of $2.1 million was remitted to Sagard by UT during the three months ended March 31, 2024. Non-cash revenue recognized by the Company during the three months ended March 31, 2024 of $2.3 million will be remitted to Sagard by UT during the second quarter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shows the activity within the Royalty Liability account as well as the effective interest rate (dollars in millions):</w:t>
      </w:r>
    </w:p>
    <w:tbl>
      <w:tblPr>
        <w:tblW w:w="7552" w:type="dxa"/>
        <w:jc w:val="left"/>
        <w:tblInd w:w="0" w:type="dxa"/>
        <w:tblLayout w:type="fixed"/>
        <w:tblCellMar>
          <w:top w:w="28" w:type="dxa"/>
          <w:left w:w="28" w:type="dxa"/>
          <w:bottom w:w="28" w:type="dxa"/>
          <w:right w:w="28" w:type="dxa"/>
        </w:tblCellMar>
      </w:tblPr>
      <w:tblGrid>
        <w:gridCol w:w="5511"/>
        <w:gridCol w:w="445"/>
        <w:gridCol w:w="1205"/>
        <w:gridCol w:w="391"/>
      </w:tblGrid>
      <w:tr>
        <w:trPr/>
        <w:tc>
          <w:tcPr>
            <w:tcW w:w="55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4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transaction costs</w:t>
            </w:r>
          </w:p>
        </w:tc>
        <w:tc>
          <w:tcPr>
            <w:tcW w:w="44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expense on liability for sale of future royalties</w:t>
            </w:r>
          </w:p>
        </w:tc>
        <w:tc>
          <w:tcPr>
            <w:tcW w:w="445"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revenue remitted to Sagard by UT</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445"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Sale-Leaseback Transaction</w:t>
      </w:r>
      <w:r>
        <w:rPr>
          <w:rFonts w:ascii="Times New Roman" w:hAnsi="Times New Roman"/>
          <w:color w:val="000000"/>
          <w:sz w:val="20"/>
        </w:rPr>
        <w:t xml:space="preserve">— In November 2021, the Company sold certain land, building and improvements located in Danbury, CT (the "Property") to an affiliate of Creative Manufacturing Properties (the "Purchaser") for a sales price of $102.3 million, subject to terms and the conditions contained in a purchase and sale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2024, the related financing liability was $104.1 million, which was recognized in the condensed consolidated balance sheet and of which $94.2 million was long-term and $9.9 million was current. As of December 31, 2023, the related financing liability was $104.1 million, of which $94.3 million was long-term and $9.8 million was current. Cash paid for interest on the financing liability totaled $2.4 million during each of the three months ended March 31, 2024 and 2023.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Financing liability information was as follows (dollars in thousands): </w:t>
      </w:r>
    </w:p>
    <w:tbl>
      <w:tblPr>
        <w:tblW w:w="7750" w:type="dxa"/>
        <w:jc w:val="left"/>
        <w:tblInd w:w="0" w:type="dxa"/>
        <w:tblLayout w:type="fixed"/>
        <w:tblCellMar>
          <w:top w:w="28" w:type="dxa"/>
          <w:left w:w="28" w:type="dxa"/>
          <w:bottom w:w="28" w:type="dxa"/>
          <w:right w:w="28" w:type="dxa"/>
        </w:tblCellMar>
      </w:tblPr>
      <w:tblGrid>
        <w:gridCol w:w="4111"/>
        <w:gridCol w:w="146"/>
        <w:gridCol w:w="300"/>
        <w:gridCol w:w="960"/>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5404"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remaining financing liability payments were as follows (in thousands):</w:t>
      </w:r>
    </w:p>
    <w:tbl>
      <w:tblPr>
        <w:tblW w:w="3883" w:type="dxa"/>
        <w:jc w:val="left"/>
        <w:tblInd w:w="0" w:type="dxa"/>
        <w:tblLayout w:type="fixed"/>
        <w:tblCellMar>
          <w:top w:w="28" w:type="dxa"/>
          <w:left w:w="28" w:type="dxa"/>
          <w:bottom w:w="28" w:type="dxa"/>
          <w:right w:w="28" w:type="dxa"/>
        </w:tblCellMar>
      </w:tblPr>
      <w:tblGrid>
        <w:gridCol w:w="2086"/>
        <w:gridCol w:w="146"/>
        <w:gridCol w:w="252"/>
        <w:gridCol w:w="1008"/>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227,626</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liability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Commitments </w:t>
      </w:r>
      <w:r>
        <w:rPr>
          <w:rFonts w:ascii="Times New Roman" w:hAnsi="Times New Roman"/>
          <w:color w:val="000000"/>
          <w:sz w:val="20"/>
        </w:rPr>
        <w:t xml:space="preserve">— In July 2014, the Company entered into the Insulin Supply Agreement with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March 31, 2024 were as follows (€ in millions):</w:t>
      </w:r>
    </w:p>
    <w:tbl>
      <w:tblPr>
        <w:tblW w:w="6694" w:type="dxa"/>
        <w:jc w:val="left"/>
        <w:tblInd w:w="0" w:type="dxa"/>
        <w:tblLayout w:type="fixed"/>
        <w:tblCellMar>
          <w:top w:w="28" w:type="dxa"/>
          <w:left w:w="28" w:type="dxa"/>
          <w:bottom w:w="28" w:type="dxa"/>
          <w:right w:w="28" w:type="dxa"/>
        </w:tblCellMar>
      </w:tblPr>
      <w:tblGrid>
        <w:gridCol w:w="1681"/>
        <w:gridCol w:w="629"/>
        <w:gridCol w:w="2011"/>
        <w:gridCol w:w="146"/>
        <w:gridCol w:w="146"/>
        <w:gridCol w:w="542"/>
        <w:gridCol w:w="1348"/>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48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Purchase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Capacity Fees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w:t>
            </w:r>
            <w:r>
              <w:rPr>
                <w:rFonts w:ascii="Times New Roman" w:hAnsi="Times New Roman"/>
                <w:color w:val="000000"/>
                <w:sz w:val="13"/>
              </w:rPr>
              <w:t>(1)</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2034</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pPr>
      <w:r>
        <w:rPr>
          <w:rFonts w:ascii="Times New Roman" w:hAnsi="Times New Roman"/>
          <w:color w:val="000000"/>
          <w:sz w:val="18"/>
        </w:rPr>
        <w:t>If there is a delay in the availability of insulin with FDA approved inclusion bodies and supply does not begin in 2026 as currently expected, the Company will incur a capacity fee of €750,000</w:t>
      </w:r>
      <w:r>
        <w:rPr>
          <w:color w:val="000000"/>
        </w:rPr>
        <w:t xml:space="preserve"> </w:t>
      </w:r>
      <w:r>
        <w:rPr>
          <w:rFonts w:ascii="Times New Roman" w:hAnsi="Times New Roman"/>
          <w:color w:val="000000"/>
          <w:sz w:val="18"/>
        </w:rPr>
        <w:t>per quarter that the product is not available for purchase.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$62.7 million and $64.8 million is included in our condensed consolidated balance sheets as of March 31, 2024 and December 31, 2023, respectively, and is reduced as inventory items are received or such liability is extinguished.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Vehicle Leases – </w:t>
      </w:r>
      <w:r>
        <w:rPr>
          <w:rFonts w:ascii="Times New Roman" w:hAnsi="Times New Roman"/>
          <w:color w:val="000000"/>
          <w:sz w:val="20"/>
        </w:rPr>
        <w:t>During the second quarter of 2018, the Company entered into a master lease agreement with Enterprise Fleet Management Inc. The monthly payment inclusive of maintenance fees, insurance and taxes is approximately $0.1 million. The lease expense is included in selling expenses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Office Leases</w:t>
      </w:r>
      <w:r>
        <w:rPr>
          <w:rFonts w:ascii="Times New Roman" w:hAnsi="Times New Roman"/>
          <w:color w:val="000000"/>
          <w:sz w:val="20"/>
        </w:rPr>
        <w:t xml:space="preserve"> — In May 2017, the Company executed an office lease with Russell Ranch Road II LLC for the Company’s corporate offices in Westlake 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is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information was as follows (dollars in thousands):</w:t>
      </w:r>
    </w:p>
    <w:tbl>
      <w:tblPr>
        <w:tblW w:w="7950" w:type="dxa"/>
        <w:jc w:val="left"/>
        <w:tblInd w:w="0" w:type="dxa"/>
        <w:tblLayout w:type="fixed"/>
        <w:tblCellMar>
          <w:top w:w="28" w:type="dxa"/>
          <w:left w:w="28" w:type="dxa"/>
          <w:bottom w:w="28" w:type="dxa"/>
          <w:right w:w="28" w:type="dxa"/>
        </w:tblCellMar>
      </w:tblPr>
      <w:tblGrid>
        <w:gridCol w:w="4111"/>
        <w:gridCol w:w="246"/>
        <w:gridCol w:w="340"/>
        <w:gridCol w:w="920"/>
        <w:gridCol w:w="271"/>
        <w:gridCol w:w="246"/>
        <w:gridCol w:w="403"/>
        <w:gridCol w:w="1097"/>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right-of-use assets</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liability-current</w:t>
            </w:r>
            <w:r>
              <w:rPr>
                <w:rFonts w:ascii="Times New Roman" w:hAnsi="Times New Roman"/>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liability-long-term</w:t>
            </w:r>
          </w:p>
        </w:tc>
        <w:tc>
          <w:tcPr>
            <w:tcW w:w="246" w:type="dxa"/>
            <w:tcBorders/>
            <w:shd w:fill="CFF0FC" w:val="cle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Operating right-of-use assets related to vehicles, offices and the manufacturing facility are included in other assets in the condensed consolidated balance sheets.</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Operating lease liability – current is included in accrued expenses and other current liabilities in the condensed consolidated balance sheets.</w:t>
      </w:r>
    </w:p>
    <w:tbl>
      <w:tblPr>
        <w:tblW w:w="3724" w:type="dxa"/>
        <w:jc w:val="left"/>
        <w:tblInd w:w="0" w:type="dxa"/>
        <w:tblLayout w:type="fixed"/>
        <w:tblCellMar>
          <w:top w:w="28" w:type="dxa"/>
          <w:left w:w="28" w:type="dxa"/>
          <w:bottom w:w="28" w:type="dxa"/>
          <w:right w:w="28" w:type="dxa"/>
        </w:tblCellMar>
      </w:tblPr>
      <w:tblGrid>
        <w:gridCol w:w="1831"/>
        <w:gridCol w:w="146"/>
        <w:gridCol w:w="211"/>
        <w:gridCol w:w="421"/>
        <w:gridCol w:w="146"/>
        <w:gridCol w:w="146"/>
        <w:gridCol w:w="211"/>
        <w:gridCol w:w="42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future minimum office and vehicle lease payments were as follows (in thousands):</w:t>
      </w:r>
    </w:p>
    <w:tbl>
      <w:tblPr>
        <w:tblW w:w="4153" w:type="dxa"/>
        <w:jc w:val="left"/>
        <w:tblInd w:w="0" w:type="dxa"/>
        <w:tblLayout w:type="fixed"/>
        <w:tblCellMar>
          <w:top w:w="28" w:type="dxa"/>
          <w:left w:w="28" w:type="dxa"/>
          <w:bottom w:w="28" w:type="dxa"/>
          <w:right w:w="28" w:type="dxa"/>
        </w:tblCellMar>
      </w:tblPr>
      <w:tblGrid>
        <w:gridCol w:w="2536"/>
        <w:gridCol w:w="146"/>
        <w:gridCol w:w="340"/>
        <w:gridCol w:w="920"/>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6,044</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15.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the Company recorded income tax expense of $0.3 million related to state taxes, which was calculated using the discrete year-to-date method. The income tax provision for the three months ended March 31, 2023 resulted in no tax expense. The effective tax rate differs from the statutory tax rate of 21% primarily due to the existence of valuation allowances against net deferred tax assets and current liabilities resulting from the estimated state income tax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three months ended March 31, 2024, the Company did not recognize any interest or penalties. The Company’s tax years since 2019 remain subject to examination by tax authorities.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 2024, the Company repaid in full all outstanding indebtedness, consisting of $28.3 million in principal and $0.2 million in accrued interest, and terminated all commitments and obligations under the MidCap credit facility that would have matured on August 1, 2025 in exchange for a payment of $31.6 million, including an exit fee of $2.8 million and a prepayment fee of $0.3 million. Additionally, unamortized debt discount and capitalized prepayment fees totaling $0.2 million were written off, resulting in a loss on extinguishment of debt of $3.3 million to be recognized in the second quarter of 2024.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on April 2, 2024, the Company and Mann Group agreed to discharge and terminate the Mann Group convertible note. 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and (ii) the Company’s payment to Mann Group of $8.9 million, which represented the market value of 2,054,198 shares of common stock of the Company on April 2, 2024 (eliminating any potential dilution related to these unissued shares). Termination of the Mann Group convertible note resulted in extinguishment of debt of $3.7 million to be recognized in the second quarter of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2023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(together “Zealand”) and began integrating the product into our endocrine business unit. V-Go is a mechanical basal-bolus insulin delivery system that is worn like a patch and can eliminate the need for taking multiple daily injections.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lead program in our pipeline of potential treatments for orphan lung diseases is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of this drug. In April 2024, the FDA cleared our investigational new drug application (IND) for MNKD-101, enabling us to initiate a Phase 3 study that will investigate its potential to treat NTM lung disease and granted Fast Track designation to our development program. This designation supplements earlier designations from the FDA granting MNKD-101 status as an orphan drug and as a qualified infectious disease product for the treatment of pulmonary NTM infections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next most advanced program in our pipeline is MNKD-201, a dry-powder formulation of nintedanib, for the treatment of idiopathic pulmonary fibrosis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 undesirable side effects. In April 2024, the FDA cleared MNKD-201 to proceed with a first-in-human Phase 1 study of MNKD-201 for pulmonary fibrotic diseases, including IPF.</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2024, we had an accumulated deficit of $3.2 billion and a stockholders’ deficit of $230.0 million. We had net income of $10.6 million for the three months ended March 31, 2024 and net loss of $9.8 million for the three months ended March 31, 2023. To date, we have funded our operations primarily through the sale of our equity and convertible debt securities, from the receipt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upfront and milestone payments from collaborations, from borrowings, from sales of Afrezza and V-Go, from royalties and manufacturing revenue from UT as well as from proceeds of the sale-leaseback of our manufacturing facility in Danbury, CT and from the sale of a portion of future royalties that we receive from UT.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critical accounting policies and estimates can be found in Item 7. Management’s Discussion and Analysis of Financial Condition and Results of Operations in our Annual Report. See Note 1 – </w:t>
      </w:r>
      <w:r>
        <w:rPr>
          <w:rFonts w:ascii="Times New Roman" w:hAnsi="Times New Roman"/>
          <w:i/>
          <w:color w:val="000000"/>
          <w:sz w:val="20"/>
        </w:rPr>
        <w:t>Description of Business and Significant Accounting Policies</w:t>
      </w:r>
      <w:r>
        <w:rPr>
          <w:rFonts w:ascii="Times New Roman" w:hAnsi="Times New Roman"/>
          <w:color w:val="000000"/>
          <w:sz w:val="20"/>
        </w:rPr>
        <w:t xml:space="preserve"> in the condensed consolidated financial statements included in Part I – Financial Statements (Unaudited) for descriptions of the new accounting policies and impact of adoption.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Trends and Uncertainties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collaboration agreement with UT entitles us to receive a 10% royalty on net sales of Tyvaso DPI, subject to the sale by us in December 2023 of a 1% royalty on future net sales to a royalty purchaser (leaving us with a 9% royalty). Our royalty revenue reflects the upward trend in demand for Tyvaso DPI in the marketplace. See Note 14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Three months ended March 31, 2024 and 2023</w:t>
      </w:r>
    </w:p>
    <w:p>
      <w:pPr>
        <w:pStyle w:val="TextBody"/>
        <w:bidi w:val="0"/>
        <w:spacing w:before="240" w:after="283"/>
        <w:jc w:val="left"/>
        <w:rPr>
          <w:rFonts w:ascii="Times New Roman" w:hAnsi="Times New Roman"/>
          <w:sz w:val="20"/>
        </w:rPr>
      </w:pPr>
      <w:r>
        <w:rPr>
          <w:rFonts w:ascii="Times New Roman" w:hAnsi="Times New Roman"/>
          <w:b/>
          <w:color w:val="000000"/>
          <w:sz w:val="20"/>
        </w:rPr>
        <w:t>Revenues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revenue categories for the three months ended March 31, 2024 and 2023 (dollars in thousands): </w:t>
      </w:r>
    </w:p>
    <w:tbl>
      <w:tblPr>
        <w:tblW w:w="9871" w:type="dxa"/>
        <w:jc w:val="left"/>
        <w:tblInd w:w="0" w:type="dxa"/>
        <w:tblLayout w:type="fixed"/>
        <w:tblCellMar>
          <w:top w:w="28" w:type="dxa"/>
          <w:left w:w="28" w:type="dxa"/>
          <w:bottom w:w="28" w:type="dxa"/>
          <w:right w:w="28" w:type="dxa"/>
        </w:tblCellMar>
      </w:tblPr>
      <w:tblGrid>
        <w:gridCol w:w="4271"/>
        <w:gridCol w:w="146"/>
        <w:gridCol w:w="211"/>
        <w:gridCol w:w="676"/>
        <w:gridCol w:w="271"/>
        <w:gridCol w:w="146"/>
        <w:gridCol w:w="211"/>
        <w:gridCol w:w="676"/>
        <w:gridCol w:w="271"/>
        <w:gridCol w:w="146"/>
        <w:gridCol w:w="211"/>
        <w:gridCol w:w="676"/>
        <w:gridCol w:w="166"/>
        <w:gridCol w:w="146"/>
        <w:gridCol w:w="224"/>
        <w:gridCol w:w="647"/>
        <w:gridCol w:w="776"/>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revenue from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jc w:val="righ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 collaborations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Afrezza </w:t>
      </w:r>
      <w:r>
        <w:rPr>
          <w:rFonts w:ascii="Times New Roman" w:hAnsi="Times New Roman"/>
          <w:color w:val="000000"/>
          <w:sz w:val="20"/>
        </w:rPr>
        <w:t xml:space="preserve">— Gross revenue from sales of Afrezza increased by $0.9 million, or 4% for the three months ended March 31, 2024 compared to the same period in the prior year. The increase was driven by higher price. The gross-to-net adjustment was 31% of gross revenue, or $6.4 million, for the three months ended March 31, 2024, compared to 38% of gross revenue or $7.5 million, for the three months ended March 31, 2023. The decrease in the gross-to-net percentage was primarily attributable to a decrease in anticipated product returns (as a percentage of gross sales). As a result, net revenue from sales of Afrezza increased by $2.0 million, or 16%, for the three months ended March 31, 2024 compared to the same period in the prior year.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V-Go</w:t>
      </w:r>
      <w:r>
        <w:rPr>
          <w:rFonts w:ascii="Times New Roman" w:hAnsi="Times New Roman"/>
          <w:color w:val="000000"/>
          <w:sz w:val="20"/>
        </w:rPr>
        <w:t xml:space="preserve"> — Gross revenue from sales of V-Go decreased by $1.3 million, or 12%, for the three months ended March 31, 2024 compared to the same period in the prior year was primarily a result of lower demand. The gross-to-net adjustment was 53% of gross revenue, or $4.9 million, for the three months ended March 31, 2024 compared to 51% of gross revenue, or $5.4 million, for the same period in the prior year. As a result, net revenue from sales of V-Go decreased by $0.8 million, or 16%, for the three months ended March 31, 2024 compared to the same period in the prior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Collaborations and Services</w:t>
      </w:r>
      <w:r>
        <w:rPr>
          <w:rFonts w:ascii="Times New Roman" w:hAnsi="Times New Roman"/>
          <w:color w:val="000000"/>
          <w:sz w:val="20"/>
        </w:rPr>
        <w:t xml:space="preserve"> — Net revenue from collaborations and services increased by $13.5 million, or 118%, for the three months ended March 31, 2024 compared to the same period in the prior year. The increase in revenue was primarily attributable to increased manufacturing volume and related production activity for product sold to UT. Royalty revenue from UT increased by $11.0 million, or 94%, for the three months ended March 31, 2024 due to increased patient demand for Tyvaso DPI. See Note 9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Commercial product gross profit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commercial product gross profit categories for the three months ended March 31, 2024 and 2023 (dollars in thousands): </w:t>
      </w:r>
    </w:p>
    <w:tbl>
      <w:tblPr>
        <w:tblW w:w="8901" w:type="dxa"/>
        <w:jc w:val="left"/>
        <w:tblInd w:w="0" w:type="dxa"/>
        <w:tblLayout w:type="fixed"/>
        <w:tblCellMar>
          <w:top w:w="28" w:type="dxa"/>
          <w:left w:w="28" w:type="dxa"/>
          <w:bottom w:w="28" w:type="dxa"/>
          <w:right w:w="28" w:type="dxa"/>
        </w:tblCellMar>
      </w:tblPr>
      <w:tblGrid>
        <w:gridCol w:w="3446"/>
        <w:gridCol w:w="146"/>
        <w:gridCol w:w="211"/>
        <w:gridCol w:w="676"/>
        <w:gridCol w:w="271"/>
        <w:gridCol w:w="146"/>
        <w:gridCol w:w="211"/>
        <w:gridCol w:w="676"/>
        <w:gridCol w:w="271"/>
        <w:gridCol w:w="146"/>
        <w:gridCol w:w="211"/>
        <w:gridCol w:w="631"/>
        <w:gridCol w:w="166"/>
        <w:gridCol w:w="146"/>
        <w:gridCol w:w="243"/>
        <w:gridCol w:w="628"/>
        <w:gridCol w:w="676"/>
      </w:tblGrid>
      <w:tr>
        <w:trPr/>
        <w:tc>
          <w:tcPr>
            <w:tcW w:w="3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ind w:left="0" w:right="0" w:firstLine="100"/>
              <w:jc w:val="left"/>
              <w:rPr/>
            </w:pPr>
            <w:r>
              <w:rPr/>
              <w:t> </w:t>
            </w:r>
          </w:p>
        </w:tc>
      </w:tr>
      <w:tr>
        <w:trPr/>
        <w:tc>
          <w:tcPr>
            <w:tcW w:w="34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76"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4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4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product gross profit increased by $2.9 million, or 24%, for the three months ended March 31, 2024 compared to the same period in the prior year. The increase in gross profit and gross margin was primarily attributable to an increase in Afrezza net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expense categories for the three months ended March 31, 2024 and 2023 (dollars in thousands): </w:t>
      </w:r>
    </w:p>
    <w:tbl>
      <w:tblPr>
        <w:tblW w:w="8996" w:type="dxa"/>
        <w:jc w:val="left"/>
        <w:tblInd w:w="0" w:type="dxa"/>
        <w:tblLayout w:type="fixed"/>
        <w:tblCellMar>
          <w:top w:w="28" w:type="dxa"/>
          <w:left w:w="28" w:type="dxa"/>
          <w:bottom w:w="28" w:type="dxa"/>
          <w:right w:w="28" w:type="dxa"/>
        </w:tblCellMar>
      </w:tblPr>
      <w:tblGrid>
        <w:gridCol w:w="3856"/>
        <w:gridCol w:w="146"/>
        <w:gridCol w:w="211"/>
        <w:gridCol w:w="676"/>
        <w:gridCol w:w="166"/>
        <w:gridCol w:w="146"/>
        <w:gridCol w:w="211"/>
        <w:gridCol w:w="676"/>
        <w:gridCol w:w="146"/>
        <w:gridCol w:w="146"/>
        <w:gridCol w:w="211"/>
        <w:gridCol w:w="631"/>
        <w:gridCol w:w="166"/>
        <w:gridCol w:w="146"/>
        <w:gridCol w:w="243"/>
        <w:gridCol w:w="628"/>
        <w:gridCol w:w="5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loss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8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jc w:val="left"/>
        <w:rPr>
          <w:rFonts w:ascii="Times New Roman" w:hAnsi="Times New Roman"/>
          <w:color w:val="000000"/>
          <w:sz w:val="18"/>
        </w:rPr>
      </w:pPr>
      <w:r>
        <w:rPr>
          <w:rFonts w:ascii="Times New Roman" w:hAnsi="Times New Roman"/>
          <w:color w:val="000000"/>
          <w:sz w:val="18"/>
        </w:rPr>
        <w:t>*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 collaborations and services increased by $4.1 million, or 38%, for the three months ended March 31, 2024 compared to the same period in the prior year. The increase was primarily attributable to increased manufacturing volume and activities. Higher manufacturing volumes resulted in efficiencies which contributed to a lower effective cost per unit.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increased by $4.4 million, or 79%, for the three months ended March 31, 2024 compared to the same period in the prior year. The increase was primarily attributable to increased development activities for clofazimine inhaled suspension (MNKD-101), costs for an Afrezza post-marketing clinical study (INHALE-3) which commenced in the second quarter of 2023 and personnel expenses due to increased headcount.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expenses decreased by $1.7 million, or 13%, for the three months ended March 31, 2024 compared to the same period in the prior year. The decrease was primarily attributable to reduced personnel and travel expenses related to sales force restructuring activities completed during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$0.2 million, or 2%, for the three months ended March 31, 2024 compared to the same period in the prior year. This increase was primarily attributable to a loss of $1.2 million related to estimated returns associated with sales of V-Go that pre-date our acquisition of the product, partially offset by reduced personnel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Insulin Supply Agreement with Amphastar, payment obligations are denominated in Euros. We are required to record the foreign currency transaction impact of the U.S. dollar to Euro exchange rate associated with the recognized gain or loss on purchase commitments. The foreign currency transaction gain was $1.4 million for the three months ended March 31, 2024 compared to a loss of $1.0 million for the same period in the prior year due to the conversion of Euro to U.S. dollar exchange rates. </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other income (expense) categories for the three months ended March 31, 2024 and 2023 (dollars in thousands): </w:t>
      </w:r>
    </w:p>
    <w:tbl>
      <w:tblPr>
        <w:tblW w:w="9525" w:type="dxa"/>
        <w:jc w:val="left"/>
        <w:tblInd w:w="0" w:type="dxa"/>
        <w:tblLayout w:type="fixed"/>
        <w:tblCellMar>
          <w:top w:w="28" w:type="dxa"/>
          <w:left w:w="28" w:type="dxa"/>
          <w:bottom w:w="28" w:type="dxa"/>
          <w:right w:w="28" w:type="dxa"/>
        </w:tblCellMar>
      </w:tblPr>
      <w:tblGrid>
        <w:gridCol w:w="4501"/>
        <w:gridCol w:w="146"/>
        <w:gridCol w:w="211"/>
        <w:gridCol w:w="631"/>
        <w:gridCol w:w="166"/>
        <w:gridCol w:w="146"/>
        <w:gridCol w:w="211"/>
        <w:gridCol w:w="631"/>
        <w:gridCol w:w="166"/>
        <w:gridCol w:w="146"/>
        <w:gridCol w:w="214"/>
        <w:gridCol w:w="582"/>
        <w:gridCol w:w="166"/>
        <w:gridCol w:w="146"/>
        <w:gridCol w:w="224"/>
        <w:gridCol w:w="647"/>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5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jc w:val="left"/>
        <w:rPr>
          <w:rFonts w:ascii="Times New Roman" w:hAnsi="Times New Roman"/>
          <w:color w:val="000000"/>
          <w:sz w:val="18"/>
        </w:rPr>
      </w:pPr>
      <w:r>
        <w:rPr>
          <w:rFonts w:ascii="Times New Roman" w:hAnsi="Times New Roman"/>
          <w:color w:val="000000"/>
          <w:sz w:val="18"/>
        </w:rPr>
        <w:t>*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net, consisting of interest and accretion on investments net of amortization, increased by $2.1 million for the three months ended March 31, 2024 compared to the same period in the prior year primarily due to higher yields on our securities portfolio as well as an increase in the underlying investments from the proceeds of the sale of 1% of our Tyvaso DPI royalties in December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financing liability was $2.4 million for each of the three months ended March 31, 2024 and 2023 and represented interest incurred on the sale lease-back transaction for our manufacturing facility in Danbury, 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on notes decreased by $0.2 million for the three months ended March 31, 2024 compared to the same period in the prior year due primarily to principal payments made on the MidCap credit facility. See Note 8 – </w:t>
      </w:r>
      <w:r>
        <w:rPr>
          <w:rFonts w:ascii="Times New Roman" w:hAnsi="Times New Roman"/>
          <w:i/>
          <w:color w:val="000000"/>
          <w:sz w:val="20"/>
        </w:rPr>
        <w:t>Borrowings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on liability for sale of future royalties was $4.2 million for the three months ended March 31, 2024 due to imputed interest and amortization of debt issuance costs on the liability recorded in connection with the sale of 1% of our Tyvaso DPI royalties in December 2023. See Note 14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for the three months ended March 31, 2023 consisted primarily of a gain associated with a foreign currency hedging transaction which was entered into to mitigate our exposure to foreign currency exchange risks associated with our insulin purchase obligation under the Insulin Supply Agreement with Amphastar. </w:t>
      </w:r>
    </w:p>
    <w:p>
      <w:pPr>
        <w:pStyle w:val="TextBody"/>
        <w:bidi w:val="0"/>
        <w:spacing w:before="240" w:after="240"/>
        <w:jc w:val="left"/>
        <w:rPr>
          <w:rFonts w:ascii="Times New Roman" w:hAnsi="Times New Roman"/>
          <w:sz w:val="20"/>
        </w:rPr>
      </w:pPr>
      <w:r>
        <w:rPr>
          <w:rFonts w:ascii="Times New Roman" w:hAnsi="Times New Roman"/>
          <w:color w:val="000000"/>
          <w:sz w:val="20"/>
        </w:rPr>
        <w:t>N</w:t>
      </w:r>
      <w:r>
        <w:rPr>
          <w:rFonts w:ascii="Times New Roman" w:hAnsi="Times New Roman"/>
          <w:b/>
          <w:color w:val="000000"/>
          <w:sz w:val="20"/>
        </w:rPr>
        <w:t>on-GAAP Measures</w:t>
        <w:br/>
        <w:br/>
      </w:r>
      <w:r>
        <w:rPr>
          <w:rFonts w:ascii="Times New Roman" w:hAnsi="Times New Roman"/>
          <w:color w:val="000000"/>
          <w:sz w:val="20"/>
        </w:rPr>
        <w:t xml:space="preserve">To supplement our condensed consolidated financial statements presented under GAAP, we are presenting non-GAAP net income (loss) and non-GAAP net income (loss) per share - diluted, which are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 </w:t>
        <w:br/>
        <w:b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reconciles our financial measures as reported in our condensed consolidated statements of operations to a non-GAAP presentation as adjusted for the following select non-cash items: revenue from the 1% portion of sold royalties and interest expense on the related liability, stock-based compensation expense and gain on foreign currency transaction for the periods presented:</w:t>
      </w:r>
    </w:p>
    <w:tbl>
      <w:tblPr>
        <w:tblW w:w="10205" w:type="dxa"/>
        <w:jc w:val="left"/>
        <w:tblInd w:w="0" w:type="dxa"/>
        <w:tblLayout w:type="fixed"/>
        <w:tblCellMar>
          <w:top w:w="28" w:type="dxa"/>
          <w:left w:w="28" w:type="dxa"/>
          <w:bottom w:w="28" w:type="dxa"/>
          <w:right w:w="28" w:type="dxa"/>
        </w:tblCellMar>
      </w:tblPr>
      <w:tblGrid>
        <w:gridCol w:w="5077"/>
        <w:gridCol w:w="211"/>
        <w:gridCol w:w="781"/>
        <w:gridCol w:w="166"/>
        <w:gridCol w:w="146"/>
        <w:gridCol w:w="259"/>
        <w:gridCol w:w="648"/>
        <w:gridCol w:w="166"/>
        <w:gridCol w:w="146"/>
        <w:gridCol w:w="211"/>
        <w:gridCol w:w="781"/>
        <w:gridCol w:w="166"/>
        <w:gridCol w:w="146"/>
        <w:gridCol w:w="259"/>
        <w:gridCol w:w="648"/>
        <w:gridCol w:w="394"/>
      </w:tblGrid>
      <w:tr>
        <w:trPr/>
        <w:tc>
          <w:tcPr>
            <w:tcW w:w="5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77" w:type="dxa"/>
            <w:tcBorders/>
            <w:shd w:fill="FFFFFF" w:val="clear"/>
            <w:vAlign w:val="center"/>
          </w:tcPr>
          <w:p>
            <w:pPr>
              <w:pStyle w:val="TableContents"/>
              <w:bidi w:val="0"/>
              <w:spacing w:before="0" w:after="283"/>
              <w:jc w:val="left"/>
              <w:rPr/>
            </w:pPr>
            <w:r>
              <w:rPr/>
              <w:t> </w:t>
            </w:r>
          </w:p>
        </w:tc>
        <w:tc>
          <w:tcPr>
            <w:tcW w:w="47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394" w:type="dxa"/>
            <w:tcBorders/>
            <w:shd w:fill="FFFFFF" w:val="clear"/>
            <w:vAlign w:val="center"/>
          </w:tcPr>
          <w:p>
            <w:pPr>
              <w:pStyle w:val="TableContents"/>
              <w:bidi w:val="0"/>
              <w:spacing w:before="0" w:after="283"/>
              <w:jc w:val="center"/>
              <w:rPr/>
            </w:pPr>
            <w:r>
              <w:rPr/>
              <w:t> </w:t>
            </w:r>
          </w:p>
        </w:tc>
      </w:tr>
      <w:tr>
        <w:trPr/>
        <w:tc>
          <w:tcPr>
            <w:tcW w:w="5077" w:type="dxa"/>
            <w:tcBorders/>
            <w:shd w:fill="FFFFFF" w:val="clear"/>
            <w:vAlign w:val="center"/>
          </w:tcPr>
          <w:p>
            <w:pPr>
              <w:pStyle w:val="TableContents"/>
              <w:bidi w:val="0"/>
              <w:spacing w:before="0" w:after="283"/>
              <w:jc w:val="left"/>
              <w:rPr/>
            </w:pPr>
            <w:r>
              <w:rPr/>
              <w:t> </w:t>
            </w:r>
          </w:p>
        </w:tc>
        <w:tc>
          <w:tcPr>
            <w:tcW w:w="47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7"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7"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Diluted EPS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7" w:type="dxa"/>
            <w:tcBorders/>
            <w:shd w:fill="FFFFFF" w:val="clear"/>
            <w:vAlign w:val="center"/>
          </w:tcPr>
          <w:p>
            <w:pPr>
              <w:pStyle w:val="TableContents"/>
              <w:bidi w:val="0"/>
              <w:spacing w:before="0" w:after="283"/>
              <w:jc w:val="right"/>
              <w:rPr/>
            </w:pPr>
            <w:r>
              <w:rPr/>
              <w:t> </w:t>
            </w:r>
          </w:p>
        </w:tc>
        <w:tc>
          <w:tcPr>
            <w:tcW w:w="47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4" w:type="dxa"/>
            <w:tcBorders/>
            <w:shd w:fill="FFFFFF" w:val="clear"/>
            <w:vAlign w:val="center"/>
          </w:tcPr>
          <w:p>
            <w:pPr>
              <w:pStyle w:val="TableContents"/>
              <w:bidi w:val="0"/>
              <w:spacing w:before="0" w:after="283"/>
              <w:jc w:val="center"/>
              <w:rPr/>
            </w:pPr>
            <w:r>
              <w:rPr/>
              <w:t> </w:t>
            </w:r>
          </w:p>
        </w:tc>
      </w:tr>
      <w:tr>
        <w:trPr/>
        <w:tc>
          <w:tcPr>
            <w:tcW w:w="50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reported</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Select non-cash adjustments:</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sz w:val="4"/>
                <w:szCs w:val="4"/>
              </w:rPr>
            </w:pPr>
            <w:r>
              <w:rPr>
                <w:sz w:val="4"/>
                <w:szCs w:val="4"/>
              </w:rPr>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507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Sold portion of royalty revenue </w:t>
            </w:r>
            <w:r>
              <w:rPr>
                <w:rFonts w:ascii="Times New Roman" w:hAnsi="Times New Roman"/>
                <w:color w:val="000000"/>
                <w:sz w:val="13"/>
              </w:rPr>
              <w:t>(1)</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50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50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50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foreign currency transaction</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4" w:type="dxa"/>
            <w:tcBorders/>
            <w:shd w:fill="FFFFFF" w:val="clear"/>
            <w:vAlign w:val="center"/>
          </w:tcPr>
          <w:p>
            <w:pPr>
              <w:pStyle w:val="TableContents"/>
              <w:bidi w:val="0"/>
              <w:spacing w:before="0" w:after="283"/>
              <w:jc w:val="left"/>
              <w:rPr/>
            </w:pPr>
            <w:r>
              <w:rPr/>
              <w:t> </w:t>
            </w:r>
          </w:p>
        </w:tc>
      </w:tr>
      <w:tr>
        <w:trPr/>
        <w:tc>
          <w:tcPr>
            <w:tcW w:w="50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income (loss) per share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the non-cash portion of the 1% royalty on net sales of Tyvaso DPI earned during the three months ended March 31, 2024 which is remitted to the royalty purchaser and recognized as royalties from collaborations in our condensed consolidated statements of operations. Our revenues from royalties from collaborations during the three months ended March 31, 2024 totaled $22.7 million, of which $2.3 million will be remitted to the royalty purchaser.</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principal and interest payments on our financing liability and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funded our operations primarily through the sale of equity and convertible debt securities, from the receipt of upfront and milestone payments from collaborations, from borrowings, from sales of Afrezza and V-Go, from royalties and manufacturing revenue from UT, from proceeds from the sale of certain assets and the sale of a portion of our future royalties that we receive from 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 as well as through debt or equity financing, if necessary.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2024, we had $62.7 million in insulin purchase commitments and $267.1 million principal amount of outstanding debt, consisting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$28.3 million principal amount under the MidCap credit facility. On April 1, 2024, we exercised our option to prepay the existing term loans in whole in exchange for a payment of approximately $31.6 million, which included an early termination fee in an amount equal to 1.00% of principal prepaid as well as an exit fee in an amount equal to 7.00% of the outstanding Tranche 1 balance. See Note 16 – </w:t>
      </w:r>
      <w:r>
        <w:rPr>
          <w:rFonts w:ascii="Times New Roman" w:hAnsi="Times New Roman"/>
          <w:i/>
          <w:color w:val="000000"/>
          <w:sz w:val="20"/>
        </w:rPr>
        <w:t>Subsequent Events</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$8.8 million principal amount of indebtedness under the Mann Group convertible note. On April 2, 2024, we and Mann Group agreed to discharge and terminate the Mann Group convertible note in exchange for (i) the issuance to Mann Group of 1,500,000 shares of our common stock and (ii) payment to Mann Group of approximately $8.9 million, which represented the market value of 2,054,198 shares of common stock of the Company on April 2, 2024 (eliminating any potential dilution related to these unissued shares). See Note 16 –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repayment of the MidCap credit facility and the Mann Group convertible note subsequent to March 31, 2024, our Senior convertible notes are our only remaining notes outstanding. To date, we have been able to timely make our required interest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but we cannot guarantee that we will be able to do so in the future. If we fail to repay, repurchase or redeem our outstanding notes when required, we will be in default under the applicable instrument for such indebtedness. Any of these events could have a material adverse effect on our business, results of operations and financial condition, up to and including the noteholders initiating bankruptcy proceedings or causing us to cease operations altogether.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$55.0 million of which remain payable as of March 31, 2024. See Note 14 – </w:t>
      </w:r>
      <w:r>
        <w:rPr>
          <w:rFonts w:ascii="Times New Roman" w:hAnsi="Times New Roman"/>
          <w:i/>
          <w:color w:val="000000"/>
          <w:sz w:val="20"/>
        </w:rPr>
        <w:t>Commitments and Contingencies</w:t>
      </w:r>
      <w:r>
        <w:rPr>
          <w:rFonts w:ascii="Times New Roman" w:hAnsi="Times New Roman"/>
          <w:color w:val="000000"/>
          <w:sz w:val="20"/>
        </w:rPr>
        <w:t xml:space="preserve"> for further information related to the Milestone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2024, we generated $6.7 million of cash for our operating activities, which primarily consisted of $55.5 million in cash receipts from customers, in addition to non-cash revenue consisting of $3.5 million net recognition of revenue that was previously deferred and $2.3 million of revenue for the 1% sold portion of our royalties, partially offset by $16.8 million of cost of goods sold, $9.8 million of selling expenses, $7.8 million of costs for research and development, $6.7 million of general and administrative expenses, and $5.8 million of net cash paid for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2023, we generated $1.2 million of cash from our operating activities, which consisted of $45.6 million of revenue, partially offset by $17.1 million of selling, general and administrative expenses, $19.4 million of cost of goods sold, $7.3 million of costs for research and development and $3.7 million of net cash paid for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of $48.4 million for the three months ended March 31, 2024 was primarily due to the purchase of $68.4 million of debt securities and $2.4 million of property and equipment, partially offset by the maturity of $22.0 million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of $13.8 million for the three months ended March 31, 2023 was primarily due to $22.1 million of proceeds from debt securities partially offset by $8.3 million for the purchase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of $3.5 million for the three months ended March 31, 2024 was primarily due to principal payments on the MidCap credit facility of $5.0 million partially offset by $1.4 million in proceeds from the market price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of $1.2 million for the three months ended March 31, 2023 was primarily due to proceeds from at-the-market offerings.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Future Liquidity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Although we generated a net income of $10.6 million and net cash provided by operating activities reflected in our condensed consolidated statements of cash flows was $6.7 million during the three months ended March 31, 2024, we have not generated a net income or cash flows from operating activities on a consistent basis. In addition, we expect to continue to incur expenditures for the foreseeable future in support of our manufacturing operations, sales and marketing costs for our products and development costs for other product candidates in our pipeline. As of March 31, 2024, we had capital resources comprised of $193.3 million in cash and cash equivalents, $107.5 million in short-term investments and $3.7 million in long-term investments, and total principal amount of outstanding borrowings of $267.1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resources will be sufficient to fund our operations for the next twelve months from the date of issuance of our condensed consolidated financial statements included in Part I –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8 – </w:t>
      </w:r>
      <w:r>
        <w:rPr>
          <w:rFonts w:ascii="Times New Roman" w:hAnsi="Times New Roman"/>
          <w:i/>
          <w:color w:val="000000"/>
          <w:sz w:val="20"/>
        </w:rPr>
        <w:t xml:space="preserve">Borrowings </w:t>
      </w:r>
      <w:r>
        <w:rPr>
          <w:rFonts w:ascii="Times New Roman" w:hAnsi="Times New Roman"/>
          <w:color w:val="000000"/>
          <w:sz w:val="20"/>
        </w:rPr>
        <w:t xml:space="preserve">and Note 14 – </w:t>
      </w:r>
      <w:r>
        <w:rPr>
          <w:rFonts w:ascii="Times New Roman" w:hAnsi="Times New Roman"/>
          <w:i/>
          <w:color w:val="000000"/>
          <w:sz w:val="20"/>
        </w:rPr>
        <w:t>Commitments and Contingencies</w:t>
      </w:r>
      <w:r>
        <w:rPr>
          <w:rFonts w:ascii="Times New Roman" w:hAnsi="Times New Roman"/>
          <w:color w:val="000000"/>
          <w:sz w:val="20"/>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on borrowings under the MidCap credit facility accrued interest at an annual rate equal to the lesser of (i) 8.25% and (ii) the one-month SOFR (subject to a one-month SOFR floor of 1.00%) plus 6.25%. Accordingly, our interest expense under the MidCap credit facility was subject to changes in the one-month SOFR rate.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other debt has fixed interest rates, so the interest expense associated with such debt is not exposed to changes in market interest rates. Specifically, the interest rate on the amount borrowed under the Mann Group convertible note was fixed at 2.50% and the interest rate under the Senior convertible notes is fixed at 2.50%. See Note 8 – </w:t>
      </w:r>
      <w:r>
        <w:rPr>
          <w:rFonts w:ascii="Times New Roman" w:hAnsi="Times New Roman"/>
          <w:i/>
          <w:color w:val="000000"/>
          <w:sz w:val="20"/>
        </w:rPr>
        <w:t>Borrowings</w:t>
      </w:r>
      <w:r>
        <w:rPr>
          <w:rFonts w:ascii="Times New Roman" w:hAnsi="Times New Roman"/>
          <w:color w:val="000000"/>
          <w:sz w:val="20"/>
        </w:rPr>
        <w:t xml:space="preserve"> for information about the principal amount of outstanding debt.</w:t>
      </w:r>
    </w:p>
    <w:p>
      <w:pPr>
        <w:pStyle w:val="TextBody"/>
        <w:bidi w:val="0"/>
        <w:spacing w:before="24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March 31, 2024, we realized a $1.4 million currency gain, which was reflected as (gain) loss on foreign currency transaction in the accompanying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rate fluctuations may adversely affect our expenses, results of operations, financial position and cash flows. If a change in the U.S. dollar to Euro exchange rate equal to 10% of the U.S. dollar to Euro exchange rate on March 31, 2024 were to have occurred, this change would have resulted in a foreign currency impact to our pre-tax income of approximately $6.3 million.</w:t>
      </w:r>
    </w:p>
    <w:p>
      <w:pPr>
        <w:pStyle w:val="TextBody"/>
        <w:bidi w:val="0"/>
        <w:spacing w:before="24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evaluation of our disclosure controls and procedures as of March 31, 2024, our Chief Executive Officer and our Chief Financial Officer have concluded, as of such date, that our disclosure controls and procedures were effective.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14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and should be carefully considered, together with other information in this Quarterly Report on Form 10-Q and our other filings with the SEC before making investment decisions regarding our common stock.</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face risks and uncertainties related to our business, many of which are beyond our control. In particular, risks associated with our business include: </w:t>
      </w:r>
    </w:p>
    <w:p>
      <w:pPr>
        <w:pStyle w:val="TextBody"/>
        <w:bidi w:val="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that we or our collaboration partner are commercializing may only achieve a limited degree of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to fund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operating losses. We may incur losses and may not generate positive cash flow from operations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cash to service all of our indebtedness and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product candidates may be rendered obsolete by rapid technological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ongoing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is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products that we or our collaboration partner are commercializing may only achieve a limited degree of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our collaboration partner) may not gain market acceptance among physicians,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payers and the healthcare community. The degree of market acceptance of our or a collaboration partner’s products depends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approved labeling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willingness of the healthcare community and patients to adopt new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manufacture the product in sufficient quantities with acceptable quality and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perception of patients and the healthcare community, including third-party payers, regarding the safety, efficacy and benefits compared to competing products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relative to existing treatment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as well as pricing relative to other treatment therapeutics and methods;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distribution support.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jc w:val="left"/>
        <w:rPr>
          <w:rFonts w:ascii="Times New Roman" w:hAnsi="Times New Roman"/>
          <w:color w:val="000000"/>
          <w:sz w:val="20"/>
        </w:rPr>
      </w:pPr>
      <w:r>
        <w:rPr>
          <w:rFonts w:ascii="Times New Roman" w:hAnsi="Times New Roman"/>
          <w:color w:val="000000"/>
          <w:sz w:val="20"/>
        </w:rPr>
        <w:t>We have built a sales force that promotes Afrezza and V-Go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recruit, retain and effectively manage adequate numbers of effective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complementary products to be offered by sales personnel, which may put us at a competitive disadvantage relative to companies that have more extensive product lines;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unforeseen delays, costs and expenses associated with maintaining our sales organization.</w:t>
      </w:r>
    </w:p>
    <w:p>
      <w:pPr>
        <w:pStyle w:val="TextBody"/>
        <w:bidi w:val="0"/>
        <w:jc w:val="left"/>
        <w:rPr>
          <w:rFonts w:ascii="Times New Roman" w:hAnsi="Times New Roman"/>
          <w:color w:val="000000"/>
          <w:sz w:val="20"/>
        </w:rPr>
      </w:pPr>
      <w:r>
        <w:rPr>
          <w:rFonts w:ascii="Times New Roman" w:hAnsi="Times New Roman"/>
          <w:color w:val="000000"/>
          <w:sz w:val="20"/>
        </w:rPr>
        <w:t>If we are unable to maintain an effective sales force for our products, including any other potential future approved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Manufacturing risks may adversely affect our ability to manufacture our products and Tyvaso DPI, which could reduce our gross margin and profitability.*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use our Danbury, Connecticut facility to assemble the inhalers from their individual molded parts, formulate both the Afrezza and Tyvaso DPI inhalation powders, fill plastic cartridges with the powders, package the cartridges into secondary packaging and, beginning in 2024, assemble final kits for certain stock-keeping units. Other semi-finished goods are assembled into the final kits for commercial sale by a contract packager.</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jc w:val="left"/>
        <w:rPr>
          <w:rFonts w:ascii="Times New Roman" w:hAnsi="Times New Roman"/>
          <w:color w:val="000000"/>
          <w:sz w:val="20"/>
        </w:rPr>
      </w:pPr>
      <w:r>
        <w:rPr>
          <w:rFonts w:ascii="Times New Roman" w:hAnsi="Times New Roman"/>
          <w:color w:val="000000"/>
          <w:sz w:val="20"/>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political and economic conditions, particularly those potentially negatively affecting the trade relationship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such as tariff increases, and import and export licensing and control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negative consequences from changes in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associated with the Chinese legal system, including increased costs and uncertainties associated with enforcing contractual obligations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lower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or unfavorable changes in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volatility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patient or physician preferences for more established pharmaceutical products and medical devices manufactured in the United States;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difficulties in managing foreign relationships and operations generally.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risks are likely to be exacerbated by our limited experience with V-Go and its manufacturing processes. </w:t>
      </w:r>
    </w:p>
    <w:p>
      <w:pPr>
        <w:pStyle w:val="TextBody"/>
        <w:bidi w:val="0"/>
        <w:jc w:val="left"/>
        <w:rPr>
          <w:rFonts w:ascii="Times New Roman" w:hAnsi="Times New Roman"/>
          <w:b/>
          <w:i/>
          <w:color w:val="000000"/>
          <w:sz w:val="20"/>
        </w:rPr>
      </w:pPr>
      <w:r>
        <w:rPr>
          <w:rFonts w:ascii="Times New Roman" w:hAnsi="Times New Roman"/>
          <w:b/>
          <w:i/>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 (“cGMP”) for drug products, and the molding of the inhaler and cartridges components in accordance with quality system regulations for medical devices (“QSRs”).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third-party payers do not cover our approved products, such products might not be prescribed, used or purchased, which would adversely affect our revenues.</w:t>
      </w:r>
    </w:p>
    <w:p>
      <w:pPr>
        <w:pStyle w:val="TextBody"/>
        <w:bidi w:val="0"/>
        <w:jc w:val="left"/>
        <w:rPr>
          <w:rFonts w:ascii="Times New Roman" w:hAnsi="Times New Roman"/>
          <w:color w:val="000000"/>
          <w:sz w:val="20"/>
        </w:rPr>
      </w:pPr>
      <w:r>
        <w:rPr>
          <w:rFonts w:ascii="Times New Roman" w:hAnsi="Times New Roman"/>
          <w:color w:val="000000"/>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(the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need to raise additional capital to fund our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may need to raise additional capital, whether through the sale of equity or debt securities, additional strategic business collaborations, the establishment of other funding facilities, licensing arrangements, asset sales or other means, in order to support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we are able to generate revenue from products that we or a collaboration partner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developing Afrezza and of commercializing Afrezza and V-Go on our own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by any or all of the holders of our Senior convertible notes to require us to repay or repurchase such debt securities if and when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repay or refinance existing indebtedness, and the extent to which our Senior convertible notes or any other convertible debt securities we may issue are converted into or exchanged for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costs of our clinical studies and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procuring raw materials and operating our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the FDA and other regulatory authorities affecting Afrezza, V-Go, Tyvaso DPI, our product candidates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technologies and products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prosecuting, maintaining and enforcing patent claims and other intellectual property rights or defending against claims of infringement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our legal and litigation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discontinuing projects and technologies, and/or decommissioning existing facilities, if we undertake any such activities.</w:t>
      </w:r>
    </w:p>
    <w:p>
      <w:pPr>
        <w:pStyle w:val="TextBody"/>
        <w:bidi w:val="0"/>
        <w:jc w:val="left"/>
        <w:rPr>
          <w:rFonts w:ascii="Times New Roman" w:hAnsi="Times New Roman"/>
          <w:color w:val="000000"/>
          <w:sz w:val="20"/>
        </w:rPr>
      </w:pPr>
      <w:r>
        <w:rPr>
          <w:rFonts w:ascii="Times New Roman" w:hAnsi="Times New Roman"/>
          <w:color w:val="000000"/>
          <w:sz w:val="20"/>
        </w:rPr>
        <w:t>We have raised capital in the past through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jc w:val="left"/>
        <w:rPr>
          <w:rFonts w:ascii="Times New Roman" w:hAnsi="Times New Roman"/>
          <w:color w:val="000000"/>
          <w:sz w:val="20"/>
        </w:rPr>
      </w:pPr>
      <w:r>
        <w:rPr>
          <w:rFonts w:ascii="Times New Roman" w:hAnsi="Times New Roman"/>
          <w:color w:val="000000"/>
          <w:sz w:val="20"/>
        </w:rPr>
        <w:t>We, and third parties with whom we work,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pStyle w:val="TextBody"/>
        <w:bidi w:val="0"/>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attached enhanced or facilitated by AI, telecommunications failures, earthquakes, fires, floods,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We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including on a timely basis. Further, we may experience delays in developing and deploying remedial measures and patches designed to address identified vulnerabilities. We have in the past experienced security incidents. For example, like many companies, we use SolarWinds to help manage our information technology systems. A cyber-attack on SolarWinds was discovered in December 2020 and widely exploited by threat actors. Upon learning of this vulnerability,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operations or the sensitive information we may process. These incidents illustrate that despite our efforts to identify and remediate vulnerabilities, if any, in our information technology systems, our efforts may not be successful.</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t>
      </w:r>
    </w:p>
    <w:p>
      <w:pPr>
        <w:pStyle w:val="TextBody"/>
        <w:bidi w:val="0"/>
        <w:jc w:val="left"/>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disclosures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artificial intelligence (“AI”) technologies.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expect that our results of operations will fluctuate for the foreseeable future, which may make it difficult to predict our future performance from period to period.</w:t>
      </w:r>
    </w:p>
    <w:p>
      <w:pPr>
        <w:pStyle w:val="TextBody"/>
        <w:bidi w:val="0"/>
        <w:jc w:val="left"/>
        <w:rPr>
          <w:rFonts w:ascii="Times New Roman" w:hAnsi="Times New Roman"/>
          <w:color w:val="000000"/>
          <w:sz w:val="20"/>
        </w:rPr>
      </w:pPr>
      <w:r>
        <w:rPr>
          <w:rFonts w:ascii="Times New Roman" w:hAnsi="Times New Roman"/>
          <w:color w:val="000000"/>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believe that comparisons from period to period of our financial results are not necessarily meaningful and should not be relied upon as indications of our future performance.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a history of operating losses. We may incur losses and may not generate positive cash flow from operations in the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Although we had positive cash flows from operating activities during the three months ended March 31, 2024 and the year ended December 31, 2023, we have a history of operating losses. As of March 31, 2024, we had an accumulated deficit of $230.0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losses have had, and may continue to have, an adverse impact on our working capital, total assets and stockholders’ equity. Our ability to achieve and sustain positive cash flow from operations and profitability depends heavily upon successfully commercializing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products, and although we had positive cash flows from operations during the three months ended March 31, 2024 and the year ended December 31, 2023, we may not generate positive cash flow from operations or be profitable in the future.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generate sufficient cash to service all of our indebtedness and commitments.*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ability to make scheduled payments on our insulin purchase commitments and debt obligations will depend on our financial and operating performance, which is subject to the commercial success of our products and the commercial success of the product(s) of our collaboration partners, the extent to which we are able to successfully develop and commercialize additional products, the extent to which we enter into additional collaboration or licensing arrangements, prevailing economic and competitive conditions, and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borrowings under the Senior convertible notes when required, we will be in default under the instrument for such debt securities,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may from time to time seek to retire or purchase our outstanding debt, including the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jc w:val="left"/>
        <w:rPr>
          <w:rFonts w:ascii="Times New Roman" w:hAnsi="Times New Roman"/>
          <w:color w:val="000000"/>
          <w:sz w:val="20"/>
        </w:rPr>
      </w:pPr>
      <w:r>
        <w:rPr>
          <w:rFonts w:ascii="Times New Roman" w:hAnsi="Times New Roman"/>
          <w:color w:val="000000"/>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recent policy of strict lockdowns in order to reduce the spread of disease. Disruptions in sales and demand for our products would be expected to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are physically quarantined or are unable or unwilling to visit healthcare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physicians restrict access to their facilities for a material period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healthcare providers prioritize treatment of acute or communicable illnesses over chronic disease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pharmacies are closed or suffering supply chain disruptions,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lose access to employer-sponsored health insurance due to periods of high unemployment, or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result of general disruptions in the operations of payers, distributors, logistics providers and other third parties that are necessary for our products to be prescribed and reimbursed.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analysis of data collected from clinical studies of our product candidates may not reach the statistical significance necessary, or otherwise be sufficient to support FDA or other regulatory approval for the claimed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reviewing clinical data, we or any collaborators may abandon projects that we previously believed were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jc w:val="left"/>
        <w:rPr>
          <w:rFonts w:ascii="Times New Roman" w:hAnsi="Times New Roman"/>
          <w:color w:val="000000"/>
          <w:sz w:val="20"/>
        </w:rPr>
      </w:pPr>
      <w:r>
        <w:rPr>
          <w:rFonts w:ascii="Times New Roman" w:hAnsi="Times New Roman"/>
          <w:color w:val="000000"/>
          <w:sz w:val="20"/>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studies and preclinical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study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expanding and maintaining manufacturing operations,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clinical studies compete for clinical sites and eligible subjects with clinical studies sponsored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by regulators;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disruptions caused by geopolitical conflicts, man-made or natural disasters or public health pandemics or epidemics or other business interruptions.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example, in June 2023, the contract manufacturer responsible for the production of clofazimine inhalation solution, the investigational product we are developing as MNKD-101, experienced a fire in its manufacturing facility in Germany. As a result of the incident, the initiation of a Phase 3 clinical study of MNKD-101, originally planned for late 2023, is now expected to commence in the second quarter of 2024. 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long-term safety and efficacy of approved products may differ from clinical studies, which could negatively impact sales and could lead to reputational harm or other negative effects.</w:t>
      </w:r>
    </w:p>
    <w:p>
      <w:pPr>
        <w:pStyle w:val="TextBody"/>
        <w:bidi w:val="0"/>
        <w:jc w:val="left"/>
        <w:rPr>
          <w:rFonts w:ascii="Times New Roman" w:hAnsi="Times New Roman"/>
          <w:color w:val="000000"/>
          <w:sz w:val="20"/>
        </w:rPr>
      </w:pPr>
      <w:r>
        <w:rPr>
          <w:rFonts w:ascii="Times New Roman" w:hAnsi="Times New Roman"/>
          <w:color w:val="000000"/>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realize the anticipated benefits of any future acquisition or strategic transaction; we may be unable to successfully integrate new products or businesses we may acquire.</w:t>
      </w:r>
    </w:p>
    <w:p>
      <w:pPr>
        <w:pStyle w:val="TextBody"/>
        <w:bidi w:val="0"/>
        <w:jc w:val="left"/>
        <w:rPr>
          <w:rFonts w:ascii="Times New Roman" w:hAnsi="Times New Roman"/>
          <w:color w:val="000000"/>
          <w:sz w:val="20"/>
        </w:rPr>
      </w:pPr>
      <w:r>
        <w:rPr>
          <w:rFonts w:ascii="Times New Roman" w:hAnsi="Times New Roman"/>
          <w:color w:val="000000"/>
          <w:sz w:val="20"/>
        </w:rPr>
        <w:t xml:space="preserve">We periodically evaluate and pursue acquisition of therapeutic products. The integration of any acquired business, product or other assets into our company may be complex and time-consuming and, if such businesses, products or assets are not successfully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integrated, we may not achieve the anticipated benefits, cost-savings or growth opportunities. Potential difficulties that may be encountered in the integration process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liabilities related to acquired assets, companies or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integrating personnel, operations and systems, while maintaining focus on producing and delivering consistent, high quality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geographically dispersed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management of strategic alliances or joint ventures or acquisition integration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existing customers and attracting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inefficiencies associated with integrating the operations of our company;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possible write-offs or impairment charges relating to acquired assets, businesses or joint ventures.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pStyle w:val="TextBody"/>
        <w:bidi w:val="0"/>
        <w:jc w:val="left"/>
        <w:rPr>
          <w:rFonts w:ascii="Times New Roman" w:hAnsi="Times New Roman"/>
          <w:color w:val="000000"/>
          <w:sz w:val="20"/>
        </w:rPr>
      </w:pPr>
      <w:r>
        <w:rPr>
          <w:rFonts w:ascii="Times New Roman" w:hAnsi="Times New Roman"/>
          <w:color w:val="000000"/>
          <w:sz w:val="20"/>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products and product candidates may be rendered obsolete by rapid technological 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product liability claims are brought against us, we may incur significant liabilities and suffer damage to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 a product liability claim our business, financial condition and results of operations would be harmed and the market price of our common stock and other securities may decline.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we lose any key employees or scientific advisors, our operations and our ability to execute our business strategy could be materially harmed.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or modifications in financial accounting standards may harm our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use net operating loss carryforwards to offset future taxable income may be subject to limitations.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December 31, 2023, the Company had federal and state net operating loss carryforwards of approximately $2.0 billion and $1.3 billion available, respectively, to reduce future taxable income. $494.0 million of the federal net operating loss carryforwards do not expire and the remaining federal net operating loss carryforwards have started expiring, beginning in the current year through various future 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2023, to determine whether additional limitations apply to the net operating loss carryforwards and other tax attributes, and no additional changes in ownership that met Section 382 study ownership change threshold have been identified through December 31, 2023. There is a risk that changes in ownership may occur in tax years after December 31, 2023.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 </w:t>
      </w:r>
    </w:p>
    <w:p>
      <w:pPr>
        <w:pStyle w:val="TextBody"/>
        <w:bidi w:val="0"/>
        <w:spacing w:before="0" w:after="120"/>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operations might be interrupted by the occurrence of a natural disaster or other catastrophic event.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(including the current Russia-Ukraine war, the state of war between Israel and Hamas and attacks on commercial marine vessels in the Red Sea by Houthi rebels),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deal with hazardous materials and must comply with environmental laws and regulations, which can be expensive and restrict how we do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funding for the FDA, the SEC and other government agencies could hinder their ability to hire and retain key leadership and other personnel, prevent new products and services from being developed or commercialized in a timely manner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otherwise prevent those agencies from performing normal functions on which the operation of our business may rely, which could negatively impact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design, development, manufacture and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storage and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sales and distribution.</w:t>
      </w:r>
    </w:p>
    <w:p>
      <w:pPr>
        <w:pStyle w:val="TextBody"/>
        <w:bidi w:val="0"/>
        <w:jc w:val="left"/>
        <w:rPr>
          <w:rFonts w:ascii="Times New Roman" w:hAnsi="Times New Roman"/>
          <w:color w:val="000000"/>
          <w:sz w:val="20"/>
        </w:rPr>
      </w:pPr>
      <w:r>
        <w:rPr>
          <w:rFonts w:ascii="Times New Roman" w:hAnsi="Times New Roman"/>
          <w:color w:val="000000"/>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Even if we comply with regulatory requirements, we may not be able to obtain the labeling claims necessary or desirable for product promotion. We may also be required to undertake post-marketing studies. </w:t>
      </w:r>
    </w:p>
    <w:p>
      <w:pPr>
        <w:pStyle w:val="TextBody"/>
        <w:bidi w:val="0"/>
        <w:jc w:val="left"/>
        <w:rPr>
          <w:rFonts w:ascii="Times New Roman" w:hAnsi="Times New Roman"/>
          <w:color w:val="000000"/>
          <w:sz w:val="20"/>
        </w:rPr>
      </w:pPr>
      <w:r>
        <w:rPr>
          <w:rFonts w:ascii="Times New Roman" w:hAnsi="Times New Roman"/>
          <w:color w:val="000000"/>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are subject to stringent, ongoing government regulation.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revisions to the approved labeling to add new safety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part of the approval of Afrezza, the FDA required us to conduct certain additional clinical studies of Afrezza. One of these studies, a Phase 3 clinical trial to evaluate the safety and efficacy of Afrezza in 4-17 year-old children and adolescents, is ongoing.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regulatory approval of our product candidates, delay the submission or review of an application or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legislation may make it more difficult to receive revenues.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and Education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under PPACA, which requires certain manufacturers of drugs, devices, biologics, and medical supplies to report annually to Centers for Medicare &amp; Medicaid Services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exceptions and regulatory safe harbors, it is possible that some of our business activities could be subject to challenge under one or more of such laws. With Afrezza approved in Brazil and as our partners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(up to $7,500 per intentional violation)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with whom we work.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(“EU GDPR”), the United Kingdom’s GDPR (“UK GDPR”) (EU GDPR and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The United States is also increasingly scrutinizing certain data transfers and may also impose certain data localization requirements, particularly if we transfer personal data to, or process personal data of residents of, high risk or sanctioned jurisdictions.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eliminated the statutory Medicaid drug rebate cap, previously set at 100% of a drug’s average manufacturer's price (“AMP”), for single source and innovator multiple source drugs effective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spacing w:before="0" w:after="120"/>
        <w:jc w:val="left"/>
        <w:rPr>
          <w:rFonts w:ascii="Times New Roman" w:hAnsi="Times New Roman"/>
          <w:sz w:val="20"/>
        </w:rPr>
      </w:pPr>
      <w:r>
        <w:rPr>
          <w:rFonts w:ascii="Times New Roman" w:hAnsi="Times New Roman"/>
          <w:b/>
          <w:i/>
          <w:color w:val="000000"/>
          <w:sz w:val="20"/>
        </w:rPr>
        <w:t>Our business could be negatively impacted by environmental, social and corporate governance (</w:t>
      </w:r>
      <w:r>
        <w:rPr>
          <w:rFonts w:ascii="Times New Roman" w:hAnsi="Times New Roman"/>
          <w:color w:val="000000"/>
          <w:sz w:val="20"/>
        </w:rPr>
        <w:t>“</w:t>
      </w:r>
      <w:r>
        <w:rPr>
          <w:rFonts w:ascii="Times New Roman" w:hAnsi="Times New Roman"/>
          <w:b/>
          <w:i/>
          <w:color w:val="000000"/>
          <w:sz w:val="20"/>
        </w:rPr>
        <w:t>ESG</w:t>
      </w:r>
      <w:r>
        <w:rPr>
          <w:rFonts w:ascii="Times New Roman" w:hAnsi="Times New Roman"/>
          <w:color w:val="000000"/>
          <w:sz w:val="20"/>
        </w:rPr>
        <w:t>”</w:t>
      </w:r>
      <w:r>
        <w:rPr>
          <w:rFonts w:ascii="Times New Roman" w:hAnsi="Times New Roman"/>
          <w:b/>
          <w:i/>
          <w:color w:val="000000"/>
          <w:sz w:val="20"/>
        </w:rPr>
        <w:t>) matters or our reporting of such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and such lack of reporting may have resulted in certain investors declining to invest in our common stock. However,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portfolio of investment securities may require us to register with the SEC as an “investment company” in accordance with the Investment Company Act of 1940 (“‘40 Act”).</w:t>
      </w:r>
    </w:p>
    <w:p>
      <w:pPr>
        <w:pStyle w:val="TextBody"/>
        <w:bidi w:val="0"/>
        <w:jc w:val="left"/>
        <w:rPr>
          <w:rFonts w:ascii="Times New Roman" w:hAnsi="Times New Roman"/>
          <w:color w:val="000000"/>
          <w:sz w:val="20"/>
        </w:rPr>
      </w:pPr>
      <w:r>
        <w:rPr>
          <w:rFonts w:ascii="Times New Roman" w:hAnsi="Times New Roman"/>
          <w:color w:val="000000"/>
          <w:sz w:val="20"/>
        </w:rPr>
        <w:t xml:space="preserve">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protect our proprietary rights, we may not be able to compete effectively, or operate profitably.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Although we do not believe that our products or product candidates infringe any third-party patents, if a plaintiff was to allege infringement of their patent rights, we would have to establish with the court that their patents are invalid or unenforceable in order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jc w:val="left"/>
        <w:rPr>
          <w:rFonts w:ascii="Times New Roman" w:hAnsi="Times New Roman"/>
          <w:b/>
          <w:i/>
          <w:color w:val="000000"/>
          <w:sz w:val="20"/>
        </w:rPr>
      </w:pPr>
      <w:r>
        <w:rPr>
          <w:rFonts w:ascii="Times New Roman" w:hAnsi="Times New Roman"/>
          <w:b/>
          <w:i/>
          <w:color w:val="000000"/>
          <w:sz w:val="20"/>
        </w:rPr>
        <w:t>We may not obtain trademark registrations for our potential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marketing approval for our products outside of the United States and to find collaboration partners for the commercialization of our products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estimates of product sales, royalties, prescriptions or other operating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other products based on our Technosphere drug delivery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results of preclinical and clinical studies of our product candidates and of post-approval studies of approved products that are required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or stock market conditions, especially for emerging growth and pharmaceutical market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events, such as the current Russia-Ukraine and Israel-Hamas conflicts and Houthis rebel attacks on commercial marine vessels in the Red Sea;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collaborators, or our competitors concerning clinical study results, acquisitions, strategic alliances, technological innovations, newly approved commercial products, product discontinuations, or other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critical materials used in developing and manufacturing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relationship with any of our current or future collaborators or third 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patents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and time associated with, and the extent of our ultimate success in, securing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concerning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securities analysts’ estimates of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including sales by our executive officers, directors and significant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trades of short sellers;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any legal proceedings or regulatory matters against or involving us or any of our executive officers and directors;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of these risks, as well as other factors, could cause the market value of our common stock and other securities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continue to meet all applicable listing requirements, our common stock may be delisted from the Nasdaq Global Market, which could have an adverse impact on the liquidity and market price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 to which the Delaware General Corporation Law confers jurisdiction to the Court of Chancery of the State of Delaware;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that is governed by the internal affairs doctrine.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we do not expect to pay dividends in the foreseeable future, you must rely on stock appreciation for any return on any investment in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pStyle w:val="TextBody"/>
        <w:bidi w:val="0"/>
        <w:spacing w:before="0" w:after="120"/>
        <w:jc w:val="left"/>
        <w:rPr>
          <w:rFonts w:ascii="Times New Roman" w:hAnsi="Times New Roman"/>
          <w:sz w:val="20"/>
        </w:rPr>
      </w:pPr>
      <w:r>
        <w:rPr>
          <w:rFonts w:ascii="Times New Roman" w:hAnsi="Times New Roman"/>
          <w:b/>
          <w:i/>
          <w:color w:val="000000"/>
          <w:sz w:val="20"/>
        </w:rPr>
        <w:t>Future sales of shares of our common stock in the public market, or the perception that such sales may occur, may depress our stock price and adversely impact the market price of our common stock and other securities.*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Likewise, the issuance of additional shares of our common stock upon the exchange or conversion of the Senior convertible notes could adversely affect the market price of our common stock and other securities. Moreover, the existence of these notes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encourage short selling of our common stock by market participants, which could adversely affect the market price of our common stock and other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 </w:t>
      </w:r>
    </w:p>
    <w:p>
      <w:pPr>
        <w:pStyle w:val="TextBody"/>
        <w:bidi w:val="0"/>
        <w:spacing w:before="120" w:after="240"/>
        <w:jc w:val="left"/>
        <w:rPr>
          <w:rFonts w:ascii="Times New Roman" w:hAnsi="Times New Roman"/>
          <w:sz w:val="20"/>
        </w:rPr>
      </w:pPr>
      <w:r>
        <w:rPr>
          <w:rFonts w:ascii="Times New Roman" w:hAnsi="Times New Roman"/>
          <w:color w:val="000000"/>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color w:val="006EBF"/>
          <w:sz w:val="20"/>
        </w:rPr>
        <w:t xml:space="preserv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jc w:val="left"/>
        <w:rPr>
          <w:rFonts w:ascii="Times New Roman" w:hAnsi="Times New Roman"/>
          <w:color w:val="000000"/>
          <w:sz w:val="20"/>
        </w:rPr>
      </w:pPr>
      <w:r>
        <w:rPr>
          <w:rFonts w:ascii="Times New Roman" w:hAnsi="Times New Roman"/>
          <w:color w:val="000000"/>
          <w:sz w:val="20"/>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the risk of a larger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January 2024, we elected to pay quarterly interest under the Mann Group convertible note of approximately $0.1 million by issuing the Mann Group 15,285 shares of common stock. See Note 8 – </w:t>
      </w:r>
      <w:r>
        <w:rPr>
          <w:rFonts w:ascii="Times New Roman" w:hAnsi="Times New Roman"/>
          <w:i/>
          <w:color w:val="000000"/>
          <w:sz w:val="20"/>
        </w:rPr>
        <w:t>Borrowings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relied on an exemption from registration provided by Section 3(a)(9) or 4(a)(2) of the Securities Act of 1933, as amended, for the issuance of the shares described above.</w:t>
      </w:r>
    </w:p>
    <w:p>
      <w:pPr>
        <w:pStyle w:val="TextBody"/>
        <w:bidi w:val="0"/>
        <w:spacing w:before="24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254"/>
        <w:gridCol w:w="9198"/>
      </w:tblGrid>
      <w:tr>
        <w:trPr/>
        <w:tc>
          <w:tcPr>
            <w:tcW w:w="753"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198" w:type="dxa"/>
            <w:tcBorders/>
            <w:shd w:fill="FFFFFF" w:val="clear"/>
            <w:vAlign w:val="center"/>
          </w:tcPr>
          <w:p>
            <w:pPr>
              <w:pStyle w:val="TableContents"/>
              <w:bidi w:val="0"/>
              <w:spacing w:before="0" w:after="283"/>
              <w:jc w:val="left"/>
              <w:rPr>
                <w:sz w:val="4"/>
                <w:szCs w:val="4"/>
              </w:rPr>
            </w:pPr>
            <w:r>
              <w:rPr>
                <w:sz w:val="4"/>
                <w:szCs w:val="4"/>
              </w:rPr>
            </w:r>
          </w:p>
        </w:tc>
      </w:tr>
      <w:tr>
        <w:trPr/>
        <w:tc>
          <w:tcPr>
            <w:tcW w:w="753"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by reference to Exhibit 3.1 to MannKind’s Quarterly Report on Form 10-Q (File No. 000-50865), filed with the SEC on August 9, 2016).</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(incorporated by reference to Exhibit 3.2 to MannKind’s Current Report on Form 8-K (File No. 000-50865), filed with the SEC on May 27, 2020).</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8">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3.2</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3.3</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3.4</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3.5</w:t>
              </w:r>
            </w:hyperlink>
            <w:r>
              <w:rPr>
                <w:rFonts w:ascii="Times New Roman" w:hAnsi="Times New Roman"/>
                <w:color w:val="000000"/>
                <w:sz w:val="20"/>
              </w:rPr>
              <w:t xml:space="preserve"> and </w:t>
            </w:r>
            <w:hyperlink r:id="rId13">
              <w:r>
                <w:rPr>
                  <w:rStyle w:val="InternetLink"/>
                  <w:rFonts w:ascii="Times New Roman" w:hAnsi="Times New Roman"/>
                  <w:color w:val="0000FF"/>
                  <w:sz w:val="20"/>
                  <w:u w:val="single"/>
                </w:rPr>
                <w:t>3.6</w:t>
              </w:r>
            </w:hyperlink>
            <w:r>
              <w:rPr>
                <w:rFonts w:ascii="Times New Roman" w:hAnsi="Times New Roman"/>
                <w:color w:val="000000"/>
                <w:sz w:val="20"/>
              </w:rPr>
              <w:t>.</w:t>
            </w:r>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certificate (incorporated by reference to Exhibit 4.2 to MannKind’s Annual Report on Form 10-K (File No. 000-50865), filed with the SEC on March 16, 2017).</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254" w:type="dxa"/>
            <w:tcBorders/>
            <w:vAlign w:val="center"/>
          </w:tcPr>
          <w:p>
            <w:pPr>
              <w:pStyle w:val="TableContents"/>
              <w:bidi w:val="0"/>
              <w:spacing w:before="0" w:after="283"/>
              <w:jc w:val="left"/>
              <w:rPr/>
            </w:pPr>
            <w:r>
              <w:rPr/>
              <w:t> </w:t>
            </w:r>
          </w:p>
        </w:tc>
        <w:tc>
          <w:tcPr>
            <w:tcW w:w="9198"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753"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4.4</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4.5</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Indenture, dated as of March 4, 2021, by and between MannKind Corporation and U.S. Bank National Association, as Trustee (incorporated by reference to Exhibit 4.1 to MannKind’s Current Report on Form 8-K (File No. 000-50865), filed with the SEC on March 5, 2021).</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4.6</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"https://www.sec.gov/Archives/edgar/data/899460/000119312521070265/d45565dex41.htm" \l "exa"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Global Note, representing MannKind Corporation’s 2.50% Convertible Senior Notes due 2026 (included as Exhibit A to the Indenture filed as Exhibit 4.15) (incorporated by reference to Exhibit 4.2 to MannKind’s Current Report on Form 8-K (File No. 000-50865), filed with the SEC on March 5, 2021).</w:t>
            </w:r>
            <w:r>
              <w:rPr>
                <w:rStyle w:val="InternetLink"/>
                <w:sz w:val="20"/>
                <w:u w:val="single"/>
                <w:rFonts w:ascii="Times New Roman" w:hAnsi="Times New Roman"/>
                <w:color w:val="0000FF"/>
              </w:rPr>
              <w:fldChar w:fldCharType="end"/>
            </w:r>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Offer Letter, dated March 25, 2024, by and between MannKind Corporation and Chris Prentiss (incorporated by reference to Exhibit 10.1 to MannKind’s Current Report on Form 8-K (File No. 000-50865), filed with the SEC on March 26, 2024).</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31.1</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w:anchor="mnkd-ex31_1.htm">
              <w:r>
                <w:rPr>
                  <w:rStyle w:val="InternetLink"/>
                  <w:rFonts w:ascii="Times New Roman" w:hAnsi="Times New Roman"/>
                  <w:color w:val="0000FF"/>
                  <w:sz w:val="20"/>
                  <w:u w:val="single"/>
                </w:rPr>
                <w:t>Certification of the Chief Executive Officer pursuant to Rules 13a-14(a) and 15d-14(a) of the Securities Exchange Act of 1934, as amended.</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31.2</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w:anchor="mnkd-ex31_2.htm">
              <w:r>
                <w:rPr>
                  <w:rStyle w:val="InternetLink"/>
                  <w:rFonts w:ascii="Times New Roman" w:hAnsi="Times New Roman"/>
                  <w:color w:val="0000FF"/>
                  <w:sz w:val="20"/>
                  <w:u w:val="single"/>
                </w:rPr>
                <w:t>Certification of the Chief Financial Officer pursuant to Rules 13a-14(a) and 15d-14(a) of the Securities Exchange Act of 1934, as amended.</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32.1</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w:anchor="mnkd-ex32_1.htm">
              <w:r>
                <w:rPr>
                  <w:rStyle w:val="InternetLink"/>
                  <w:rFonts w:ascii="Times New Roman" w:hAnsi="Times New Roman"/>
                  <w:color w:val="0000FF"/>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32.2</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hyperlink w:anchor="mnkd-ex32_2.htm">
              <w:r>
                <w:rPr>
                  <w:rStyle w:val="InternetLink"/>
                  <w:rFonts w:ascii="Times New Roman" w:hAnsi="Times New Roman"/>
                  <w:color w:val="0000FF"/>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Interactive Data Files pursuant to Rule 405 of Regulation S-T.</w:t>
            </w:r>
          </w:p>
        </w:tc>
      </w:tr>
      <w:tr>
        <w:trPr/>
        <w:tc>
          <w:tcPr>
            <w:tcW w:w="753"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pPr>
            <w:r>
              <w:rPr/>
              <w:t> </w:t>
            </w:r>
          </w:p>
        </w:tc>
      </w:tr>
      <w:tr>
        <w:trPr/>
        <w:tc>
          <w:tcPr>
            <w:tcW w:w="753"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104</w:t>
            </w:r>
          </w:p>
        </w:tc>
        <w:tc>
          <w:tcPr>
            <w:tcW w:w="254" w:type="dxa"/>
            <w:tcBorders/>
            <w:vAlign w:val="center"/>
          </w:tcPr>
          <w:p>
            <w:pPr>
              <w:pStyle w:val="TableContents"/>
              <w:bidi w:val="0"/>
              <w:spacing w:before="0" w:after="283"/>
              <w:ind w:left="108" w:right="0" w:firstLine="108"/>
              <w:jc w:val="left"/>
              <w:rPr/>
            </w:pPr>
            <w:r>
              <w:rPr/>
              <w:t> </w:t>
            </w:r>
          </w:p>
        </w:tc>
        <w:tc>
          <w:tcPr>
            <w:tcW w:w="91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has been formatted in Inline XBRL.</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8553" w:type="dxa"/>
        <w:jc w:val="left"/>
        <w:tblInd w:w="0" w:type="dxa"/>
        <w:tblLayout w:type="fixed"/>
        <w:tblCellMar>
          <w:top w:w="28" w:type="dxa"/>
          <w:left w:w="28" w:type="dxa"/>
          <w:bottom w:w="28" w:type="dxa"/>
          <w:right w:w="28" w:type="dxa"/>
        </w:tblCellMar>
      </w:tblPr>
      <w:tblGrid>
        <w:gridCol w:w="1741"/>
        <w:gridCol w:w="406"/>
        <w:gridCol w:w="640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2024</w:t>
            </w:r>
          </w:p>
        </w:tc>
        <w:tc>
          <w:tcPr>
            <w:tcW w:w="681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MANNKIND CORPORATION</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the registrant’s 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bookmarkStart w:id="21" w:name="mnkd-ex31_1.htm"/>
      <w:bookmarkStart w:id="22" w:name="ksmnkd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E. Castagna,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March 31, 2024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Michael E. Castagna</w:t>
            </w:r>
          </w:p>
        </w:tc>
      </w:tr>
      <w:tr>
        <w:trPr/>
        <w:tc>
          <w:tcPr>
            <w:tcW w:w="31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E. Castagna</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and Director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2024</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nkd-ex31_2.htm"/>
      <w:bookmarkStart w:id="24" w:name="ksmnkd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Christopher B. Prentiss,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March 31, 2024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 </w:t>
            </w:r>
          </w:p>
        </w:tc>
      </w:tr>
      <w:tr>
        <w:trPr/>
        <w:tc>
          <w:tcPr>
            <w:tcW w:w="226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Christopher B. Prentiss</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2024</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mnkd-ex32_1.htm"/>
      <w:bookmarkStart w:id="26" w:name="ksmnkd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March 31, 2024,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8th day of May, 2024. </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mnkd-ex32_2.htm"/>
      <w:bookmarkStart w:id="28" w:name="ksmnkdex32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March 31, 2024,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8th day of May, 2024.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 </w:t>
            </w:r>
          </w:p>
        </w:tc>
      </w:tr>
      <w:tr>
        <w:trPr/>
        <w:tc>
          <w:tcPr>
            <w:tcW w:w="226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9460/000119312516676980/d225552dex31.htm" TargetMode="External"/><Relationship Id="rId3" Type="http://schemas.openxmlformats.org/officeDocument/2006/relationships/hyperlink" Target="https://www.sec.gov/Archives/edgar/data/899460/000119312517066630/d313758dex31.htm" TargetMode="External"/><Relationship Id="rId4" Type="http://schemas.openxmlformats.org/officeDocument/2006/relationships/hyperlink" Target="https://www.sec.gov/Archives/edgar/data/899460/000119312517368329/d511527dex31.htm" TargetMode="External"/><Relationship Id="rId5" Type="http://schemas.openxmlformats.org/officeDocument/2006/relationships/hyperlink" Target="https://www.sec.gov/Archives/edgar/data/899460/000119312520153051/d936164dex31.htm" TargetMode="External"/><Relationship Id="rId6" Type="http://schemas.openxmlformats.org/officeDocument/2006/relationships/hyperlink" Target="https://www.sec.gov/Archives/edgar/data/899460/000119312523156575/d473553dex31.htm" TargetMode="External"/><Relationship Id="rId7" Type="http://schemas.openxmlformats.org/officeDocument/2006/relationships/hyperlink" Target="https://www.sec.gov/Archives/edgar/data/899460/000119312520153051/d936164dex32.htm" TargetMode="External"/><Relationship Id="rId8" Type="http://schemas.openxmlformats.org/officeDocument/2006/relationships/hyperlink" Target="https://www.sec.gov/Archives/edgar/data/899460/000119312516676980/d225552dex31.htm" TargetMode="External"/><Relationship Id="rId9" Type="http://schemas.openxmlformats.org/officeDocument/2006/relationships/hyperlink" Target="https://www.sec.gov/Archives/edgar/data/899460/000119312517066630/d313758dex31.htm" TargetMode="External"/><Relationship Id="rId10" Type="http://schemas.openxmlformats.org/officeDocument/2006/relationships/hyperlink" Target="https://www.sec.gov/Archives/edgar/data/899460/000119312517368329/d511527dex31.htm" TargetMode="External"/><Relationship Id="rId11" Type="http://schemas.openxmlformats.org/officeDocument/2006/relationships/hyperlink" Target="https://www.sec.gov/Archives/edgar/data/899460/000119312520153051/d936164dex31.htm" TargetMode="External"/><Relationship Id="rId12" Type="http://schemas.openxmlformats.org/officeDocument/2006/relationships/hyperlink" Target="https://www.sec.gov/Archives/edgar/data/899460/000119312523156575/d473553dex31.htm" TargetMode="External"/><Relationship Id="rId13" Type="http://schemas.openxmlformats.org/officeDocument/2006/relationships/hyperlink" Target="https://www.sec.gov/Archives/edgar/data/899460/000119312520153051/d936164dex32.htm" TargetMode="External"/><Relationship Id="rId14" Type="http://schemas.openxmlformats.org/officeDocument/2006/relationships/hyperlink" Target="https://www.sec.gov/Archives/edgar/data/899460/000119312517085519/d305327dex42.htm" TargetMode="External"/><Relationship Id="rId15" Type="http://schemas.openxmlformats.org/officeDocument/2006/relationships/hyperlink" Target="https://www.sec.gov/Archives/edgar/data/899460/000119312513279522/d562665dex993.htm" TargetMode="External"/><Relationship Id="rId16" Type="http://schemas.openxmlformats.org/officeDocument/2006/relationships/hyperlink" Target="https://www.sec.gov/Archives/edgar/data/899460/000119312519215305/d757696dex41.htm" TargetMode="External"/><Relationship Id="rId17" Type="http://schemas.openxmlformats.org/officeDocument/2006/relationships/hyperlink" Target="https://www.sec.gov/Archives/edgar/data/899460/000119312521070265/d45565dex41.htm" TargetMode="External"/><Relationship Id="rId18" Type="http://schemas.openxmlformats.org/officeDocument/2006/relationships/hyperlink" Target="https://www.sec.gov/Archives/edgar/data/899460/000119312524077611/d819834dex10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53896</Words>
  <Characters>298899</Characters>
  <CharactersWithSpaces>353501</CharactersWithSpaces>
  <Paragraphs>5600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