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nkd-20231231.htm"/>
      <w:bookmarkStart w:id="1" w:name="ksmnkd20231231"/>
      <w:bookmarkEnd w:id="0"/>
      <w:bookmarkEnd w:id="1"/>
      <w:r>
        <w:rPr/>
        <w:t> </w:t>
      </w:r>
    </w:p>
    <w:p>
      <w:pPr>
        <w:pStyle w:val="TextBody"/>
        <w:bidi w:val="0"/>
        <w:jc w:val="left"/>
        <w:rPr/>
      </w:pPr>
      <w:r>
        <w:rPr/>
        <w:t>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2" w:color="000000"/>
        </w:pBdr>
        <w:bidi w:val="0"/>
        <w:spacing w:before="0" w:after="6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4" w:space="2" w:color="000000"/>
        </w:pBdr>
        <w:bidi w:val="0"/>
        <w:spacing w:before="0" w:after="60"/>
        <w:jc w:val="center"/>
        <w:rPr/>
      </w:pPr>
      <w:r>
        <w:rPr/>
        <w:t> </w:t>
      </w:r>
    </w:p>
    <w:p>
      <w:pPr>
        <w:pStyle w:val="TextBody"/>
        <w:bidi w:val="0"/>
        <w:jc w:val="left"/>
        <w:rPr/>
      </w:pPr>
      <w:r>
        <w:rPr>
          <w:color w:val="000000"/>
        </w:rPr>
        <w:t xml:space="preserve">☒ </w:t>
      </w:r>
      <w:r>
        <w:rPr>
          <w:rFonts w:ascii="Times New Roman" w:hAnsi="Times New Roman"/>
          <w:b/>
          <w:color w:val="000000"/>
          <w:sz w:val="16"/>
        </w:rPr>
        <w:t>ANNUAL REPORT PURSUANT TO SECTION 13 OR 15(d) OF THE SECURITIES EXCHANGE ACT OF 1934</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2023</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60" w:after="283"/>
        <w:jc w:val="left"/>
        <w:rPr/>
      </w:pPr>
      <w:r>
        <w:rPr>
          <w:color w:val="000000"/>
        </w:rPr>
        <w:t xml:space="preserve">☐ </w:t>
      </w:r>
      <w:r>
        <w:rPr>
          <w:rFonts w:ascii="Times New Roman" w:hAnsi="Times New Roman"/>
          <w:b/>
          <w:color w:val="000000"/>
          <w:sz w:val="16"/>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000-50865</w:t>
      </w:r>
    </w:p>
    <w:p>
      <w:pPr>
        <w:pStyle w:val="TextBody"/>
        <w:pBdr>
          <w:bottom w:val="single" w:sz="4" w:space="2" w:color="000000"/>
        </w:pBdr>
        <w:bidi w:val="0"/>
        <w:spacing w:before="0" w:after="6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MannKind Corporation</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2" w:color="000000"/>
        </w:pBdr>
        <w:bidi w:val="0"/>
        <w:spacing w:before="0" w:after="60"/>
        <w:jc w:val="center"/>
        <w:rPr/>
      </w:pPr>
      <w:r>
        <w:rPr/>
        <w:t> </w:t>
      </w:r>
    </w:p>
    <w:tbl>
      <w:tblPr>
        <w:tblW w:w="4078" w:type="dxa"/>
        <w:jc w:val="left"/>
        <w:tblInd w:w="0" w:type="dxa"/>
        <w:tblLayout w:type="fixed"/>
        <w:tblCellMar>
          <w:top w:w="28" w:type="dxa"/>
          <w:left w:w="28" w:type="dxa"/>
          <w:bottom w:w="28" w:type="dxa"/>
          <w:right w:w="28" w:type="dxa"/>
        </w:tblCellMar>
      </w:tblPr>
      <w:tblGrid>
        <w:gridCol w:w="2596"/>
        <w:gridCol w:w="146"/>
        <w:gridCol w:w="133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13-3607736</w:t>
            </w:r>
          </w:p>
        </w:tc>
      </w:tr>
      <w:tr>
        <w:trPr/>
        <w:tc>
          <w:tcPr>
            <w:tcW w:w="259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25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center"/>
              <w:rPr/>
            </w:pPr>
            <w:r>
              <w:rPr/>
              <w:t> </w:t>
            </w:r>
          </w:p>
        </w:tc>
      </w:tr>
      <w:tr>
        <w:trPr/>
        <w:tc>
          <w:tcPr>
            <w:tcW w:w="2596" w:type="dxa"/>
            <w:tcBorders/>
            <w:vAlign w:val="center"/>
          </w:tcPr>
          <w:p>
            <w:pPr>
              <w:pStyle w:val="TableContents"/>
              <w:bidi w:val="0"/>
              <w:jc w:val="center"/>
              <w:rPr>
                <w:rFonts w:ascii="Times New Roman" w:hAnsi="Times New Roman"/>
                <w:sz w:val="20"/>
              </w:rPr>
            </w:pPr>
            <w:r>
              <w:rPr>
                <w:rFonts w:ascii="Times New Roman" w:hAnsi="Times New Roman"/>
                <w:b/>
                <w:color w:val="000000"/>
                <w:sz w:val="15"/>
              </w:rPr>
              <w:t>1 Casper Street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Danbury, Connecticut</w:t>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06810</w:t>
            </w:r>
          </w:p>
        </w:tc>
      </w:tr>
      <w:tr>
        <w:trPr/>
        <w:tc>
          <w:tcPr>
            <w:tcW w:w="259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rFonts w:ascii="Times New Roman" w:hAnsi="Times New Roman"/>
          <w:b/>
          <w:color w:val="000000"/>
          <w:sz w:val="18"/>
        </w:rPr>
      </w:pPr>
      <w:r>
        <w:rPr>
          <w:rFonts w:ascii="Times New Roman" w:hAnsi="Times New Roman"/>
          <w:b/>
          <w:color w:val="000000"/>
          <w:sz w:val="18"/>
        </w:rPr>
        <w:t>(818) 661-5000</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459" w:type="dxa"/>
        <w:jc w:val="left"/>
        <w:tblInd w:w="0" w:type="dxa"/>
        <w:tblLayout w:type="fixed"/>
        <w:tblCellMar>
          <w:top w:w="28" w:type="dxa"/>
          <w:left w:w="28" w:type="dxa"/>
          <w:bottom w:w="28" w:type="dxa"/>
          <w:right w:w="28" w:type="dxa"/>
        </w:tblCellMar>
      </w:tblPr>
      <w:tblGrid>
        <w:gridCol w:w="3197"/>
        <w:gridCol w:w="162"/>
        <w:gridCol w:w="1472"/>
        <w:gridCol w:w="162"/>
        <w:gridCol w:w="3466"/>
      </w:tblGrid>
      <w:tr>
        <w:trPr/>
        <w:tc>
          <w:tcPr>
            <w:tcW w:w="319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62"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left"/>
              <w:rPr/>
            </w:pPr>
            <w:r>
              <w:rPr/>
              <w:t> </w:t>
            </w:r>
          </w:p>
        </w:tc>
        <w:tc>
          <w:tcPr>
            <w:tcW w:w="1472"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center"/>
              <w:rPr>
                <w:rFonts w:ascii="Times New Roman" w:hAnsi="Times New Roman"/>
                <w:b/>
                <w:color w:val="000000"/>
                <w:sz w:val="16"/>
              </w:rPr>
            </w:pPr>
            <w:r>
              <w:rPr>
                <w:rFonts w:ascii="Times New Roman" w:hAnsi="Times New Roman"/>
                <w:b/>
                <w:color w:val="000000"/>
                <w:sz w:val="16"/>
              </w:rPr>
              <w:t>Trading Symbol(s)</w:t>
            </w:r>
          </w:p>
        </w:tc>
        <w:tc>
          <w:tcPr>
            <w:tcW w:w="16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7" w:type="dxa"/>
            <w:tcBorders/>
            <w:vAlign w:val="center"/>
          </w:tcPr>
          <w:p>
            <w:pPr>
              <w:pStyle w:val="TableContents"/>
              <w:bidi w:val="0"/>
              <w:spacing w:before="0" w:after="283"/>
              <w:ind w:left="0" w:right="16" w:hanging="0"/>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62" w:type="dxa"/>
            <w:tcBorders/>
            <w:vAlign w:val="center"/>
          </w:tcPr>
          <w:p>
            <w:pPr>
              <w:pStyle w:val="TableContents"/>
              <w:bidi w:val="0"/>
              <w:spacing w:before="0" w:after="283"/>
              <w:ind w:left="0" w:right="16" w:hanging="0"/>
              <w:jc w:val="left"/>
              <w:rPr/>
            </w:pPr>
            <w:r>
              <w:rPr/>
              <w:t> </w:t>
            </w:r>
          </w:p>
        </w:tc>
        <w:tc>
          <w:tcPr>
            <w:tcW w:w="1472" w:type="dxa"/>
            <w:tcBorders/>
            <w:vAlign w:val="center"/>
          </w:tcPr>
          <w:p>
            <w:pPr>
              <w:pStyle w:val="TableContents"/>
              <w:bidi w:val="0"/>
              <w:spacing w:before="0" w:after="283"/>
              <w:ind w:left="0" w:right="16" w:hanging="0"/>
              <w:jc w:val="center"/>
              <w:rPr>
                <w:rFonts w:ascii="Times New Roman" w:hAnsi="Times New Roman"/>
                <w:b/>
                <w:color w:val="000000"/>
                <w:sz w:val="16"/>
              </w:rPr>
            </w:pPr>
            <w:r>
              <w:rPr>
                <w:rFonts w:ascii="Times New Roman" w:hAnsi="Times New Roman"/>
                <w:b/>
                <w:color w:val="000000"/>
                <w:sz w:val="16"/>
              </w:rPr>
              <w:t>MNKD</w:t>
            </w:r>
          </w:p>
        </w:tc>
        <w:tc>
          <w:tcPr>
            <w:tcW w:w="162" w:type="dxa"/>
            <w:tcBorders/>
            <w:vAlign w:val="center"/>
          </w:tcPr>
          <w:p>
            <w:pPr>
              <w:pStyle w:val="TableContents"/>
              <w:bidi w:val="0"/>
              <w:spacing w:before="0" w:after="283"/>
              <w:ind w:left="0" w:right="16" w:hanging="0"/>
              <w:jc w:val="center"/>
              <w:rPr/>
            </w:pPr>
            <w:r>
              <w:rPr/>
              <w:t> </w:t>
            </w:r>
          </w:p>
        </w:tc>
        <w:tc>
          <w:tcPr>
            <w:tcW w:w="3466" w:type="dxa"/>
            <w:tcBorders/>
            <w:vAlign w:val="center"/>
          </w:tcPr>
          <w:p>
            <w:pPr>
              <w:pStyle w:val="TableContents"/>
              <w:bidi w:val="0"/>
              <w:spacing w:before="0" w:after="283"/>
              <w:ind w:left="0" w:right="16" w:hanging="0"/>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12(g) of the Act:</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None</w:t>
      </w:r>
    </w:p>
    <w:p>
      <w:pPr>
        <w:pStyle w:val="TextBody"/>
        <w:bidi w:val="0"/>
        <w:jc w:val="center"/>
        <w:rPr>
          <w:rFonts w:ascii="Times New Roman" w:hAnsi="Times New Roman"/>
          <w:b/>
          <w:color w:val="000000"/>
          <w:sz w:val="15"/>
        </w:rPr>
      </w:pPr>
      <w:r>
        <w:rPr>
          <w:rFonts w:ascii="Times New Roman" w:hAnsi="Times New Roman"/>
          <w:b/>
          <w:color w:val="000000"/>
          <w:sz w:val="15"/>
        </w:rPr>
        <w:t>(Title of Class)</w:t>
      </w:r>
    </w:p>
    <w:p>
      <w:pPr>
        <w:pStyle w:val="TextBody"/>
        <w:pBdr>
          <w:bottom w:val="single" w:sz="4" w:space="2" w:color="000000"/>
        </w:pBdr>
        <w:bidi w:val="0"/>
        <w:spacing w:before="0" w:after="60"/>
        <w:jc w:val="right"/>
        <w:rPr/>
      </w:pPr>
      <w:r>
        <w:rPr/>
        <w:t> </w:t>
      </w:r>
    </w:p>
    <w:p>
      <w:pPr>
        <w:pStyle w:val="TextBody"/>
        <w:bidi w:val="0"/>
        <w:spacing w:before="80" w:after="283"/>
        <w:jc w:val="left"/>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7"/>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 232.405 of this chapter)</w:t>
      </w:r>
      <w:r>
        <w:rPr>
          <w:rFonts w:ascii="Times New Roman" w:hAnsi="Times New Roman"/>
          <w:color w:val="000000"/>
          <w:sz w:val="20"/>
        </w:rPr>
        <w:t xml:space="preserve"> </w:t>
      </w:r>
      <w:r>
        <w:rPr>
          <w:rFonts w:ascii="Times New Roman" w:hAnsi="Times New Roman"/>
          <w:color w:val="000000"/>
          <w:sz w:val="17"/>
        </w:rPr>
        <w:t>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926" w:type="dxa"/>
        <w:jc w:val="left"/>
        <w:tblInd w:w="0" w:type="dxa"/>
        <w:tblLayout w:type="fixed"/>
        <w:tblCellMar>
          <w:top w:w="28" w:type="dxa"/>
          <w:left w:w="28" w:type="dxa"/>
          <w:bottom w:w="28" w:type="dxa"/>
          <w:right w:w="28" w:type="dxa"/>
        </w:tblCellMar>
      </w:tblPr>
      <w:tblGrid>
        <w:gridCol w:w="1682"/>
        <w:gridCol w:w="162"/>
        <w:gridCol w:w="392"/>
        <w:gridCol w:w="162"/>
        <w:gridCol w:w="2042"/>
        <w:gridCol w:w="109"/>
        <w:gridCol w:w="377"/>
      </w:tblGrid>
      <w:tr>
        <w:trPr/>
        <w:tc>
          <w:tcPr>
            <w:tcW w:w="16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682" w:type="dxa"/>
            <w:tcBorders/>
            <w:vAlign w:val="center"/>
          </w:tcPr>
          <w:p>
            <w:pPr>
              <w:pStyle w:val="TableContents"/>
              <w:bidi w:val="0"/>
              <w:spacing w:before="0" w:after="283"/>
              <w:ind w:left="0" w:right="16" w:hanging="0"/>
              <w:jc w:val="left"/>
              <w:rPr>
                <w:rFonts w:ascii="Times New Roman" w:hAnsi="Times New Roman"/>
                <w:color w:val="000000"/>
                <w:sz w:val="17"/>
              </w:rPr>
            </w:pPr>
            <w:r>
              <w:rPr>
                <w:rFonts w:ascii="Times New Roman" w:hAnsi="Times New Roman"/>
                <w:color w:val="000000"/>
                <w:sz w:val="17"/>
              </w:rPr>
              <w:t>Large 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color w:val="000000"/>
              </w:rPr>
            </w:pPr>
            <w:r>
              <w:rPr>
                <w:color w:val="00000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2042" w:type="dxa"/>
            <w:tcBorders/>
            <w:vAlign w:val="center"/>
          </w:tcPr>
          <w:p>
            <w:pPr>
              <w:pStyle w:val="TableContents"/>
              <w:bidi w:val="0"/>
              <w:spacing w:before="0" w:after="283"/>
              <w:ind w:left="0" w:right="16" w:hanging="0"/>
              <w:jc w:val="left"/>
              <w:rPr>
                <w:rFonts w:ascii="Times New Roman" w:hAnsi="Times New Roman"/>
                <w:color w:val="000000"/>
                <w:sz w:val="17"/>
              </w:rPr>
            </w:pPr>
            <w:r>
              <w:rPr>
                <w:rFonts w:ascii="Times New Roman" w:hAnsi="Times New Roman"/>
                <w:color w:val="000000"/>
                <w:sz w:val="17"/>
              </w:rPr>
              <w:t>Accelerated filer</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283"/>
              <w:ind w:left="0" w:right="16" w:hanging="0"/>
              <w:jc w:val="left"/>
              <w:rPr>
                <w:color w:val="000000"/>
              </w:rPr>
            </w:pPr>
            <w:r>
              <w:rPr>
                <w:color w:val="000000"/>
              </w:rPr>
              <w:t>☐</w:t>
            </w:r>
          </w:p>
        </w:tc>
      </w:tr>
      <w:tr>
        <w:trPr/>
        <w:tc>
          <w:tcPr>
            <w:tcW w:w="1682" w:type="dxa"/>
            <w:tcBorders/>
            <w:vAlign w:val="center"/>
          </w:tcPr>
          <w:p>
            <w:pPr>
              <w:pStyle w:val="TableContents"/>
              <w:bidi w:val="0"/>
              <w:spacing w:before="0" w:after="283"/>
              <w:ind w:left="0" w:right="16" w:hanging="0"/>
              <w:jc w:val="left"/>
              <w:rPr>
                <w:rFonts w:ascii="Times New Roman" w:hAnsi="Times New Roman"/>
                <w:color w:val="000000"/>
                <w:sz w:val="17"/>
              </w:rPr>
            </w:pPr>
            <w:r>
              <w:rPr>
                <w:rFonts w:ascii="Times New Roman" w:hAnsi="Times New Roman"/>
                <w:color w:val="000000"/>
                <w:sz w:val="17"/>
              </w:rPr>
              <w:t>Non-accelerated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color w:val="000000"/>
              </w:rPr>
            </w:pPr>
            <w:r>
              <w:rPr>
                <w:color w:val="000000"/>
              </w:rPr>
              <w:t xml:space="preserve">☐ </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2042" w:type="dxa"/>
            <w:tcBorders/>
            <w:vAlign w:val="center"/>
          </w:tcPr>
          <w:p>
            <w:pPr>
              <w:pStyle w:val="TableContents"/>
              <w:bidi w:val="0"/>
              <w:spacing w:before="0" w:after="283"/>
              <w:ind w:left="0" w:right="16" w:hanging="0"/>
              <w:jc w:val="left"/>
              <w:rPr>
                <w:rFonts w:ascii="Times New Roman" w:hAnsi="Times New Roman"/>
                <w:color w:val="000000"/>
                <w:sz w:val="17"/>
              </w:rPr>
            </w:pPr>
            <w:r>
              <w:rPr>
                <w:rFonts w:ascii="Times New Roman" w:hAnsi="Times New Roman"/>
                <w:color w:val="000000"/>
                <w:sz w:val="17"/>
              </w:rPr>
              <w:t>Smaller reporting company</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283"/>
              <w:ind w:left="0" w:right="16" w:hanging="0"/>
              <w:jc w:val="left"/>
              <w:rPr>
                <w:color w:val="000000"/>
              </w:rPr>
            </w:pPr>
            <w:r>
              <w:rPr>
                <w:color w:val="000000"/>
              </w:rPr>
              <w:t>☐</w:t>
            </w:r>
          </w:p>
        </w:tc>
      </w:tr>
      <w:tr>
        <w:trPr/>
        <w:tc>
          <w:tcPr>
            <w:tcW w:w="1682" w:type="dxa"/>
            <w:tcBorders/>
            <w:vAlign w:val="center"/>
          </w:tcPr>
          <w:p>
            <w:pPr>
              <w:pStyle w:val="TableContents"/>
              <w:bidi w:val="0"/>
              <w:spacing w:before="0" w:after="283"/>
              <w:ind w:left="0" w:right="16" w:hanging="0"/>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392" w:type="dxa"/>
            <w:tcBorders/>
            <w:vAlign w:val="center"/>
          </w:tcPr>
          <w:p>
            <w:pPr>
              <w:pStyle w:val="TableContents"/>
              <w:bidi w:val="0"/>
              <w:spacing w:before="0" w:after="283"/>
              <w:ind w:left="0" w:right="16" w:hanging="0"/>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2042" w:type="dxa"/>
            <w:tcBorders/>
            <w:vAlign w:val="center"/>
          </w:tcPr>
          <w:p>
            <w:pPr>
              <w:pStyle w:val="TableContents"/>
              <w:bidi w:val="0"/>
              <w:spacing w:before="0" w:after="283"/>
              <w:ind w:left="0" w:right="16" w:hanging="0"/>
              <w:jc w:val="left"/>
              <w:rPr>
                <w:rFonts w:ascii="Times New Roman" w:hAnsi="Times New Roman"/>
                <w:color w:val="000000"/>
                <w:sz w:val="17"/>
              </w:rPr>
            </w:pPr>
            <w:r>
              <w:rPr>
                <w:rFonts w:ascii="Times New Roman" w:hAnsi="Times New Roman"/>
                <w:color w:val="000000"/>
                <w:sz w:val="17"/>
              </w:rPr>
              <w:t>Emerging growth company</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283"/>
              <w:ind w:left="0" w:right="16" w:hanging="0"/>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7"/>
        </w:rPr>
        <w:t>If</w:t>
      </w:r>
      <w:r>
        <w:rPr>
          <w:rFonts w:ascii="Times New Roman" w:hAnsi="Times New Roman"/>
          <w:color w:val="231F20"/>
          <w:sz w:val="20"/>
        </w:rPr>
        <w:t xml:space="preserve"> </w:t>
      </w:r>
      <w:r>
        <w:rPr>
          <w:rFonts w:ascii="Times New Roman" w:hAnsi="Times New Roman"/>
          <w:color w:val="231F20"/>
          <w:sz w:val="17"/>
        </w:rPr>
        <w:t xml:space="preserve">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7"/>
        </w:rPr>
        <w:t>Indicate</w:t>
      </w:r>
      <w:r>
        <w:rPr>
          <w:rFonts w:ascii="Times New Roman" w:hAnsi="Times New Roman"/>
          <w:color w:val="231F20"/>
          <w:sz w:val="20"/>
        </w:rPr>
        <w:t xml:space="preserve"> </w:t>
      </w:r>
      <w:r>
        <w:rPr>
          <w:rFonts w:ascii="Times New Roman" w:hAnsi="Times New Roman"/>
          <w:color w:val="231F20"/>
          <w:sz w:val="17"/>
        </w:rPr>
        <w:t xml:space="preserve">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7"/>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As of June 30, 2023, the aggregate market value of the voting and non-voting common equity held by non-affiliates of the registrant, computed by reference to the last sale price of such stock as of such date on the Nasdaq Global Market, was approximately $1,084,416,366.</w:t>
      </w:r>
    </w:p>
    <w:p>
      <w:pPr>
        <w:pStyle w:val="TextBody"/>
        <w:bidi w:val="0"/>
        <w:spacing w:before="60" w:after="283"/>
        <w:jc w:val="left"/>
        <w:rPr>
          <w:rFonts w:ascii="Times New Roman" w:hAnsi="Times New Roman"/>
          <w:sz w:val="20"/>
        </w:rPr>
      </w:pPr>
      <w:r>
        <w:rPr>
          <w:rFonts w:ascii="Times New Roman" w:hAnsi="Times New Roman"/>
          <w:color w:val="000000"/>
          <w:sz w:val="17"/>
        </w:rPr>
        <w:t>As of February 16, 2024, there were 270,418,215</w:t>
      </w:r>
      <w:r>
        <w:rPr>
          <w:rFonts w:ascii="Times New Roman" w:hAnsi="Times New Roman"/>
          <w:color w:val="000000"/>
          <w:sz w:val="20"/>
        </w:rPr>
        <w:t xml:space="preserve"> </w:t>
      </w:r>
      <w:r>
        <w:rPr>
          <w:rFonts w:ascii="Times New Roman" w:hAnsi="Times New Roman"/>
          <w:color w:val="000000"/>
          <w:sz w:val="17"/>
        </w:rPr>
        <w:t>shares of the registrant’s Common Stock outstanding.</w:t>
      </w:r>
    </w:p>
    <w:p>
      <w:pPr>
        <w:pStyle w:val="TextBody"/>
        <w:pBdr>
          <w:bottom w:val="single" w:sz="4" w:space="2" w:color="000000"/>
        </w:pBdr>
        <w:bidi w:val="0"/>
        <w:spacing w:before="0" w:after="6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Portions of the registrant’s definitive Proxy Statement (the “Proxy Statement”) for the 2024 Annual Meeting of Stockholders to be filed with the Securities and Exchange Commission not later than April 29, 2024 are incorporated by reference into Part III of this Annual Report on Form 10-K.</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Annual Report on Form 10-K</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48"/>
        <w:gridCol w:w="146"/>
        <w:gridCol w:w="8229"/>
        <w:gridCol w:w="146"/>
        <w:gridCol w:w="636"/>
      </w:tblGrid>
      <w:tr>
        <w:trPr/>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ind w:left="0" w:right="0" w:firstLine="274"/>
              <w:jc w:val="center"/>
              <w:rPr>
                <w:rFonts w:ascii="Times New Roman" w:hAnsi="Times New Roman"/>
                <w:b/>
                <w:color w:val="000000"/>
                <w:sz w:val="20"/>
              </w:rPr>
            </w:pPr>
            <w:r>
              <w:rPr>
                <w:rFonts w:ascii="Times New Roman" w:hAnsi="Times New Roman"/>
                <w:b/>
                <w:color w:val="000000"/>
                <w:sz w:val="20"/>
              </w:rPr>
              <w:t>PART I</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18</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1B.</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46</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1C.</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146"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46</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47</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3_legal_proceedings_update_">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48</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10205" w:type="dxa"/>
            <w:gridSpan w:val="5"/>
            <w:tcBorders/>
            <w:vAlign w:val="center"/>
          </w:tcPr>
          <w:p>
            <w:pPr>
              <w:pStyle w:val="TableContents"/>
              <w:bidi w:val="0"/>
              <w:spacing w:before="0" w:after="283"/>
              <w:ind w:left="0" w:right="0" w:firstLine="274"/>
              <w:jc w:val="center"/>
              <w:rPr>
                <w:rFonts w:ascii="Times New Roman" w:hAnsi="Times New Roman"/>
                <w:b/>
                <w:color w:val="000000"/>
                <w:sz w:val="20"/>
              </w:rPr>
            </w:pPr>
            <w:r>
              <w:rPr>
                <w:rFonts w:ascii="Times New Roman" w:hAnsi="Times New Roman"/>
                <w:b/>
                <w:color w:val="000000"/>
                <w:sz w:val="20"/>
              </w:rPr>
              <w:t>PART II</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the Registrant’s Common Equity, Related Stockholder Matters and Issuer Purchases of Equity Securities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49</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50</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7.</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50</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7A.</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58</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8.</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59</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9.</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59</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9A.</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59</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9B.</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62</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9C.</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10205" w:type="dxa"/>
            <w:gridSpan w:val="5"/>
            <w:tcBorders/>
            <w:vAlign w:val="center"/>
          </w:tcPr>
          <w:p>
            <w:pPr>
              <w:pStyle w:val="TableContents"/>
              <w:bidi w:val="0"/>
              <w:spacing w:before="0" w:after="283"/>
              <w:ind w:left="0" w:right="0" w:firstLine="274"/>
              <w:jc w:val="center"/>
              <w:rPr>
                <w:rFonts w:ascii="Times New Roman" w:hAnsi="Times New Roman"/>
                <w:b/>
                <w:color w:val="000000"/>
                <w:sz w:val="20"/>
              </w:rPr>
            </w:pPr>
            <w:r>
              <w:rPr>
                <w:rFonts w:ascii="Times New Roman" w:hAnsi="Times New Roman"/>
                <w:b/>
                <w:color w:val="000000"/>
                <w:sz w:val="20"/>
              </w:rPr>
              <w:t>PART III</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10.</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63</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11.</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65</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12.</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65</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13.</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65</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14.</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10205" w:type="dxa"/>
            <w:gridSpan w:val="5"/>
            <w:tcBorders/>
            <w:vAlign w:val="center"/>
          </w:tcPr>
          <w:p>
            <w:pPr>
              <w:pStyle w:val="TableContents"/>
              <w:bidi w:val="0"/>
              <w:spacing w:before="0" w:after="283"/>
              <w:ind w:left="0" w:right="0" w:firstLine="274"/>
              <w:jc w:val="center"/>
              <w:rPr>
                <w:rFonts w:ascii="Times New Roman" w:hAnsi="Times New Roman"/>
                <w:b/>
                <w:color w:val="000000"/>
                <w:sz w:val="20"/>
              </w:rPr>
            </w:pPr>
            <w:r>
              <w:rPr>
                <w:rFonts w:ascii="Times New Roman" w:hAnsi="Times New Roman"/>
                <w:b/>
                <w:color w:val="000000"/>
                <w:sz w:val="20"/>
              </w:rPr>
              <w:t>PART IV</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Item 15.</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66</w:t>
            </w:r>
          </w:p>
        </w:tc>
      </w:tr>
      <w:tr>
        <w:trPr/>
        <w:tc>
          <w:tcPr>
            <w:tcW w:w="1048" w:type="dxa"/>
            <w:tcBorders/>
            <w:vAlign w:val="center"/>
          </w:tcPr>
          <w:p>
            <w:pPr>
              <w:pStyle w:val="TableContents"/>
              <w:bidi w:val="0"/>
              <w:spacing w:before="0" w:after="283"/>
              <w:ind w:left="274" w:right="0" w:firstLine="274"/>
              <w:jc w:val="left"/>
              <w:rPr>
                <w:rFonts w:ascii="Times New Roman" w:hAnsi="Times New Roman"/>
                <w:color w:val="000000"/>
                <w:sz w:val="20"/>
              </w:rPr>
            </w:pPr>
            <w:r>
              <w:rPr>
                <w:rFonts w:ascii="Times New Roman" w:hAnsi="Times New Roman"/>
                <w:color w:val="000000"/>
                <w:sz w:val="20"/>
              </w:rPr>
              <w:t xml:space="preserve">Item 16. </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70</w:t>
            </w:r>
          </w:p>
        </w:tc>
      </w:tr>
      <w:tr>
        <w:trPr/>
        <w:tc>
          <w:tcPr>
            <w:tcW w:w="1048" w:type="dxa"/>
            <w:tcBorders/>
            <w:vAlign w:val="center"/>
          </w:tcPr>
          <w:p>
            <w:pPr>
              <w:pStyle w:val="TableContents"/>
              <w:bidi w:val="0"/>
              <w:spacing w:before="0" w:after="283"/>
              <w:ind w:left="274" w:right="0" w:firstLine="274"/>
              <w:jc w:val="left"/>
              <w:rPr/>
            </w:pPr>
            <w:r>
              <w:rPr/>
              <w:t> </w:t>
            </w:r>
          </w:p>
        </w:tc>
        <w:tc>
          <w:tcPr>
            <w:tcW w:w="146" w:type="dxa"/>
            <w:tcBorders/>
            <w:vAlign w:val="center"/>
          </w:tcPr>
          <w:p>
            <w:pPr>
              <w:pStyle w:val="TableContents"/>
              <w:bidi w:val="0"/>
              <w:spacing w:before="0" w:after="283"/>
              <w:jc w:val="left"/>
              <w:rPr/>
            </w:pPr>
            <w:r>
              <w:rPr/>
              <w:t> </w:t>
            </w:r>
          </w:p>
        </w:tc>
        <w:tc>
          <w:tcPr>
            <w:tcW w:w="8229"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V-Go® or other product candidates or therapies that we may develop or acquire; our ability to manufacture sufficient quantities of Afrezza and obtain insulin supply as needed; our ability to manufacturing sufficient quantities of Tyvaso DPI® to meet demand; our plan to initiate a Phase 3 registrational study of MNKD-101 in the United States in the second quarter of 2024; our plan to initiate a Phase 1 clinical study of MNKD-201 in the second quarter of 2024; our expectation that the INHALE-1 study will complete enrollment in the first quarter of 2024; our expectation that we will package some of the Tyvaso DPI stock-keeping units in our Danbury facility; our expectations regarding our contract manufacturer’s ability to meet our current and expected near-term demand for V-Go; our ability to successfully commercialize our Technosphere drug delivery platform; our estimates for future performance; our estimates regarding future financial results, capital requirements and our needs for additional financing;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our ability to service our debt obligations;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like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 Afrezza, Technosphere®, BluHale®, Dreamboat® and V-Go, and MannKind Corporation are our trademarks in the United States. We have also applied for or have registered company trademarks in other jurisdictions. This document also contains trademarks and service marks of other companies that are the property of their respective owners.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 of this Annual Report on Form 10-K and should be carefully considered, together with other information in this Annual Report on Form 10-K and our other filings with the Securities and Exchange Commission (“SEC”) before making investment decisions regarding our common stock.</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products that we or our collaboration partner are commercializing may only achieve a limited degree of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risks may adversely affect our ability to manufacture our products and Tyvaso DPI, which could reduce our gross margin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to fund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results of operations will fluctuate for the foreseeable future, which may make it difficult to predict our future performance from period to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operating losses. We may incur losses and may not generate positive cash flow from operations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generate sufficient cash to service all of our indebtedness and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product candidates may be rendered obsolete by rapid technological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ongoing government regulation.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and changing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360" w:after="16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is volatile.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360" w:after="16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Unstable market, economic and geopolitical conditions may have serious adverse consequences on our business, financial condition and stock price.</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2" w:name="item_1_business"/>
      <w:bookmarkEnd w:id="2"/>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the words “MannKind,” “we,” “Company,” “us” and “our” refer to MannKind Corporation and its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focused on the development and commercialization of innovative therapeutic products and devices to address serious unmet medical needs for those living with endocrine and orphan lung diseases. Our signature technologies – Technosphere dry-powder formulations and Dreamboat inhalation devices – offer rapid and convenient delivery of medicines to the deep lung where they can exert an effect locally or enter the systemic circulation.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Administered at the beginning of a meal, Afrezza dissolves rapidly upon inhalation to the lung and delivers insulin quickly to the bloodstream. V-Go received 510(k) clearance by the FDA in 2010 and has been available commercially since 2012. In May 2022, we acquired V-Go from Zealand Pharma A/S and Zealand Pharma US, Inc. (together “Zealand”) and began integrating the product into our endocrine business unit. V-Go is a mechanical basal-bolus insulin delivery system that is worn like a patch and can eliminate the need for taking multiple daily shots. V-Go administers a continuous preset basal rate of insulin over 24 hours and provides discreet on-demand bolus dosing at mealtimes.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solely responsible for the commercialization of Afrezza and V-Go in the United States. Outside of the U.S., our strategy has been to establish regional partnerships in foreign jurisdictions where there are commercial opportunities, subject to the receipt of necessary foreign regulatory approvals. Our partner in Brazil, Biomm S.A. (“Biomm”), commenced commercialization of Afrezza in January 2020. Our partner in India, Cipla Ltd. (“Cipla”), recently submitted a marketing authorization application to the Drug Controller General of India.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proprietary formulation and inhaler technologies used in Afrezza have also been deployed in our efforts to develop products to treat orphan lung diseases. The first product to come out of our orphan lung disease pipeline, Tyvaso DPI (treprostinil) inhalation powder, received FDA approval in May 2022 for the treatment of pulmonary arterial hypertension (PAH) and pulmonary hypertension associated with interstitial lung disease (PH-ILD). Tyvaso DPI is the first and only approved dry powder inhaled treatment for PAH and PH-ILD. Our development and marketing partner (sometimes referred to as our collaboration partner), United Therapeutics Corporation (“United Therapeutics” or “UT”) began commercializing Tyvaso DPI in June 2022 and is obligated to pay us a royalty on net sales of the product. We also receive a margin on supplies of Tyvaso DPI that we manufacture for UT.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lead program in our pipeline of potential treatments for orphan lung diseases is MNKD-101, a nebulized formulation of clofazimine, for the treatment of severe chronic and recurrent pulmonary infections, including nontuberculous mycobacterial (NTM) lung disease. We believe an orally inhaled formulation of clofazimine could potentially provide several clinical advantages over the current solid oral dosage form of this drug. The FDA has designated MNKD-101 as both an orphan drug and a qualified infectious disease product for the treatment of pulmonary NTM infections. We plan to initiate a Phase 2/3 registrational study of MNKD-101 in the United States in the second quarter of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next most advanced program in our pipeline is MNKD-201, a dry-powder formulation of nintedanib, for the treatment of idiopathic pulmonary fibrosis (IPF). An oral dosage form of nintedanib was approved for IPF by the FDA in 2014. However, a fairly large oral dose is required in order to achieve sufficient drug levels in lung tissue. Our goal with an inhaled formulation is to deliver a therapeutic amount of nintedanib to the lungs while avoiding high levels of the drug in other tissues, where it is associated with undesirable side effects. We plan to initiate a Phase 1 clinical study of MNKD-201 in the second quarter of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aid in the development of oral inhalation products, we have created a number of innovative tools, including a novel inhalation profiling apparatus, known as BluHale that uses miniature sensors to assess the drug delivery process at the level of an individual inhaler. The BluHale apparatus medical device provides real-time data regarding patient usage and delivery system performance that is transmitted to a user interface, such as a smartphone application. During 2020, we released a BluHale Professional version of the apparatus for use as a training tool in certain physicians' offices. A consumer version of the apparatus, with additional features, was used as part of a clinical study of Afrezza (the INHALE-3 study) in 2023. The learnings from this study will help guide future releases of the apparatus and its corresponding smartphone application.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Manufacturing and Supply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Technosphere powders are based on our proprietary excipient, fumaryl diketopiperazine (“FDKP”), which is a pH-sensitive organic molecule that self-assembles into small particles under acidic conditions. Certain drugs can be loaded onto these particles by combining a solution of the drug with a solution or suspension of Technosphere material, which is then dried to powder form. The resulting powder has a consistent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narrow range of particle sizes with good aerodynamic properties that enable efficient delivery deep into the lungs. Technosphere powders dissolve quickly when the particles contact the moist lung surface with its neutral pH, releasing the drug molecules to diffuse across a thin layer of cells into the arterial circulation, bypassing the liver to provide excellent systemic exposure. In our Danbury, Connecticut facility, we can develop novel Technosphere formulations of different pharmaceutical ingredients and manufacture clinical and commercial supplies of these powders. In this facility, we currently formulate both the Afrezza and Tyvaso DPI inhalation powders at commercial scale, fill plastic cartridges with the powders and package the cartridges into blister packs. We utilize a contract packager to assemble the blister packs of Afrezza and Tyvaso DPI cartridges along with inhalers and the applicable package inserts, into final kits for sale.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Technosphere powders are intended to be administered with our innovative, breath-powered, dry powder inhalers. Our inhalers are easy to use, cost-effective and can be produced in both a reusable (chronic treatment) and a single-use (acute treatment) format. Both the reusable and single-use inhaler formats use the same internal air-flow design. Afrezza and Tyvaso DPI both use the reusable format (also known as Dreamboat). Being breath-powered, our inhalers require only the patient’s inhalation effort to deliver the powder. To administer a dose of the inhalation powder, a patient loads a cartridge into our inhaler and inhales through the mouthpiece. Upon inhalation, the dry powder is lifted out of the cartridge and broken up (or de-agglomerated) into small particles. The inhalers are engineered to produce an aggressive airstream that de-agglomerates the powder while keeping the powder moving relatively slowly. This slow-moving powder effectively navigates the patient’s airways to reach the deep lung with minimal deposition at the back of the throat. Our inhalers show very little change in performance (i.e., efficient cartridge emptying) over a wide range of inhalation efforts. We have a supply agreement with the contract manufacturer that produces the plastic-molded parts for our inhaler and the corresponding cartridges. We expect to be able to qualify an additional vendor of plastic-molding contract manufacturing services, if warranted by demand. We assemble the inhalers from the individual components at our Connecticut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quality management systems of our Connecticut facility have been certified to be in conformance with the ISO 13485:2016 standard.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We were also inspected by the Agência Nacional de Vigilância Sanitária (“ANVISA”) (Brazil National Health Surveillance Agency) in May 2018. ANVISA renewed its certificate in 2020 on the basis of a virtual inspection. The FDA and other foreign jurisdictions are expected to conduct additional inspections of our facility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Connecticut facility has enough capacity to satisfy the current demand for Afrezza and Tyvaso DPI. In addition, we are currently expanding production capacity with additional filling lines and other equipment in order to meet the demand for Tyvaso DPI projected by UT over the next several years. The costs of this expansion project are being borne by UT.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Currently, the only source of insulin that we have qualified for Afrezza is manufactured by Amphastar France Pharmaceuticals S.A.S. (“Amphastar”). In April 2014, we entered into a supply agreement with Amphastar (as amended, the “Insulin Supply Agreement”) to purchase certain annual minimum quantities with an aggregate purchase commitment of €120.1 million over a term that currently extends through at least December 31, 2034. As of December 31, 2023, there was €59.5 million remaining in aggregate purchase commitments under this agreement. See additional information in Note 16 – </w:t>
      </w:r>
      <w:r>
        <w:rPr>
          <w:rFonts w:ascii="Times New Roman" w:hAnsi="Times New Roman"/>
          <w:i/>
          <w:color w:val="000000"/>
          <w:sz w:val="20"/>
        </w:rPr>
        <w:t>Commitments and Contingencies</w:t>
      </w:r>
      <w:r>
        <w:rPr>
          <w:rFonts w:ascii="Times New Roman" w:hAnsi="Times New Roman"/>
          <w:color w:val="000000"/>
          <w:sz w:val="20"/>
        </w:rPr>
        <w:t xml:space="preserve"> to the consolidated financial statements for further information related to the Insulin Supply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treprostinil used to produce Tyvaso DPI is supplied to us at no cost by United Therapeutics.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we purchased FDKP, the primary component of Technosphere powders, from a major chemical manufacturer with facilities in Europe and North America. We subsequently developed a more efficient process for manufacturing FDKP and transferred the new process to a different European chemical manufacturer. We are currently evaluating the comparability of powders made with the two different sources of FDKP. If testing is successful, we plan to include the additional source of FDKP in a future update to our drug master file.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an agreement with the contractor that performs the final packaging of Afrezza and Tyvaso DPI overwraps, inhalers and printed material into patient kits. In 2024, we expect that we will package some of the Tyvaso DPI stock-keeping units in our Danbury facility, which will supplement our revenue from collaborations and services. If warranted by demand, we expect to be able to qualify additional packaging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V-Go is manufactured for us by a contract manufacturer (“CMO”) in Southern China using MannKind-owned, custom-designed, semi-automated manufacturing equipment and production lines that can be brought online and/or staffed up as demand increases. We believe these production lines will have the ability to meet our current and expected near-term demand for V-Go. Additional CMOs in China perform release testing, sterilization, inspection and packaging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V-Go is assembled from components that are manufactured to our specifications. Each completed device is tested to ensure compliance with our engineering and quality assurance specifications. A series of automated inspection checks, including x-ray assessments and lot-released testing, are also conducted throughout the manufacturing process to verify proper assembly and functionality. When mechanical components are sourced from outside vendors, those vendors must meet our detailed qualification and process control requirements. We maintain a team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and process engineers, supply chain and quality personnel who provide product and production line support for V-Go. We also utilize a full-time dedicated contractor based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 parts and components of V-Go are purchased from single-source vendors, and we manage any single-source components and suppliers through our global supply chain operation. We believe that, if necessary, alternative sources of supply for such components would be available in a relatively short period of time and on commercially reasonable terms once such alternate suppliers have the appropriate tooling in place.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BluHale device is assembled for us by a CMO using components that are sourced from multiple vendors.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manufacture both the clofazimine inhalation solution being evaluated in the MNKD-101 program and the nintedanib dry powder formulation being evaluated in the MNKD-201 program in our Danbury facility. We purchase clofazimine and nintedanib from suppliers of generic drug substances.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our suppliers and contract manufacturers are sophisticated and mature organizations, often with multinational operations, that have significant experience with pharmaceutical and medical device manufacturing. Our quality and manufacturing personnel conduct extensive inspections to qualify new vendors and conduct periodic GMP audits of their operations on an ongoing basis. Our CMO facilities and the facilities of our critical suppliers are subject to periodic inspection by the FDA and corresponding state and foreign agencies. With the expansion of our supply chain into the electronic components that are required for BluHale devices, we have begun to require our vendors to confirm that conflict minerals are not knowingly or intentionally added during the manufacturing process for, or are unnecessary to the functionality or production of, the components that we source from such vendors.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for all inventions in the United States, Europe, Japan and, depending on the nature of the invention, selected other jurisdictions. We have obtained, are seeking, and will continue to seek patent protection on the compositions of matter, methods of treatment and manufacturing processes flowing from our research and development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Technosphere drug delivery platform enjoys patent protection relating to the powder, its manufacture, its use for pulmonary delivery of drugs as well as protection related to our inhalers and associated cartridges. We have additional patent coverage relating to methods for the treatment of diabetes using Afrezza. Overall, Afrezza is protected by approximately 630 issued patents and 40 pending patent applications in the United States and selected jurisdictions around the world, the longest-lived of which will expire in 2032. Similarly, Tyvaso DPI is protected by approximately 400 issued patents in the United States and elsewhere and an additional 45 pending patent applications. Currently, the longest-lived patent protection for Tyvaso DPI in our portfolio will expire in 2035. Various features of the commercial V-Go device are protected by a portfolio of approximately 110 issued patents and another 18 pending patent applications, the longest-lived of which will expire in 2033. Additional patents and patent applications are expected to provide protection for products in our pipeline, including MNKD-101, MNKD-201, our BluHale inhalation-profiling apparatus and various development tools. Our entire worldwide portfolio consists of approximately 1,200 issued patents and approximately 200 pending patent applications We expect to file further patent applications as our research and development efforts continue.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Drug delivery is a crowded field and a substantial number of patents have been issued to inventors and companies in this space.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 For some of our inventions, particularly manufacturing processes and improvements, we have chosen to rely on trade secrets and know-how, which are not protected by patents, to maintain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trademarks and service marks to protect our corporate brand as well as the branding associated with Afrezza, V-Go, our Technosphere formulation technology, our device platform and the product support programs that we have developed. Our current portfolio consists of approximately 265 registered trademarks and 35 applications in the U.S. and selected foreign jurisdictions. We routinely monitor competing trademarks and, when necessary, oppose marks that we believe would be confusing to consumers. We also enforce against the unauthorized use or misappropriation of our marks.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are highly competitive and characterized by rapidly evolving technology and intense research and development efforts. We compete with companies, including major global pharmaceutical companies, and other institutions that have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Afrezza is administered at the beginning of a meal, so its principal competitors are rapid-acting” insulin analogs that are used for mealtime insulin injections. The products in this category are marketed by Eli Lilly and Company, Sanofi S.A. and Novo Nordisk A/S. V-Go is typically used by patients as part of a basal-bolus insulin regimen. Like Afrezza, it competes with injectable mealtime insulin products but also with long-acting, or basal, injectable insulins. The principal products in this category are marketed by Novo Nordisk and Sanofi.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Both Afrezza and V-Go also face some competition from glucagon-like peptide-1, or GLP-1, analog injection products. These products are often used in combination with oral medications or basal insulin injection before a patient progresses to a basal-bolus insulin regimen. As a result, we also compete with the manufacturers of GLP-1 analog injection products, such as AstraZeneca PLC, Novo Nordisk A/S and Eli Lilly and Company.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comparable regulatory agencies in state and local jurisdictions impose substantial requirements upon the research, clinical development, testing, manufacture, labeling, storage, shipping, approval, recordkeeping, advertising, promotion, sale and distribution of medical devices and new drug and biologic products. In addition, to the extent that our products are marketed abroad, they are also subject to export requirements and to regulation by foreign governments. The regulatory approval process is generally lengthy, expensive and uncertain. Failure to comply with applicable FDA and other regulatory requirements can result in sanctions being imposed on us, including warning letters, hold letters on clinical research, product recalls or seizures,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civil or criminal fines or other penalties.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the holder of marketing approvals for Afrezza and V-Go, we are subject to continuing regulation by the FDA, including post marketing study commitments or requirements, record-keeping requirements, reporting of adverse experiences with our products, submitting periodic reports, drug sampling and distribution requirements, notifying the FDA and gaining its approval of certain manufacturing or labeling changes, and complying with certain electronic records and signature requirements. For example, as part of the approval of Afrezza, the FDA required us to conduct certain additional clinical studies of Afrezza in pediatric patients. In 2021, we initiated a Phase 3 clinical trial to evaluate the safety and efficacy of Afrezza in combination with basal insulin versus multiple daily injections of insulin in children and adolescents aged 4-17 who are living with type 1 or type 2 diabetes. This study, known as the INHALE-1 study, is expected to complete enrollment in the first quarter of 2024. When Afrezza was approved, the FDA also required us to conduct an additional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manufacturer of multiple therapeutic products, including Tyvaso DPI, our Connecticut facility is subject to federal registration and listing requirements and, if applicable, to state licensing requirements. It is also subject to inspection by the FDA and other national regulatory bodies and must comply with current good manufacturing practices (“cGMPs”), quality system regulations for medical devices (“QSR”) and other requirements enforced by these regulatory bodies. So too are the facilities of our insulin supplier and the supplier(s) of FDKP. Likewise, the supplier of our inhaler and cartridges and the CMOs for V-Go are subject to QSR, which requires manufacturers to follow elaborate design, testing, control, documentation and other quality assurance procedures during the manufacturing process of medical devices, among other requirements. A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imposes complex regulations on entities that advertise and promote drugs, which include, among other requirements, standards for and regulation of direct-to-consumer advertising, industry sponsored scientific and educational activities, promotional activities involving the Internet, and restrictions on off-label promotion. The FDA has very broad enforcement authority,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Products manufactured in the United States and marketed outside the United States are subject to certain FDA regulations, as well as regulation by the country in which the products are to be sold. We are also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process varies from jurisdiction to jurisdiction and the time required may be longer or shorter than that required for FDA approval.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Pricing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coverage and reimbursement policies both directly and indirectly affect our ability to successfully commercialize our approved products, and such coverage and reimbursement policies will be affected by future healthcare reform measures. Third-party payers, such as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payers often provide reimbursement for products and services based on the level at which the government (through the Medicare or Medicaid programs) provides reimbursement for such products and services. In the United States, the European Union and other potentially significant markets for our product candidates, government authorities and other third-party payers are increasingly attempting to limit or regulate the price of medical products and services, particularly for new and innovative products and therapies, which has resulted in lower average selling prices. Further, the increased emphasis on managed healthcare in the United States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Pricing pressures can arise from rules and practices of managed care organizations, judicial decisions and governmental laws and regulations related to Medicare, Medicaid, healthcare reform, pharmaceutical reimbursement policies and pricing in general.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United States and some foreign jurisdictions have enacted or are considering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the Patient Protection and Affordable Care Act, as amended by the Health Care and Education Reconciliation Act (collectively, “PPACA”), which was enacted in March 2010. In the years since the PPACA was enacted, there have been a number of executive, judicial and congressional challenges to certain aspects of PPACA. While Congress has not passed comprehensive repeal legislation, several bills affecting the implementation of certain provisions of the PPACA have been signed into law.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Moreover, in the United States,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March 11, 2021, President Biden signed the American Rescue Plan Act of 2021 into law, which eliminated the statutory Medicaid drug rebate cap, currently set at 100% of a drug’s average manufacturer price, for single source and innovator multiple source drugs, beginning January 1, 2024. The Inflation Reduction Act (the “IRA”), which was signed into law in August 2022, limited insulin copays to $35 per month for Medicare Part D beneficiaries starting in 2023 and extended enhanced subsidies for individuals purchasing health insurance coverage in PPACA marketplaces through plan year 2025. The IRA also eliminated the “donut hole” under the Medicare Part D program beginning in 2025 by significantly lowering the beneficiary maximum out-of-pocket cost and through a newly established manufacturer discount program. In addition, the IRA, among other things, (1) directed the U.S. Department of Health and Human Services (“HHS”) to negotiate the price of certain single-source drugs and biologics covered under Medicare and (2) imposed rebates under Medicare Part B and Medicare Part D to penalize price increases that outpace inflation. These provisions took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2022,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SIP proposals that are pending review by the FDA. Any such approved importation plans, when implemented, may result in lower drug prices for products covered by those programs.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Health Care Fraud and Abuse and Transparency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Similarly,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healthcare Anti-Kickback Statute prohibits, among other things, persons or entities from knowingly and willfully soliciting, offering, receiving or providing remuneration, directly or indirectly, overtly or covertly, in cash or in kind, to induce or reward, or in return for, either the referral of an individual for, or the purchase, order or recommendation of, any good or service, for which payment may be made under a federal healthcare program such as Medicare and Medicaid.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federal civil and criminal false claims laws, including the civil False Claims Act, which can be enforced through civil whistleblower or qui tam actions, and civil monetary penalty laws impose criminal and civil penalties against individuals or entities for, among other things, knowingly presenting, or causing to be presented, to the federal government, including the Medicare and Medicaid programs, claims for payment or approval that are false or fraudulent or making a false statement to avoid, decrease or conceal an obligation to pay money to the federal government.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imposes criminal and civil liability for, among other things, executing a scheme to defraud any healthcare benefit program and also created federal criminal laws that prohibit knowingly and willfully falsifying, concealing or covering up a material fact or making any materially false statements in connection with the delivery of or payment for healthcare benefits, items or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(i) report information related to certain payments or other transfers of value made or distributed to physicians (defined to include doctors, dentists, optometrists, podiatrists and chiropractors), certain other healthcare professionals (such as physician assistants and nurse practitioners), and teaching hospitals, or to entities or individuals at the request of, or designated on behalf of, the physicians and teaching hospitals and (ii) report annually certain ownership and investment interests held by physicians and their immediate family members.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comply with industry’s compliance guidelines and relevant compliance guidance promulgated by the federal government and register pharmaceutical sales representatives and limit expenditure for, or payments to, individual medical or health professionals. In addition, certain state and local laws require pharmaceutical companies to report expenses relating to the marketing and promotion of pharmaceutical products and to report gifts and payments to individual physicians in the states; register pharmaceutical sales representatives, and report pricing with respect to certain drug products.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Privacy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subject to data privacy and security laws, regulations, and rules, contractual obligations, industry standards, policies and other obligations related to data privacy and security. For example,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which include certain healthcare providers, health plans, and healthcare clearinghouses, that receive or obtain protected health information in connection with providing a service on behalf of a covered entity, and their covered subcontractors. HITECH also increased the civil and criminal penalties that may be imposed against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covered entities, business associates and possibly other persons, and gave state attorneys general new authority to file civil actions for damages or injunctions in federal courts to enforce HIPAA and seek attorneys’ fees and costs associated with pursuing federal civil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 laws also govern the privacy and security of personal data, including health information in certain circumstances, many of which differ from each other in significant ways and may not have the same effect, thus complicating compliance efforts.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effective January 1, 2023, expands the CCPA. The CPRA established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became effective in 2023. U.S. federal and state consumer protection laws require us to publish statements that accurately and fairly describe how we handle personal data and choices individuals may have about the way we handle their personal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data privacy and security laws impose significant and complex compliance obligations on entities that are subject to those laws. As one example, the European Union’s General Data Protection Regulation 2016/679 (“EU GDPR”) contains provisions specifically directed at the processing of health information, higher sanctions and extra-territoriality measures that are intended to bring non-EU companies under the data security and privacy legal framework specified in the regulation. We anticipate that over time we may expand our business operations to include operations in the EU, including potentially conducting preclinical and clinical trials. With such expansion, we would be subject to increased governmental regulation in the EU countries in which we might operate, including the EU GDPR.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significant criminal, civil and administrative penalties, damages, fines, imprisonment, disgorgement, exclusion from government healthcare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Ethical Business Practices and Sustainability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Ethical Marketing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require that our employees abide by our Code of Business Conduct and Ethics, our policy on interactions with healthcare professionals and patients, U.S. federal and state laws and applicable foreign laws. We are committed to protecting the health and well-being of patients by ensuring that medically sound knowledge of the benefits and risks of our products is understood and communicated thoroughly and accurately to patients, physicians and global health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policy on interactions with healthcare professionals and patients requires that our employees promote our products fairly, truthfully, accurately and on-label. Off-label promotion of our products is explicitly prohibited, as are sales activities that would interfere with a healthcare provider’s independent medical judgment or the doctor-patient relationship. All sales staff receive compliance training upon hire and on an annual basis. We also routinely monitor sales calls. We expect that consistent enforcement of, and training on, our Code of Business Conduct and Ethics and our policy on interactions with healthcare professionals and patients will help us to avoid the incidence of unethical marketing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our commitment to patient support and education, our employees and consultants may attend and participate in certain patient events, such as health fairs or local disease awareness and advocacy events. In all cases, interactions with patients and patient groups may only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conducted in settings that are suitable for patient education and separate from the usual place(s) of clinical business of healthcare providers or institutions. In addition, our sponsorship of such events, if any, must be clearly disclosed through prominent signage.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Drug Safety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safety of our products at all stages – from clinical trials to the administration and use and through to safe disposal – is a key area of attention for us. We manufacture our approved and investigational products in accordance with the applicable cGMPs, QSR and other requirements enforced by the FDA and other regulatory bodies that have oversight over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all sales packs of our drugs that are placed in the distribution chain are serialized in accordance with the requirements of the Drug Quality and Security Act, which requires drug manufacturers to assign a unique identifier to each sales pack (and each aggregate of such sales pack, such as a case or pallet). These identifiers remain on such pack or aggregate through the whole supply chain until its consumption or destruction. This system is intended to improve detection and removal of drugs that may be counterfeit, stolen, contaminated, or otherwise harmful from the drug supply chain.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employees are required to adhere to a standard operating procedure for capturing and reporting adverse events, safety information, and product complaints/adverse incidents involving any drug products marketed by us. These reports, as well as those that are collected by our third-party call center, are evaluated, processed and reported to regulatory authorities in accordance with FDA regulations and guidance on the post-marketing reporting of adverse experiences involving drugs, medical devices and combination products.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Safety of Clinical Trial Participants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are actively conducting clinical trials, the safety of our clinical trials plays a crucial role in the development of new products and our continuing prosperity. We take numerous steps to maximize the safety of our clinical trial participants.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health of subjects in clinical trials is a priority for us and we are committed to conducting clinical trials according to uniformly high ethical standards. We apply those standards to trials that we sponsor and conduct directly as well as those conducted on our behalf by clinical research organizations. We conduct trials in accordance with all applicable laws, the standards of International Council for Harmonisation of Technical Requirements for Registration of Pharmaceuticals for Human Use Guidelines and following the ethical principles that have their origin in the Declaration of Helsinki.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require that informed consent be obtained in all trials to ensure that participants understand the risks and benefits of the procedures, how personal medical data is collected and used, and that participation in the trial is voluntary, among other information. We retain documentation that all participants in our trials have provided informed consent.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monitor clinical trials through audits and inspections conducted by us and by clinical research organizations (CROs) that we engage. We also inspect our CROs prior to, and during, an engagement. These inspections verify that our policies, good clinical practices and applicable laws are being adhered 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ensure the safety of clinical trial participants is critical to securing regulatory approval and continued product development success. Moreover, our inability to conduct safe and effective clinical trials could increase our development costs over time. We will continue to hold ourselves to high standards in our oversight and management of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policy is to disclose the basic results of all clinical trials that we conduct to test the effectiveness of investigational drugs intended to treat serious or life-threatening diseases or conditions (i.e., phase 2-4 clinical studies). Additionally, we may voluntarily disclose the results of initial safety studies (i.e., phase 1 clinical studies). In our disclosure of clinical trial results, our policy is to include all serious adverse events and those non-serious adverse events that have a frequency of at least five percent.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Corruption and Bribery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Code of Business Conduct and Ethics reflects the business practices and principles of behavior that we expect of every employee, officer and director. All new employees are trained on the Code of Business Conduct and Ethics and existing employees are required to acknowledge annually that they have refreshed their familiarity with the policies contained within it. Our Code of Business Conduct and Ethics includes clear guidelines on anti-bribery and anti-corruption practices. In addition, we have adopted a separate anti-corruption policy. Currently, we have very limited operations outside the United States; however, as we expand our global reach through collaborations or through our own growth, we acknowledge that certain regions may pose a higher risk for corrupt practices. We intend to continue our internal training programs and oversight over collaborators on anti-bribery, anti-corruption and other unethical practices in order to reduce these risks.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Bribing healthcare professionals to use or recommend our products can create adverse publicity and damage our ability to use a critical channel of influence. We have adopted and implemented PhRMA’s Code on Interactions with Healthcare Professionals as part of our policy on interactions with healthcare professionals and patients. We believe that training on, and enforcement of, these codes will limit the incidence of unethical interactions between our personnel and healthcare professionals.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long-lived assets are located in the United States and China and totaled $90.0 million and $53.0 million as of December 31, 2023 and 2022,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Employees and Human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human capital helps us develop and commercialize new products, conduct clinical trials and navigate government regulations. Our ability to recruit, develop and retain highly skilled talent is a significant determinant of our success. Our Code of Business Conduct and Ethics codifies our commitment to diversity and to providing equal opportunity and a positive working environment in all aspects of employment. We also have policies setting forth our expectations for nondiscrimination and a harassment-free work environment. Specifically, our policy is that no aspect of employment, including hiring and promotional opportunities, will be subject to unlawful discrimination or harassment (including sexual harassment) based on race, creed, color, religion, national origin, ancestry, gender (including pregnancy, breastfeeding or medical conditions related to pregnancy or breastfeeding), age, physical or intellectual disability, sexual orientation, gender identity, gender expression, gender stereotyping, marital status, military or veteran status, citizenship, genetic characteristic or information, or any other characteristic protected by applicable federal, state or local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414 total at-will employees, of which 411 were full-time. Of our full-time employees, 227 were engaged in manufacturing, 32 in research and development, 58 in general and administrative and 94 in selling and marketing. Twenty-one of these employees had a Ph.D. degree and/or M.D. degree and were engaged in activities relating to research and development, manufacturing, quality assurance or business development. As of December 31, 2023, our workforce was distributed among gender and ethnic minorities as follows:</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4081"/>
        <w:gridCol w:w="109"/>
        <w:gridCol w:w="142"/>
        <w:gridCol w:w="549"/>
        <w:gridCol w:w="109"/>
        <w:gridCol w:w="109"/>
        <w:gridCol w:w="961"/>
        <w:gridCol w:w="109"/>
        <w:gridCol w:w="109"/>
        <w:gridCol w:w="1576"/>
        <w:gridCol w:w="154"/>
      </w:tblGrid>
      <w:tr>
        <w:trPr/>
        <w:tc>
          <w:tcPr>
            <w:tcW w:w="4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Grade Levels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Female (%)</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Ethnic minority (%)</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 above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Director, Director and Senior Manager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Managers and below</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employees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None of our employees are subject to a collective bargaining agreement. We believe relations with our employees are good. In managing our business, we monitor several human capital measures,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against a set of specified corporate objectives for each calendar year, some of which are milestone-based, such as achieving deliverables under our collaboration agreements, and some of which are quantitative, such as achieving target net sales of Afrezza. These objectives are intended to stretch employees and serve as development opportunities but also form the basis for our incentive compensation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churn rate – the number of new hires and terminations each month as a percentage of the employee base – as well as the number of regrettable losses. These metrics help us to identify areas within the company where there may be a need for greater management attention and intervention.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responses to periodic employee surveys, which are designed to give us insight into employees’ perception of company culture and areas where management’s efforts are perceived positively or negatively as well as open-ended feedback in the form of anonymous comments and questions. We strive to conduct employee surveys approximately every six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offer our employees a portfolio of rewards (our “Total Rewards Program”) to recruit and retain a high level of talent across the Company. Our Total Rewards program is offered to each employee and currently consists of the seven components: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 salary – We offer a market-competitive base salary.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bonus program – We offer quarterly sales incentive bonuses to our sales force and annual bonuses to the remainder of our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equity program – We offer a new hire and annual equity awards that consist of time- and, in some cases, performance-based restricted stock units and non-qualified stock options.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and wellness program – A variety of insurance plans that allow employees to select among different options, including a health maintenance organization, a preferred provider organization and a high-deductible health plan, as well as flexible spending and health savings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Paid time off program – In addition to the paid time off that is accrued throughout the year, we offer paid holidays, including two week-long company shutdowns in July and December.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Retirement savings program – A 401(k) retirement plan pursuant to which we match 50% of employee contributions up to a specified limit on their annual eligible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stock purchase plan (“ESPP”) program – The ESPP provides the opportunity to purchase shares of our common stock through payroll deductions every six months at a 15% discount to the market price at the beginning or end of each offering period, whichever is lower.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Recognition Program – We provide a company-wide Spot and Peer to Peer Recognition Program to more directly reward performance and behaviors and drive cultural improvement.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employees are essential workers involved in the production of medicine for chronic diseases. As such, they cannot work remotely and must perform their job duties in our Connecticut facility according to a 24/7 shift schedule. Other employees have work responsibilities that can be performed somewhat asynchronously and in different locations. For such employees, our general preference is that in-office employees be in the office during core business hours at least four days per week in order to maximize the productivity gains that come from having a collaborative culture and a common workplace; however, we also recognize that such employees can be equally productive working from home some of the time or with a flexible workday that they can structure around significant events outside of the workplace, such as commute times or childcare responsibilities.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Occupational Health and 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Hazardous materials are inherent in our operations, and it is not possible to eliminate completely the risk of accidental exposure from our operations. We have established procedures to comply with governmental regulations regarding workplace safety, including training employees to enable them to recognize risks and empower them to learn, discover, work safely, and to minimize injuries, illnesses, environmental impact and regulatory risks. In 2023, our total illness and injury incidence rate was 0.8 per 100 employees compared to the 2022 industry average of 1.6, as reported by the U.S. Department of Labor, and our DART (days away/restricted or job transfer) incident rate was 0.4 per 100 employees compared to the 2022 industry average of 1.2. We will continue our efforts to ensure a high level of workplace safety.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the State of Delaware on February 14, 1991. Our principal executive offices are located at 1 Casper Street, Danbury, Connecticut 06810, and our general telephone number is (818) 661-5000.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our websites are not incorporated into this Annual Report. Further, our references to the URLs for these websites are intended to be inactive textual reference only.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Scientific Advisors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advice from a number of leading scientists and physicians on scientific, technical and medical matters. These advisors are leading scientists in endocrinology, pulmonology and other areas of scientific or clinical interest. Our scientific advisors are consulted regularly to assess,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and implementation of our clinical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 and publication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opportunities from a clinical perspective;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technologies relevant to our research and development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 scientific and technical issues relevant to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partial listing of our current scientific advisors is maintained on our corporate website at </w:t>
      </w:r>
      <w:r>
        <w:rPr>
          <w:rFonts w:ascii="Times New Roman" w:hAnsi="Times New Roman"/>
          <w:sz w:val="20"/>
        </w:rPr>
        <w:t>www.mannkindcorp.com</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Information about our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our current executive officers and their ages: </w:t>
      </w:r>
    </w:p>
    <w:tbl>
      <w:tblPr>
        <w:tblW w:w="9941" w:type="dxa"/>
        <w:jc w:val="left"/>
        <w:tblInd w:w="0" w:type="dxa"/>
        <w:tblLayout w:type="fixed"/>
        <w:tblCellMar>
          <w:top w:w="28" w:type="dxa"/>
          <w:left w:w="28" w:type="dxa"/>
          <w:bottom w:w="28" w:type="dxa"/>
          <w:right w:w="28" w:type="dxa"/>
        </w:tblCellMar>
      </w:tblPr>
      <w:tblGrid>
        <w:gridCol w:w="2626"/>
        <w:gridCol w:w="109"/>
        <w:gridCol w:w="391"/>
        <w:gridCol w:w="109"/>
        <w:gridCol w:w="6706"/>
      </w:tblGrid>
      <w:tr>
        <w:trPr/>
        <w:tc>
          <w:tcPr>
            <w:tcW w:w="2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Position(s)</w:t>
            </w:r>
          </w:p>
        </w:tc>
      </w:tr>
      <w:tr>
        <w:trPr/>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 Pharm.D.</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r>
        <w:trPr/>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Binder</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Burkhard Blank </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Research and Development, and Chief Medical Officer</w:t>
            </w:r>
          </w:p>
        </w:tc>
      </w:tr>
      <w:tr>
        <w:trPr/>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Lauren Sabella</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r>
      <w:tr>
        <w:trPr/>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Singh, M Pharm, MBA</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Technical Operations</w:t>
            </w:r>
          </w:p>
        </w:tc>
      </w:tr>
      <w:tr>
        <w:trPr/>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A. Tross, Ph.D.</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Human Resources</w:t>
            </w:r>
          </w:p>
        </w:tc>
      </w:tr>
      <w:tr>
        <w:trPr/>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B. Thomson, Ph.D., J.D.</w:t>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Michael E. Castagna, Pharm.D.</w:t>
      </w:r>
      <w:r>
        <w:rPr>
          <w:rFonts w:ascii="Times New Roman" w:hAnsi="Times New Roman"/>
          <w:color w:val="000000"/>
          <w:sz w:val="20"/>
        </w:rPr>
        <w:t xml:space="preserve"> has been our Chief Executive Officer since May 2017 and was our Chief Commercial Officer from March 2016 until May 2017. From November 2012 until he joined us, Dr. Castagna was at Amgen, Inc., where he initially served as Vice President, Global Lifecycle Management, and subsequently,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Steven B. Binder </w:t>
      </w:r>
      <w:r>
        <w:rPr>
          <w:rFonts w:ascii="Times New Roman" w:hAnsi="Times New Roman"/>
          <w:color w:val="000000"/>
          <w:sz w:val="20"/>
        </w:rPr>
        <w:t>has been our Chief Financial Officer since July 2017. Before joining us, since 2013 Mr. Binder served as Vice President and Chief 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pStyle w:val="TextBody"/>
        <w:bidi w:val="0"/>
        <w:spacing w:before="240" w:after="283"/>
        <w:jc w:val="left"/>
        <w:rPr>
          <w:rFonts w:ascii="Times New Roman" w:hAnsi="Times New Roman"/>
          <w:sz w:val="20"/>
        </w:rPr>
      </w:pPr>
      <w:r>
        <w:rPr>
          <w:rFonts w:ascii="Times New Roman" w:hAnsi="Times New Roman"/>
          <w:i/>
          <w:color w:val="000000"/>
          <w:sz w:val="20"/>
        </w:rPr>
        <w:t>Burkhard Blank, M.D</w:t>
      </w:r>
      <w:r>
        <w:rPr>
          <w:rFonts w:ascii="Times New Roman" w:hAnsi="Times New Roman"/>
          <w:color w:val="000000"/>
          <w:sz w:val="20"/>
        </w:rPr>
        <w:t xml:space="preserve">. has been our Executive Vice President, Research and Development and our Chief Medical Officer since May 2023. Before joining us, since 2022, Dr. Blank served as CMO/Head of R&amp;D at Pharnext SA after serving seven years in the same position at Acorda Therapeutics. While at Acorda, he oversaw the Phase 3 development in North America and in Europe for Inbrija® (levodopa inhalation powder) for Parkinson’s disease with subsequent one-cycle approvals by the FDA and the EMA. Earlier in his career, Dr. Blank spent 20 years between Boehringer Ingelheim Pharmaceuticals in Ridgefield, CT, and Boehringer Ingelheim GmbH in Germany, serving in progressive leadership roles. Under his guidance, four products received approval including Spiriva® (for COPD) for which he oversaw development and led the presentation at the FDA advisory committee meeting. Dr. Blank received his medical degree from Universitaet Marburg, Germany, and is board-certified in internal medicine.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Lauren Sabella</w:t>
      </w:r>
      <w:r>
        <w:rPr>
          <w:rFonts w:ascii="Times New Roman" w:hAnsi="Times New Roman"/>
          <w:color w:val="000000"/>
          <w:sz w:val="20"/>
        </w:rPr>
        <w:t xml:space="preserve"> has been our Chief Operating Officer since March 2023. Prior to joining us, Ms. Sabella served as Principal at LS Consulting Group, a strategic advisory group providing consulting services to pharmaceutical and emerging biotech companies, from September 2022 until March 2023. From September 2021 until September 2022, Ms. Sabella served as Chief Operating Officer at Acorda Therapeutics, Inc. (“Acorda”). Ms. Sabella was previously Acorda’s Chief Commercial Officer from February 2015 to September 2021. Before that, from January 2010 to February 2015, she was Acorda’s Executive Vice President, Commercial Development. Prior to that, Ms. Sabella was the Founder and Principal of Tugboat Consulting Group, an independent consulting practice assisting companies in the commercialization process. Ms. Sabella also served as Corporate Officer and Vice President of Commercial Development at Altus Pharmaceuticals Inc. (“Altus”) from May 2006 to September 2008, with responsibility for all aspects of commercialization. Prior to joining Altus, Ms. Sabella was employed by Boehringer Ingelheim Pharmaceuticals for 18 years in positions of increasing responsibility, which included over ten years of marketing experience during which she led several product launches including Mobic, an NSAID that became a $1 billion brand. In her last role, she served as Vice President of Sales, Eastern Zone, where she led the sales launch of Spiriva and ran both Primary Care and Specialty Divisions, including Neurology, Urology and Cardio/Pulmonary. Ms. Sabella holds a B.B.A. from Hofstra University.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Sanjay Singh</w:t>
      </w:r>
      <w:r>
        <w:rPr>
          <w:rFonts w:ascii="Times New Roman" w:hAnsi="Times New Roman"/>
          <w:color w:val="000000"/>
          <w:sz w:val="20"/>
        </w:rPr>
        <w:t xml:space="preserve"> has been our Executive Vice President, Technical Operations since October 2022. Before joining us, since 2011 Mr. Singh served as Sr. Vice President and Associate President Technical Operations in India and USA at Aurobindo Pharma, a leading generic pharmaceutical manufacturing company, headquartered in Hyderabad, India. Prior to Aurobindo, Mr. Singh worked in various leadership roles at Cipla Ltd (2000 – 2007, 2008-2011), Glenmark Pharma (2007-2008), Nicholas Piramal India Ltd (1992-2000) and Cadila Laboratories (1990-1991). Mr. Singh has been associated with the Parenteral Drug Association (PDA) and was the founding president of the PDA, India chapter before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moving to the US in 2015. Mr. Singh received an M. Pharma. degree in Pharmaceutical Chemistry from LM College of Pharmacy, Ahmedabad, India and an MBA degree from Institute of Management Studies, Indore, India. </w:t>
      </w:r>
    </w:p>
    <w:p>
      <w:pPr>
        <w:pStyle w:val="TextBody"/>
        <w:bidi w:val="0"/>
        <w:spacing w:before="240" w:after="283"/>
        <w:jc w:val="left"/>
        <w:rPr>
          <w:rFonts w:ascii="Times New Roman" w:hAnsi="Times New Roman"/>
          <w:sz w:val="20"/>
        </w:rPr>
      </w:pPr>
      <w:r>
        <w:rPr>
          <w:rFonts w:ascii="Times New Roman" w:hAnsi="Times New Roman"/>
          <w:i/>
          <w:color w:val="000000"/>
          <w:sz w:val="20"/>
        </w:rPr>
        <w:t>Stuart A. Tross, Ph.D.</w:t>
      </w:r>
      <w:r>
        <w:rPr>
          <w:rFonts w:ascii="Times New Roman" w:hAnsi="Times New Roman"/>
          <w:color w:val="000000"/>
          <w:sz w:val="20"/>
        </w:rPr>
        <w:t xml:space="preserve"> has been our Executive Vice President, Human Resources since December 2016, with responsibilities for human resources, information 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pStyle w:val="TextBody"/>
        <w:bidi w:val="0"/>
        <w:spacing w:before="240" w:after="283"/>
        <w:jc w:val="left"/>
        <w:rPr>
          <w:rFonts w:ascii="Times New Roman" w:hAnsi="Times New Roman"/>
          <w:sz w:val="20"/>
        </w:rPr>
      </w:pPr>
      <w:r>
        <w:rPr>
          <w:rFonts w:ascii="Times New Roman" w:hAnsi="Times New Roman"/>
          <w:i/>
          <w:color w:val="000000"/>
          <w:sz w:val="20"/>
        </w:rPr>
        <w:t>David B. Thomson, Ph.D., J.D.</w:t>
      </w:r>
      <w:r>
        <w:rPr>
          <w:rFonts w:ascii="Times New Roman" w:hAnsi="Times New Roman"/>
          <w:color w:val="000000"/>
          <w:sz w:val="20"/>
        </w:rPr>
        <w:t xml:space="preserve"> has been our General Counsel and Corporate Secretary since January 2002. Prior to joining us, he practiced corporate/commercial and securities law at a major Toronto law firm. Earlier in his career, Dr. Thomson was a post-doctoral fellow at the Rockefeller University. Dr. Thomson obtained his B.S., M Sc. and Ph.D. degrees from Queens University and obtained his J.D. degree from the University of Toronto.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 w:name="item_1a_risk_factors"/>
      <w:bookmarkEnd w:id="3"/>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products that we or our collaboration partner are commercializing may only achieve a limited degree of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any products that we may develop or acquire in the future) and the product that is commercialized by our current collaboration partner (including future products that may be commercialized by our collaboration partner) may not gain market acceptance among physicians, patients, third-party payers and the healthcare community. The degree of market acceptance of our or a collaboration partner’s products depends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approved labeling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willingness of the healthcare community and patients to adopt new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manufacture the product in sufficient quantities with acceptable quality and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perception of patients and the healthcare community, including third-party payers, regarding the safety, efficacy and benefits compared to competing products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relative to existing treatment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as well as pricing relative to other treatment therapeutics and methods;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distribution support.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 order to increase adoption and sales of our products, we need to continue to develop our commercial organization, including maintaining and growing a highly experienced and skilled workforce with qualified sales representatives.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built a sales force that promotes Afrezza and V-Go to endocrinologists and selected primary care physicians. In order to successfully commercialize any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recruit, retain and effectively manage adequate numbers of effective sales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complementary products to be offered by sales personnel, which may put us at a competitive disadvantage relative to companies that have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delays, costs and expenses associated with maintaining our sales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maintain an effective sales force for our products, including any other potential future approved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Similarly, if UT does not effectively engage or maintain its sales force for Tyvaso DPI, our ability to recognize royalties and manufacturing revenue from this collaboration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Manufacturing risks may adversely affect our ability to manufacture our products and Tyvaso DPI, which and could reduce our gross margin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political and economic conditions, particularly those potentially negatively affecting the trade relationship between the United States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protection measures, such as tariff increases, and import and export licensing and control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negative consequences from changes in tax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associated with the Chinese legal system, including increased costs and uncertainties associated with enforcing contractual obligations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lower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or unfavorable changes in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and volatility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patient or physician preferences for more established pharmaceutical products and medical devices manufactured in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foreign relationships and operations generally.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risks are likely to be exacerbated by our limited experience with V-Go and its manufacturing processes.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cGMP for drug products, and the molding of the inhaler and cartridges components in accordance with QSRs.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do not have long-standing relationships with all of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product pricing, review the relationship between pricing and manufacturer patient programs, and reform government program reimbursement methodologies for products. For example, the IRA limited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collaboration or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or marketing partner’s ability to successfully commercialize such products and would impact our profitability, results of operations,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raise additional capital to fund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we are able to generate revenue from products that we or a collaboration partner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developing Afrezza and of commercializing Afrezza and V-Go on our own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revenue from Afrezza exceeds or not the minimum revenue covenants under our credit and security agreement with MidCap Financial Trust (the “MidCap credit facility”),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by any or all of the holders of our debt instruments to require us to repay or repurchase such debt securities if and when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repay or refinance existing indebtedness, and the extent to which our notes with conversion options or any other convertible debt securities we may issue are converted into or exchanged for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costs of our clinical studies and R&amp;D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procuring raw materials and operating our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establishing additional strategic business collaborations or other sales or licensing of assets, and the timing and amount of any payments we might receive from any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the FDA and other regulatory authorities affecting Afrezza, V-Go, Tyvaso DPI, our product candidates or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technologies and products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prosecuting, maintaining and enforcing patent claims and other intellectual property rights or defending against claims of infringement by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our legal and litigation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discontinuing projects and technologies, and/or decommissioning existing facilities, if we undertake any such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raised capital in the past through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to develop or commercialize products or technologies that we otherwise would have sought to develop independently, and any such relationships may not be on terms as commercially favorable to us as might otherwise be the case.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and third parties acting on our behalf,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“process”) large amounts of data, including proprietary, confidential and sensitive data (such as personal or health-related data), intellectual property, and trade secrets (collectively, “sensitive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We may also rely on third-party service providers to provide other products or services, or otherwise to operate our business. For example,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to detect and remediate vulnerabilities in our information security systems (such as our hardware and/or software, including that of third parties upon which we rely), but we may not be able to detect, mitigate, and remediate all such vulnerabilities on a timely basis. Further, we may experience delays in developing and deploying remedial measures and patches designed to address identified vulnerabilities. We have in the past experienced security incidents.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At the time, we used UKG Pro, a product offered through UKG that is not in the Kronos Private Cloud, for human capital management. UKG is not aware of an impact on UKG Pro and the incident did not appear to have any negative impact on our operations or the sensitive information we may process. These incidents illustrate that despite our efforts to identify and remediate vulnerabilities, if any, in our information technology systems, our efforts may not be 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Applicable data privacy and security obligations may require us to notify relevant stakeholders, including affected individuals, customers, regulators, and investors,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our employees’, personnel’s, or vendors’ use of generative artificial intelligence (“AI”) technologies.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that our results of operations will fluctuate for the foreseeable future, which may make it difficult to predict our future performance from period to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comparisons from period to period of our financial results are not necessarily meaningful and should not be relied upon as indications of our future performance.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 history of operating losses. We may incur losses and may not generate positive cash flow from operations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had positive cash flows from operating activities during the year ended December 31, 2023, we have a history of operating losses. As of December 31, 2023,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losses have had, and may continue to have, an adverse impact on our working capital, total assets and stockholders’ equity. Our ability to achieve and sustain positive cash flow from operations and profitability depends heavily upon successfully commercializing our products, and although we had positive cash flows from operations during the year ended December 31, 2023, we may not generate positive cash flow from operations or be profitable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generate sufficient cash to service all of our indebtedness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make scheduled payments on our insulin purchase commitments and debt obligations will depend on our financial and operating performance, which is subject to the commercial success of our products and the commercial success of the product(s) of our collaboration partners, the extent to which we are able to successfully develop and commercialize additional products, the extent to which we enter into additional collaboration or licensing arrangements, prevailing economic and competitive conditions, and certain financial, business and other factors beyond our control. We cannot assure you that we will maintain a level of cash flows from operating activities sufficient to permit us to pay the principal, premium, if any, and interest on our indebtedness. If we fail to pay interest on, or repay, our outstanding term loan under the MidCap credit facility or borrowings under the Senior convertible notes or the Mann Group convertible note when required, we will be in default under the instrument for such debt securities or loans, and may also suffer an event of default under the terms of other borrowing arrangements that we may enter into from time to time. If our cash flows and capital resources are insufficient to fund our obligations, we may be forced to reduce or delay capital expenditures, sell assets or operations, seek additional capital or restructure or refinance our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 Any of these events could have a material adverse effect on our business, results of operations and financial condition, up to and including the noteholders initiating bankruptcy proceedings or causing us to cease operations altogether.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MidCap credit facility requires us, and any debt arrangements we may enter into in the future may require us, to comply with various covenants that limit our ability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dispose of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mergers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indebtedness or modify existing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 or modify certain material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additional lines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encumber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dividends or make other distributions to holders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specified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certain key management personnel or organizational documents;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transactions with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required to comply with additional covenants in the future under certain circumstances. The restrictive covenants in the MidCap credit facility could prevent us from pursuing business opportunities that we or our stockholders may consider beneficial.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breach of any of these covenants could result in an event of default under the MidCap credit facility. If we default on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in full from the proceeds of the collateral securing our secured indebtedness before the holders of other indebtedness or our common stock will be entitled to receive any distribution with respect thereto.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may from time to time seek to retire or purchase our outstanding debt, including the Senior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recent policy of strict lockdowns in order to reduce the spread of disease. Disruptions in sales and demand for our products would be expected to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are physically quarantined or are unable or unwilling to visit healthcare providers,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physicians restrict access to their facilities for a material period of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healthcare providers prioritize treatment of acute or communicable illnesses over chronic disease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pharmacies are closed or suffering supply chain disruptions,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lose access to employer-sponsored health insurance due to periods of high unemployment,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general disruptions in the operations of payers, distributors, logistics providers and other third parties that are necessary for our products to be prescribed and reimbursed.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generally sought to develop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analysis of data collected from clinical studies of our product candidates may not reach the statistical significance necessary, or otherwise be sufficient to support FDA or other regulatory approval for the claimed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reviewing clinical data, we or any collaborators may abandon projects that we previously believed were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produce the desired effects or may result in adverse health effects or other characteristics that preclude regulatory approval or limit their commercial use once approved;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milestones. All of these milestones are based on a variety of assumptions. The actual timing of the achievement of these milestones can vary dramatically from our estimates, in many cases for reasons beyond our control, depending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studies and preclinical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study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components used in the manufacture of our product candidates or to source clinical supplies from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expanding and maintaining manufacturing operations, as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clinical studies compete for clinical sites and eligible subjects with clinical studies sponsored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by regulators;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caused by geopolitical conflicts, man-made or natural disasters or public health pandemics or epidemics or other business interruptions.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in June 2023, the contract manufacturer responsible for the production of clofazimine inhalation solution, the investigational product we are developing as MNKD-101, experienced a fire in its manufacturing facility in Germany. As a result of the incident, the initiation of a Phase 3 clinical study of MNKD-101, originally planned for late 2023, is now expected to commence sometime in the second quarter of 2024. 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marketing or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V-Go received pre-market clearance in 2010 under Section 510(k) of the U.S. Federal Food, Drug, and Cosmetic Act, or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realize the anticipated benefits of any future acquisition or strategic transaction; we may be unable to successfully integrate new products or businesses we may acquire.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periodically evaluate and pursue acquisition of therapeutic products. The integration of any acquired business, product or other assets into our company may be complex and time-consuming and, if such businesses, products or assets are not successfully integrated, we may not achieve the anticipated benefits, cost-savings or growth opportunities. Potential difficulties that may be encountered in the integration process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liabilities related to acquired assets, companies or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integrating personnel, operations and systems, while maintaining focus on producing and delivering consistent, high quality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geographically dispersed organizations;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our business to management of strategic alliances or joint ventures or acquisition integration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retaining existing customers and attracting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inefficiencies associated with integrating the operations of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write-offs or impairment charges relating to acquired assets, businesses or joint ventures.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and product candidates may be rendered obsolete by rapid technological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claims are brought against us, we may incur significant liabilities and suffer damage to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lose any key employees or scientific advisors, our operations and our ability to execute our business strategy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internal controls over financial reporting are not considered effective, our business, financial condition and market price of our common stock and other securities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or modifications in financial accounting standards may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Unless the United States Department of the Treasury issues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net operating losses to offset future taxable income may be subject to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had federal and state net operating loss carryforwards of approximately $2.0 billion and $1.3 billion available, respectively, to reduce future taxable income. $494.0 million of the federal losses do not expire and the remaining federal losses have started expiring, beginning in the current year through various future 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2023, to determine whether additional limitations apply to the net operating loss carryforwards and other tax attributes, and no additional changes in ownership that met Section 382 study ownership change threshold has been identified through December 31, 2023. There is a risk that changes in ownership may occur in tax years after December 31, 2023.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Tax authorities may disagree with our positions and conclusions regarding certain tax positions, resulting in unanticipated costs, taxes or non-realization of expected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might be interrupted by the occurrence of a natural disaster or other catastrophic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least for the foreseeable future, we expect that our manufacturing facility in Connecticut will be the sole location for the manufacturing of Afrezza and Tyvaso DPI. Similarly, our contract manufacturer in Southern China is the only location for the assembly of V-Go. Additional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(including the current Russia-Ukraine war, the state of war between Israel and Hamas and attacks on commercial marine vessels in the Red Sea by Houthi rebels),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deal with hazardous materials and must comply with environmental laws and regulations, which can be expensive and restrict how we do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design, development, manufacture and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storage and shipping;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sales and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comply with regulatory requirements, we may not be able to obtain the labeling claims necessary or desirable for product promotion. We may also be required to undertake post-marketing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stringent, ongoing government regulation.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post-approval. Later discovery of previously unknown problems,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revisions to the approved labeling to add new safety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approval of Afrezza, the FDA required us to conduct certain additional clinical studies of Afrezza. One of these studies, a Phase 3 clinical trial to evaluate the safety and efficacy of Afrezza in 4-17 year-old children and adolescents, is ongoing.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legislation may make it more difficult to receive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both the United States and certain foreign jurisdictions, there has been a number of legislative and regulatory proposals in recent years to change the healthcare system in ways that could impact our ability to sell our products profitably. The most recent significant healthcare legislation was the PPACA, enacted in March 2010, which substantially changed the way healthcare is financed by both governmental and private insurers and continues to significantly affect the healthcare industry. 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IRA into law, which among other things,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capped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reimbursement reform proposals or legislation. Further, to the extent that such reforms have a material adverse effect on our ability to commercialize our products and product candidates under development, our business, financial condition and profitability may be adversely affected.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under PPACA, which requires certain manufacturers of drugs, devices, biologics, and medical supplies to report annually to Centers for Medicare &amp; Medicaid Services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available statutory exceptions and regulatory safe harbors, it is possible that some of our business activities could be subject to challenge under one or more of such laws. With Afrezza approved in Brazil and as our partners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stringent and changing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certain privacy rights related to their personal data. The CCPA provides for fines (up to $7,500 per intentional violation)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are being considered in several other states, as well as at the federal and local levels, and we expect more states to pass similar laws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the European Union's General Data Protection Regulation (“EU GDPR”), the United Kingdom’s GDPR (“UK GDPR”) (EU GDPR and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allows for transfers to relevant U.S.-based organizations who self-certify compliance and participate in the Framework)these mechanisms are subject to legal challenges, and there is no assurance that we can satisfy or rely on these reasons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in March 2021, President Biden signed the American Rescue Plan Act of 2021 into law, which eliminates the statutory Medicaid drug rebate cap, currently set at 100% of a drug’s AMP, for single source and innovator multiple source drugs, which became effective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Office of Inspector General of the HHS and other Congressional, enforcement and administrative bodies have recently increased their focus on pricing requirements for products, including, but not limited to the methodologies used by manufacturers to calculate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negatively impacted by environmental, social and corporate governance (ESG) matters or our reporting of such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impact our reputation negatively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portfolio of investment securities may require us to register with the SEC as an “investment company” in accordance with the Investment Company Act of 1940 (“‘40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our proprietary rights, we may not be able to compete effectively, or operate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become involved in lawsuits to protect or enforce our patents or the patents of our collaborators or licensors, we would be required to devote substantial time and resources to prosecute or defend such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patent owner may claim that we are making, using, selling or offering for sale an invention covered by the owner’s patents and may go to court to stop us from engaging in such activities. Such litigation is not uncommon in our industry.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obtain trademark registrations for our potential trade 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is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may be influenced by a large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marketing approval for our products outside of the United States and to find collaboration partners for the commercialization of our products in foreign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estimates of product sales, royalties, prescriptions or other operating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other products based on our Technosphere drug delivery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results of preclinical and clinical studies of our product candidates and of post-approval studies of approved products that are required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or stock market conditions, especially for emerging growth and pharmaceutical market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events, such as the current Russia-Ukraine and Israel-Hamas conflicts and Houthis rebel attacks on commercial marine vessels in the Red Sea;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the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our collaborators, or our competitors concerning clinical study results, acquisitions, strategic alliances, technological innovations, newly approved commercial products, product discontinuations, or other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critical materials used in developing and manufacturing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relationship with any of our current or future collaborators or third 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patents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 and time associated with, and the extent of our ultimate success in, securing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concerning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securities analysts’ estimates of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including sales by our executive officers, directors and significant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trades of short sellers;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the perception of investors of our ability, to continue to meet all applicable requirements for continued listing of our common stock on The Nasdaq Global Market, and the possible delisting of our common stock if we are unable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of any legal proceedings or regulatory matters against or involving us or any of our executive officers and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risks, as well as other factors, could cause the market value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continue to meet all applicable listing requirements, our common stock may be delisted from the Nasdaq Global Market, which could have an adverse impact on the liquidity and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 to which the Delaware General Corporation Law confers jurisdiction to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or any of our directors, officers or other employees that is governed by the internal affairs doctrine.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expect to pay dividends in the foreseeable future, you must rely on stock appreciation for any return on any investment in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shares of our common stock in the public market, or the perception that such sales may occur, may depress our stock price and adversely impact the market price of our common stock and other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 The perception in the public market that we or our existing stockholders might sell shares of common stock could also depress the market price of our common stock and the market price of our other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Likewise, the issuance of additional shares of our common stock upon the exchange or conversion of the Mann Group convertible note, or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substantial number of shares of our common stock is reserved for issuance upon the exercise of stock options, the vesting of restricted stock unit awards and purchases under our employee stock purchase program. The issuance or sale of substantial amounts of common stock, or the perception that such issuances or sales may occur, could adversely affect the market price of our common stock and other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other biotechnology and biopharmaceutical companies or the securities markets in general encounter problems, the market price of our common stock and other securities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 </w:t>
      </w:r>
    </w:p>
    <w:p>
      <w:pPr>
        <w:pStyle w:val="TextBody"/>
        <w:bidi w:val="0"/>
        <w:spacing w:before="240" w:after="283"/>
        <w:jc w:val="left"/>
        <w:rPr>
          <w:rFonts w:ascii="Times New Roman" w:hAnsi="Times New Roman"/>
          <w:sz w:val="20"/>
        </w:rPr>
      </w:pPr>
      <w:r>
        <w:rPr>
          <w:rFonts w:ascii="Times New Roman" w:hAnsi="Times New Roman"/>
          <w:color w:val="000000"/>
          <w:sz w:val="20"/>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r>
        <w:rPr>
          <w:rFonts w:ascii="Times New Roman" w:hAnsi="Times New Roman"/>
          <w:color w:val="006EBF"/>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 volatile business environment, actual or anticipated bank failures,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the risk of a larger conflict. Furthermore, following Hamas’ attack on Israel, the Houthi movement, which controls parts of Yemen, launched a number of attacks on commercial marine vessels in the Red Sea. The Red Sea is an important maritime route for international trade and as such disruptions to these trade routes can have an impact on global supply chains. As a result of such disruptions, we may experience in the future extended lead times, delays in supplier deliveries, and increased freight costs. While we cannot predict the broader consequences, these conflicts and retaliatory and counter-retaliatory actions could materially adversely affect global trade, currency exchange rates, inflation, regional economies, and the global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item_1b_unresolved_staff_comments"/>
      <w:bookmarkEnd w:id="4"/>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i/>
          <w:color w:val="000000"/>
          <w:sz w:val="20"/>
        </w:rPr>
        <w:t>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5" w:name="item_1c_cybersecurity"/>
      <w:bookmarkEnd w:id="5"/>
      <w:r>
        <w:rPr>
          <w:rFonts w:ascii="Times New Roman" w:hAnsi="Times New Roman"/>
          <w:b/>
          <w:color w:val="000000"/>
          <w:sz w:val="20"/>
        </w:rPr>
        <w:t xml:space="preserve">Item 1C. </w:t>
      </w:r>
      <w:r>
        <w:rPr>
          <w:rFonts w:ascii="Times New Roman" w:hAnsi="Times New Roman"/>
          <w:b/>
          <w:i/>
          <w:color w:val="000000"/>
          <w:sz w:val="20"/>
        </w:rPr>
        <w:t>Cybersecurity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manufacturing-related data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committee, which includes employees with responsibility for information technology, information security, operations, finance and legal matters, has oversight of the cybersecurity program which manages our cybersecurity threats and risks. Members of this committee identify and assess risks from cybersecurity threats by monitoring and evaluating our threat environment using various methods,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automated and manual tools for identifying threats;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threat assessments for internal and external threats;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vulnerability assessments;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threats reported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scans of the threat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internal and external audits;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analyzing reports of threats and 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our and our industry’s risk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subscribing to reports and services that identify cybersecurity threats;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utilizing third-party threat assessments.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on the environment, we implement and maintain various technical, physical, and organizational measures, processes, standards and policies designed to manage and mitigate material risks from cybersecurity threats to our Information Systems and Data,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security incident response and communication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disaster recovery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risk assessments;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implementation of security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encryption of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network security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physical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 management, tracking and disposal;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systems monitoring;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training;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penetration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insurance;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dedicated cybersecurity personnel.</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assessment and management of material risks from cybersecurity threats are integrated into our enterprise risk management processes. For example, (1) cybersecurity risk is addressed as a component of our enterprise risk management program and identified in our risk heat map with a specified mitigation plan; (2) our information security department works with management to prioritize our risk management processes and mitigate cybersecurity threats that are more likely to lead to a material impact to our business; (3) our cybersecurity risk committee evaluates material risks from cybersecurity threats against our overall business objectives and reports to the audit committee of the board of directors, which evaluates our overall enterprise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third-party service providers to assist us periodically to identify, assess, and manage material risks from cybersecurity threats,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threat intelligence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software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managed cybersecurity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penetration testing firms;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dark web monitoring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services firms, including legal counsel.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third-party application providers provide critical services for our business. Our vendor management program to manage cybersecurity risks associated with our use of these providers includes audits and a review of security assessments.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the imposition of contractual obligations related to cybersecurity on the provider.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a description of the risks from cybersecurity threats that may materially affect us and how they may do so, see our risk factors in this Annual Report on Form 10-K, including “Risk Factors –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addresses our cybersecurity risk management as part of its general oversight function. The audit committee of the board of directors is responsible for overseeing our cybersecurity risk management processes, including oversight of mitigation of risks from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Company management, including our Executive Director of Information Technology, and a dedicated information security analyst with more than 15 years of experience. Our Executive Director of Information Technology is responsible for hiring appropriate personnel, helping to integrate cybersecurity risk considerations into our overall risk management strategy, and communicating key priorities to relevant personnel. This member of the management team is also responsible for approving budgets, helping prepare for cybersecurity incidents, approving cybersecurity processes, and reviewing security assessments and other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incident response and communication plan is designed to escalate certain cybersecurity incidents to members of management depending on the circumstances, including the executive leadership team. The cybersecurity risk committee works with our incident response team to help mitigate and remediate cybersecurity incidents of which they are notified. In addition, our cybersecurity incident response and communication plan includes reporting to the audit committee of the board of directors for certain 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receives regular reports from the cybersecurity risk committee concerning our significant cybersecurity threats and risk and the processes we have implemented to address them. The audit committee also has access to various reports, summaries or presentations related to cybersecurity threats, incidents, risk and mitigation. </w:t>
      </w:r>
    </w:p>
    <w:p>
      <w:pPr>
        <w:pStyle w:val="TextBody"/>
        <w:bidi w:val="0"/>
        <w:jc w:val="left"/>
        <w:rPr/>
      </w:pPr>
      <w:r>
        <w:rPr/>
        <w:t> </w:t>
      </w:r>
    </w:p>
    <w:p>
      <w:pPr>
        <w:pStyle w:val="TextBody"/>
        <w:bidi w:val="0"/>
        <w:jc w:val="left"/>
        <w:rPr>
          <w:rFonts w:ascii="Times New Roman" w:hAnsi="Times New Roman"/>
          <w:sz w:val="20"/>
        </w:rPr>
      </w:pPr>
      <w:bookmarkStart w:id="6" w:name="item_2_properties"/>
      <w:bookmarkEnd w:id="6"/>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2001, we acquired a facility in Danbury, Connecticut that included two buildings comprised of approximately 190,000 square feet on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The Danbury facility contains our principal executive offices. We believe the Danbury facility has sufficient space, including unimproved manufacturing space, to satisfy anticipated commercial demand for Afrezza and Tyvaso DPI. Our obligations under the MidCap Credit Facility are secured by a portion of the facility in Danbury and other assets.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November 8, 2021, we sold a portion of the Danbury facility to an affiliate of Creative Manufacturing Properties (the “Purchaser”) for a sales price of $102.3 million and entered into a 20-year lease agreement with the Purchaser, with four renewal options of five years each. See Note 7 – </w:t>
      </w:r>
      <w:r>
        <w:rPr>
          <w:rFonts w:ascii="Times New Roman" w:hAnsi="Times New Roman"/>
          <w:i/>
          <w:color w:val="000000"/>
          <w:sz w:val="20"/>
        </w:rPr>
        <w:t>Property and Equipment</w:t>
      </w:r>
      <w:r>
        <w:rPr>
          <w:rFonts w:ascii="Times New Roman" w:hAnsi="Times New Roman"/>
          <w:color w:val="000000"/>
          <w:sz w:val="20"/>
        </w:rPr>
        <w:t xml:space="preserve"> and Note 16 – </w:t>
      </w:r>
      <w:r>
        <w:rPr>
          <w:rFonts w:ascii="Times New Roman" w:hAnsi="Times New Roman"/>
          <w:i/>
          <w:color w:val="000000"/>
          <w:sz w:val="20"/>
        </w:rPr>
        <w:t>Commitments and Contingencies</w:t>
      </w:r>
      <w:r>
        <w:rPr>
          <w:rFonts w:ascii="Times New Roman" w:hAnsi="Times New Roman"/>
          <w:color w:val="000000"/>
          <w:sz w:val="20"/>
        </w:rPr>
        <w:t xml:space="preserve"> in the consolidated financial statements included in Part II, Item 8 – Financial Statements and Supplementary Data.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2023, we leased a total of approximately 24,475 square feet of office space in Westlake Village, California pursuant to a lease that expires in July 2028. See Note 16 – </w:t>
      </w:r>
      <w:r>
        <w:rPr>
          <w:rFonts w:ascii="Times New Roman" w:hAnsi="Times New Roman"/>
          <w:i/>
          <w:color w:val="000000"/>
          <w:sz w:val="20"/>
        </w:rPr>
        <w:t>Commitments and Contingencies</w:t>
      </w:r>
      <w:r>
        <w:rPr>
          <w:rFonts w:ascii="Times New Roman" w:hAnsi="Times New Roman"/>
          <w:color w:val="000000"/>
          <w:sz w:val="20"/>
        </w:rPr>
        <w:t xml:space="preserve"> in the consolidated financial statements included in Part II, Item 8 – Financial Statements and Supplementary Data.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we assumed certain leased real property (the “Marlborough Lease”) pursuant to the Asset Purchase Agreement entered into in May 2022 with Zealand Pharma A/S and Zealand Pharma US, Inc. The Marlborough Lease pertains to certain premises in a building located in Marlborough, Massachusetts. As of December 31, 2023, we leased a total of approximately 20,000 square feet of building space pursuant to a lease that expires in February 28, 2026. See Note 16 – </w:t>
      </w:r>
      <w:r>
        <w:rPr>
          <w:rFonts w:ascii="Times New Roman" w:hAnsi="Times New Roman"/>
          <w:i/>
          <w:color w:val="000000"/>
          <w:sz w:val="20"/>
        </w:rPr>
        <w:t>Commitments and Contingencies</w:t>
      </w:r>
      <w:r>
        <w:rPr>
          <w:rFonts w:ascii="Times New Roman" w:hAnsi="Times New Roman"/>
          <w:color w:val="000000"/>
          <w:sz w:val="20"/>
        </w:rPr>
        <w:t xml:space="preserve"> in the consolidated financial statements included in Part II, Item 8 – Financial Statements and Supplementary Data. </w:t>
      </w:r>
    </w:p>
    <w:p>
      <w:pPr>
        <w:pStyle w:val="TextBody"/>
        <w:bidi w:val="0"/>
        <w:spacing w:before="360" w:after="283"/>
        <w:jc w:val="left"/>
        <w:rPr>
          <w:rFonts w:ascii="Times New Roman" w:hAnsi="Times New Roman"/>
          <w:sz w:val="20"/>
        </w:rPr>
      </w:pPr>
      <w:bookmarkStart w:id="7" w:name="item_3_legal_proceedings_update_"/>
      <w:bookmarkEnd w:id="7"/>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16 – </w:t>
      </w:r>
      <w:r>
        <w:rPr>
          <w:rFonts w:ascii="Times New Roman" w:hAnsi="Times New Roman"/>
          <w:i/>
          <w:color w:val="000000"/>
          <w:sz w:val="20"/>
        </w:rPr>
        <w:t>Commitments and Contingencies</w:t>
      </w:r>
      <w:r>
        <w:rPr>
          <w:rFonts w:ascii="Times New Roman" w:hAnsi="Times New Roman"/>
          <w:color w:val="000000"/>
          <w:sz w:val="20"/>
        </w:rPr>
        <w:t xml:space="preserve"> in the consolidated financial statements included in Part II, Item 8 – Financial Statements and Supplementary Data.</w:t>
      </w:r>
    </w:p>
    <w:p>
      <w:pPr>
        <w:pStyle w:val="TextBody"/>
        <w:bidi w:val="0"/>
        <w:spacing w:before="360" w:after="283"/>
        <w:jc w:val="left"/>
        <w:rPr>
          <w:rFonts w:ascii="Times New Roman" w:hAnsi="Times New Roman"/>
          <w:sz w:val="20"/>
        </w:rPr>
      </w:pPr>
      <w:bookmarkStart w:id="8" w:name="item_4_mine_safety_disclosures"/>
      <w:bookmarkEnd w:id="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9" w:name="item_5_market_for_registrants_common_equ"/>
      <w:bookmarkEnd w:id="9"/>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traded on The Nasdaq Global Market under the symbol “MNKD” since July 28, 2004. On February 16, 2024, there were 102 registered holders of record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graph illustrates a comparison of the cumulative total stockholder return (change in stock price plus reinvested dividends) of our common stock with (i) The Nasdaq Composite Index and (ii) The Nasdaq Biotechnology Index. The graph assumes a $100 investment, on December 31, 2018, in (i) our common stock, (ii) the securities comprising The Nasdaq Composite Index and (iii) the securities comprising The Nasdaq Biotechnology Index.</w:t>
      </w:r>
    </w:p>
    <w:p>
      <w:pPr>
        <w:pStyle w:val="TextBody"/>
        <w:bidi w:val="0"/>
        <w:jc w:val="left"/>
        <w:rPr/>
      </w:pPr>
      <w:r>
        <w:rPr/>
        <w:t> </w:t>
      </w:r>
    </w:p>
    <w:p>
      <w:pPr>
        <w:pStyle w:val="TextBody"/>
        <w:bidi w:val="0"/>
        <w:jc w:val="center"/>
        <w:rPr/>
      </w:pPr>
      <w:r>
        <w:rPr/>
        <w:drawing>
          <wp:inline distT="0" distB="0" distL="0" distR="0">
            <wp:extent cx="6724650" cy="488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24650" cy="4886325"/>
                    </a:xfrm>
                    <a:prstGeom prst="rect">
                      <a:avLst/>
                    </a:prstGeom>
                  </pic:spPr>
                </pic:pic>
              </a:graphicData>
            </a:graphic>
          </wp:inline>
        </w:drawing>
      </w: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do not anticipate paying any cash dividends on our common stock in the foreseeable future. Any future determination to pay dividends will be at the discretion of our board of directors. In addition, under the terms of the MidCap Credit Facility, we are restricted from declaring and distributing a cash dividend to our stockholders.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sz w:val="20"/>
        </w:rPr>
      </w:pPr>
      <w:r>
        <w:rPr>
          <w:rFonts w:ascii="Times New Roman" w:hAnsi="Times New Roman"/>
          <w:color w:val="000000"/>
          <w:sz w:val="20"/>
        </w:rPr>
        <w:t>Under the Mann Group convertible note, we pay quarterly interest payments on the first day of each calendar quarter, payable at our election in shares of our common stock. During the year ended December 31, 2023, we elected to pay our January 1</w:t>
      </w:r>
      <w:r>
        <w:rPr>
          <w:rFonts w:ascii="Times New Roman" w:hAnsi="Times New Roman"/>
          <w:color w:val="000000"/>
          <w:sz w:val="13"/>
        </w:rPr>
        <w:t>st</w:t>
      </w:r>
      <w:r>
        <w:rPr>
          <w:rFonts w:ascii="Times New Roman" w:hAnsi="Times New Roman"/>
          <w:color w:val="000000"/>
          <w:sz w:val="20"/>
        </w:rPr>
        <w:t>, April 1</w:t>
      </w:r>
      <w:r>
        <w:rPr>
          <w:rFonts w:ascii="Times New Roman" w:hAnsi="Times New Roman"/>
          <w:color w:val="000000"/>
          <w:sz w:val="13"/>
        </w:rPr>
        <w:t>st</w:t>
      </w:r>
      <w:r>
        <w:rPr>
          <w:rFonts w:ascii="Times New Roman" w:hAnsi="Times New Roman"/>
          <w:color w:val="000000"/>
          <w:sz w:val="20"/>
        </w:rPr>
        <w:t>, July 1</w:t>
      </w:r>
      <w:r>
        <w:rPr>
          <w:rFonts w:ascii="Times New Roman" w:hAnsi="Times New Roman"/>
          <w:color w:val="000000"/>
          <w:sz w:val="13"/>
        </w:rPr>
        <w:t>st</w:t>
      </w:r>
      <w:r>
        <w:rPr>
          <w:rFonts w:ascii="Times New Roman" w:hAnsi="Times New Roman"/>
          <w:color w:val="000000"/>
          <w:sz w:val="20"/>
        </w:rPr>
        <w:t xml:space="preserve"> and October 1</w:t>
      </w:r>
      <w:r>
        <w:rPr>
          <w:rFonts w:ascii="Times New Roman" w:hAnsi="Times New Roman"/>
          <w:color w:val="000000"/>
          <w:sz w:val="13"/>
        </w:rPr>
        <w:t>st</w:t>
      </w:r>
      <w:r>
        <w:rPr>
          <w:rFonts w:ascii="Times New Roman" w:hAnsi="Times New Roman"/>
          <w:color w:val="000000"/>
          <w:sz w:val="20"/>
        </w:rPr>
        <w:t xml:space="preserve"> quarterly interest payments under the Mann Group convertible note by issuing the Mann Group an aggregate of 50,844 shares of common stock. See Note 10 – </w:t>
      </w:r>
      <w:r>
        <w:rPr>
          <w:rFonts w:ascii="Times New Roman" w:hAnsi="Times New Roman"/>
          <w:i/>
          <w:color w:val="000000"/>
          <w:sz w:val="20"/>
        </w:rPr>
        <w:t>Borrowings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relied on an exemption from registration provided by Section 3(a)(9) or 4(a)(2) of the Securities Act of 1933, as amended, for the issuance of the shares described above.</w:t>
      </w:r>
    </w:p>
    <w:p>
      <w:pPr>
        <w:pStyle w:val="TextBody"/>
        <w:bidi w:val="0"/>
        <w:spacing w:before="360" w:after="283"/>
        <w:jc w:val="left"/>
        <w:rPr>
          <w:rFonts w:ascii="Times New Roman" w:hAnsi="Times New Roman"/>
          <w:sz w:val="20"/>
        </w:rPr>
      </w:pPr>
      <w:bookmarkStart w:id="10" w:name="item_6_reserved"/>
      <w:bookmarkEnd w:id="1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[Reserved]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1" w:name="item_7_managements_discussion_analysis_f"/>
      <w:bookmarkEnd w:id="11"/>
      <w:r>
        <w:rPr>
          <w:rFonts w:ascii="Times New Roman" w:hAnsi="Times New Roman"/>
          <w:b/>
          <w:color w:val="000000"/>
          <w:sz w:val="20"/>
        </w:rPr>
        <w:t>Item 7.</w:t>
      </w:r>
      <w:r>
        <w:rPr>
          <w:rFonts w:ascii="Times New Roman" w:hAnsi="Times New Roman"/>
          <w:color w:val="000000"/>
          <w:sz w:val="20"/>
        </w:rPr>
        <w:t xml:space="preserve"> </w:t>
      </w:r>
      <w:r>
        <w:rPr>
          <w:rFonts w:ascii="Times New Roman" w:hAnsi="Times New Roman"/>
          <w:b/>
          <w:i/>
          <w:color w:val="000000"/>
          <w:sz w:val="20"/>
        </w:rPr>
        <w:t>Management’s Discussion and Analysis of</w:t>
      </w:r>
      <w:r>
        <w:rPr>
          <w:rFonts w:ascii="Times New Roman" w:hAnsi="Times New Roman"/>
          <w:color w:val="000000"/>
          <w:sz w:val="20"/>
        </w:rPr>
        <w:t xml:space="preserve"> </w:t>
      </w:r>
      <w:r>
        <w:rPr>
          <w:rFonts w:ascii="Times New Roman" w:hAnsi="Times New Roman"/>
          <w:b/>
          <w:i/>
          <w:color w:val="000000"/>
          <w:sz w:val="20"/>
        </w:rPr>
        <w:t>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of our financial condition and results of operations should be read in conjunction with our consolidated financial statements and notes thereto included in this Annual Report on Form 10-K.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discussion of changes in our results of operations during the year ended December 31, 2022 compared to the year ended December 31, 2021 has been omitted from this Annual Report on Form 10-K but may be found in “Item 7. Management’s Discussion and Analysis of Financial Condition and Results of Operations” in our Annual Report on Form 10-K for the year ended December 31, 2022, filed with the SEC on February 23, 2023, which discussion is incorporated herein by reference and which is available free of charge on the SEC’s website at www.sec.gov.</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V-Go received 510(k) clearance by the FDA in 2010 and has been available commercially since 2012. In May 2022, we acquired V-Go from Zealand Pharma A/S and Zealand Pharma US, Inc. (together “Zealand”) and began integrating the product into our endocrine business unit. V-Go is a mechanical basal-bolus insulin delivery system that is worn like a patch and can eliminate the need for taking multiple daily shots.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lead program in our pipeline of potential treatments for orphan lung diseases is MNKD-101, a nebulized formulation of clofazimine, for the treatment of severe chronic and recurrent pulmonary infections, including nontuberculous mycobacterial (NTM) lung disease. We believe an orally inhaled formulation of clofazimine could potentially provide several clinical advantages over the current solid oral dosage form of this drug. The FDA has designated MNKD-101 as both an orphan drug and a qualified infectious disease product for the treatment of pulmonary NTM infections. We plan to initiate a Phase 3 registrational study of MNKD-101 in the United States in the second quarter of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next most advanced program in our pipeline is MNKD-201, a dry-powder formulation of nintedanib, for the treatment of idiopathic pulmonary fibrosis (IPF). An oral dosage form of nintedanib was approved for IPF by the FDA in 2014. However, a fairly large oral dose is required in order to achieve sufficient drug levels in lung tissue. Our goal with an inhaled formulation is to deliver a therapeutic amount of nintedanib to the lungs while avoiding high levels of the drug in other tissues, where it is associated with undesirable side effects. We plan to initiate a Phase 1 clinical study of MNKD-201 in the second quarter of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an accumulated deficit of $3.2 billion and a stockholders’ deficit of $246.2 million. We had net loss of $11.9 million, $87.4 million and $80.9 million in the years ended December 31, 2023, 2022 and 2021,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from proceeds of the sale-leaseback of our manufacturing facility in Danbury, CT and from the sale of a portion of future royalties that we receive from UT.</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our consolidated financial statements is in accordance with accounting principles generally accepted in the United States of America (“GAAP”).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consider our critical accounting policies to be those related to revenue recognition and gross-to-net adjustments, inventory costing and recoverability, recognized loss on purchase commitments, impairment of long-lived assets, milestone rights liability, clinical trial expenses, stock-based compensation and accounting for income taxes. These critical accounting policies are also considered significant accounting policies and are more fully described in Note 2 – </w:t>
      </w:r>
      <w:r>
        <w:rPr>
          <w:rFonts w:ascii="Times New Roman" w:hAnsi="Times New Roman"/>
          <w:i/>
          <w:color w:val="000000"/>
          <w:sz w:val="20"/>
        </w:rPr>
        <w:t>Summary of Significant Accounting Policies of the Notes to Consolidated Financial Statements</w:t>
      </w:r>
      <w:r>
        <w:rPr>
          <w:rFonts w:ascii="Times New Roman" w:hAnsi="Times New Roman"/>
          <w:color w:val="000000"/>
          <w:sz w:val="20"/>
        </w:rPr>
        <w:t xml:space="preserve"> included in Part II, Item 8 — Financial Statements and Supplementary Data.</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Revenue Recognition – Net Revenue – Commercial Product Sales </w:t>
      </w:r>
      <w:r>
        <w:rPr>
          <w:rFonts w:ascii="Times New Roman" w:hAnsi="Times New Roman"/>
          <w:color w:val="000000"/>
          <w:sz w:val="20"/>
        </w:rPr>
        <w:t>— We sell products to a limited number of wholesale distributors and specialty and retail pharmacies, and durable medical suppliers (“DME”) in the U.S. (collectively, “Customers”). Wholesale distributors subsequently resell our products to retail pharmacies and certain medical centers or hospitals. Specialty pharmacies sell directly to patients. In addition to distribution agreements with Customers, we enter into arrangements with payers that provide for government mandated and/or privately negotiated rebates, chargebacks, and discounts with respect to the purchase of our products.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recognize revenue on product sales when the Customer obtains control of our product, which occurs at delivery for wholesale distributors and generally at delivery for specialty pharmacies. We recognize revenue on product sales to a retail pharmacy as the product is dispensed to patients. Product revenues are recorded net of applicable reserves including discounts, allowances, rebates, returns and other incentives. See </w:t>
      </w:r>
      <w:r>
        <w:rPr>
          <w:rFonts w:ascii="Times New Roman" w:hAnsi="Times New Roman"/>
          <w:i/>
          <w:color w:val="000000"/>
          <w:sz w:val="20"/>
        </w:rPr>
        <w:t xml:space="preserve">Reserves for Variable Consideration </w:t>
      </w:r>
      <w:r>
        <w:rPr>
          <w:rFonts w:ascii="Times New Roman" w:hAnsi="Times New Roman"/>
          <w:color w:val="000000"/>
          <w:sz w:val="20"/>
        </w:rPr>
        <w:t>below.</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Reserves for Variable Consideration </w:t>
      </w:r>
      <w:r>
        <w:rPr>
          <w:rFonts w:ascii="Times New Roman" w:hAnsi="Times New Roman"/>
          <w:color w:val="000000"/>
          <w:sz w:val="20"/>
        </w:rPr>
        <w:t>— Revenues from product sales are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us and our Customers, payers, and other indirect customers relating to the sale of our products. These reserves are based on the amounts earned, or to be claimed on the related sales, and result in a reduction of accounts receivable or establishment of a current liability. Significant judgments are required in making these estimates.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Where appropriate, these estimates take into consideration a range of possible outcomes, which are probability-weighted in accordance with the expected value method in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for relevant factors such as current contractual and statutory requirements, specific known market events and trends, industry data, and forecasted customer buying and payment patterns. Overall, these reserves reduce recognized revenue to our best estimates of the amount of consideration to which we are entitled based on the terms of the respective underlying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Our analysis also contemplates application of the constraint in accordance with the guidance, under which we determined a material reversal of revenue would not occur in a future period for the estimates of gross-to-net adjustments as of December 31, 2023 and, therefore, the transaction price was not reduced further during the year ended December 31, 2023. Actual amounts of consideration ultimately received may differ from the Company’s estimates. If actual results in the future vary from our estimates, we will adjust these estimates, which would affect net revenue — commercial product sales and earnings in the period such variances become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judgment is required in estimating gross-to-net adjustments, historical experience, payer channel mix unbilled claims, claim submission time lags and inventory levels in the distribution channel.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reserves for variable consideration are reflected in our gross-to-net adjustments which were 43% of gross product revenue, or $56.4 million, for the year ended December 31, 2023, compared to 42% of gross product revenue, or $40.8 million, for the year ended December 31, 2022. If there is a 10% difference between the estimates for accruals and the actual liability in the reserves for variable consideration, the impact to our revenue for commercial product sales would be $2.0 million or a 1.5% change in the gross-to-net adjustment percentage for the year ended December 31, 2023.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These reserves are further detailed under Reserves for Variable Consideration in Note 2 – </w:t>
      </w:r>
      <w:r>
        <w:rPr>
          <w:rFonts w:ascii="Times New Roman" w:hAnsi="Times New Roman"/>
          <w:i/>
          <w:color w:val="000000"/>
          <w:sz w:val="20"/>
        </w:rPr>
        <w:t>Summary of Significant Accounting Policies</w:t>
      </w:r>
      <w:r>
        <w:rPr>
          <w:rFonts w:ascii="Times New Roman" w:hAnsi="Times New Roman"/>
          <w:color w:val="000000"/>
          <w:sz w:val="20"/>
        </w:rPr>
        <w:t xml:space="preserve"> of the Notes to Consolidated Financial Statements included in Part II, Item 8 — Financial Statements and Supplementary Data.</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 – Collaborations and Services</w:t>
      </w:r>
      <w:r>
        <w:rPr>
          <w:rFonts w:ascii="Times New Roman" w:hAnsi="Times New Roman"/>
          <w:color w:val="000000"/>
          <w:sz w:val="20"/>
        </w:rPr>
        <w:t xml:space="preserve"> — We enter into licensing, research or other agreements under which we license certain rights to our product candidates to third parties, conduct research or provide other services to third parties. The terms of these arrangements may include but are not limited to payment to us of one or more of the following: up-front license fees; development, regulatory, and commercial milestone payments; payments for commercial manufacturing and clinical supply services we provide; and royalties on net sales of licensed products and sublicenses of the rights. As part of the accounting for these arrangements, we must develop assumptions that require judgment such as determining the performance obligation in the contract and determining the stand-alone selling price for each performance obligation identified in the contract. With respect to our significant collaboration and service agreement with UT that includes a long-term commercial supply agreement (as amended, the “CSA”), we have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commercial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 distinct contracts and performance obligations under ASC 606. Revenue is recognized for the supply of product at a point in time, once control is transferred to UT. See Note 11 – </w:t>
      </w:r>
      <w:r>
        <w:rPr>
          <w:rFonts w:ascii="Times New Roman" w:hAnsi="Times New Roman"/>
          <w:i/>
          <w:color w:val="000000"/>
          <w:sz w:val="20"/>
        </w:rPr>
        <w:t>Collaboration, Licensing and Other Arrangements</w:t>
      </w:r>
      <w:r>
        <w:rPr>
          <w:rFonts w:ascii="Times New Roman" w:hAnsi="Times New Roman"/>
          <w:color w:val="000000"/>
          <w:sz w:val="20"/>
        </w:rPr>
        <w:t xml:space="preserve"> of the Notes to Consolidated Financial Statements included in Part II, Item 8 — Financial Statements and Supplementary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arrangement has multiple performance obligations, the allocation of the transaction price is determined from observable market inputs, and we use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we expect will not be recognized within the next 12 months are classified as long-term deferred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is a 10% difference in the estimates used to determine the transaction price for the CSA entered into in December 2022 with UT and the related allocation of the transaction price between performance obligations, the difference between the estimates for accruals and the actual liability for deferred revenue and revenue recognized for collaborations and services would be $1.8 million for the year ended December 31, 2023.</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 — Royalties</w:t>
      </w:r>
      <w:r>
        <w:rPr>
          <w:rFonts w:ascii="Times New Roman" w:hAnsi="Times New Roman"/>
          <w:color w:val="000000"/>
          <w:sz w:val="20"/>
        </w:rPr>
        <w:t xml:space="preserve"> — We recognize royalty revenue for a sales-based or usage-based royalty if it is promised in exchange for an intellectual property license. The royalty revenue is recognized as the latter of the subsequent sale of the product occurs or if the performance obligation to which the royalty has been allocated has been satisfied or partially satisfied. Our collaboration agreement with UT entitles us to receive a royalty on net sales of Tyvaso DPI for the license of our IP that was considered to be interdependent with the development activities that supported the approval of Tyvaso DPI.</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 Share-based payments to employees, including grants of restricted stock units, performance-based awards, restricted stock units with market conditions (“Market RSUs”), nonqualified stock options (“options”) and the compensatory elements of employee stock purchase plans, are recognized in the consolidated statements of operations based upon the fair value of the awards at the grant date. Restricted stock units are valued based on the market price on the grant date. We evaluate stock awards with performance conditions as to the probability that the performance conditions will be met and estimates the date at which the performance conditions will be met in order to properly recognize stock-based compensation expense over the requisite service period. The grant date fair value and the effect of the market conditions for the Market RSUs was estimated using a Monte Carlo valuation. We use the Black-Scholes option valuation model to estimate the grant date fair value of employee options and the compensatory elements of employee stock purchase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grant date fair value for the Market RSUs was $9.40 per unit for the Market RSUs granted during the year ended December 31, 2023, compared to $6.10 per unit for the Market RSUs granted during the year ended December 31, 2022. If there is a 10% difference in the grant date fair value of the Market RSUs, the impact to our stock-based compensation expense would be $0.8 million for the year ended December 31, 2023.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Trends and Uncertainties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collaboration agreement with UT entitles us to receive a 10% royalty on net sales of Tyvaso DPI, subject to the sale by us in December 2023 of a 1% royalty on future net sales to a royalty purchaser (leaving us with a 9% royalty). See Note 16 – </w:t>
      </w:r>
      <w:r>
        <w:rPr>
          <w:rFonts w:ascii="Times New Roman" w:hAnsi="Times New Roman"/>
          <w:i/>
          <w:color w:val="000000"/>
          <w:sz w:val="20"/>
        </w:rPr>
        <w:t xml:space="preserve">Commitments and Contingencies </w:t>
      </w:r>
      <w:r>
        <w:rPr>
          <w:rFonts w:ascii="Times New Roman" w:hAnsi="Times New Roman"/>
          <w:color w:val="000000"/>
          <w:sz w:val="20"/>
        </w:rPr>
        <w:t>of the Notes to Consolidated Financial Statements included in Part II, Item 8 — Financial Statements and Supplementary Data. Our royalty revenue reflects the upward trend in demand for Tyvaso DPI in the marketplace.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risks may adversely affect our ability to manufacture our products and could reduce our gross margin or impact our collaboration with UT.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Years ended December 31, 2023 and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comparison of the revenue categories for the years ended December 31, 2023 and 2022 (dollars in thousands):</w:t>
      </w:r>
    </w:p>
    <w:p>
      <w:pPr>
        <w:pStyle w:val="TextBody"/>
        <w:bidi w:val="0"/>
        <w:spacing w:before="120" w:after="283"/>
        <w:jc w:val="left"/>
        <w:rPr/>
      </w:pPr>
      <w:r>
        <w:rPr/>
        <w:t> </w:t>
      </w:r>
    </w:p>
    <w:tbl>
      <w:tblPr>
        <w:tblW w:w="9896" w:type="dxa"/>
        <w:jc w:val="left"/>
        <w:tblInd w:w="0" w:type="dxa"/>
        <w:tblLayout w:type="fixed"/>
        <w:tblCellMar>
          <w:top w:w="28" w:type="dxa"/>
          <w:left w:w="28" w:type="dxa"/>
          <w:bottom w:w="28" w:type="dxa"/>
          <w:right w:w="28" w:type="dxa"/>
        </w:tblCellMar>
      </w:tblPr>
      <w:tblGrid>
        <w:gridCol w:w="4271"/>
        <w:gridCol w:w="146"/>
        <w:gridCol w:w="211"/>
        <w:gridCol w:w="781"/>
        <w:gridCol w:w="271"/>
        <w:gridCol w:w="146"/>
        <w:gridCol w:w="211"/>
        <w:gridCol w:w="676"/>
        <w:gridCol w:w="271"/>
        <w:gridCol w:w="146"/>
        <w:gridCol w:w="211"/>
        <w:gridCol w:w="676"/>
        <w:gridCol w:w="146"/>
        <w:gridCol w:w="146"/>
        <w:gridCol w:w="224"/>
        <w:gridCol w:w="647"/>
        <w:gridCol w:w="716"/>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revenue from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Wholesaler distribution fees, rebates and</w:t>
              <w:br/>
              <w:t>   chargebacks, product returns and other</w:t>
              <w:br/>
              <w:t>   discounts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Gross-to-net revenue adjustment percentage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right"/>
              <w:rPr/>
            </w:pPr>
            <w:r>
              <w:rPr/>
              <w:t> </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 collaborations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Afrezza</w:t>
      </w:r>
      <w:r>
        <w:rPr>
          <w:rFonts w:ascii="Times New Roman" w:hAnsi="Times New Roman"/>
          <w:color w:val="000000"/>
          <w:sz w:val="20"/>
        </w:rPr>
        <w:t xml:space="preserve"> — Gross revenue from sales of Afrezza increased by $16.8 million, or 24%, for the year ended December 31, 2023 compared to the prior year. The increase reflects a combination of higher product demand and higher price (including a more favorable gross-to-net adjustment). The gross-to-net adjustment was 38% of gross revenue, or $33.0 million, for the year ended December 31, 2023 compared to 39% of gross revenue, or $27.8 million, for the prior year. The decrease in the gross-to-net percentage was primarily impacted by decreases in co-pay assistance and anticipated product returns partially offset by an increase in government rebates (as a percentage of gross sales). As a result, net revenue from sales of Afrezza increased by $11.6 million, or 27%, for the year ended December 31, 2023 compared to the prior year. </w:t>
      </w:r>
    </w:p>
    <w:p>
      <w:pPr>
        <w:pStyle w:val="TextBody"/>
        <w:bidi w:val="0"/>
        <w:spacing w:before="240" w:after="283"/>
        <w:jc w:val="left"/>
        <w:rPr>
          <w:rFonts w:ascii="Times New Roman" w:hAnsi="Times New Roman"/>
          <w:sz w:val="20"/>
        </w:rPr>
      </w:pPr>
      <w:r>
        <w:rPr>
          <w:rFonts w:ascii="Times New Roman" w:hAnsi="Times New Roman"/>
          <w:i/>
          <w:color w:val="000000"/>
          <w:sz w:val="20"/>
        </w:rPr>
        <w:t>V-Go</w:t>
      </w:r>
      <w:r>
        <w:rPr>
          <w:rFonts w:ascii="Times New Roman" w:hAnsi="Times New Roman"/>
          <w:color w:val="000000"/>
          <w:sz w:val="20"/>
        </w:rPr>
        <w:t xml:space="preserve"> — Gross revenue from sales of V-Go increased by $16.6 million, or 64%, for the year ended December 31, 2023 compared to the prior year. The increase was a result of a full year of sales in 2023 compared to seven months in the prior year as V-Go was acquired in May 2022. The gross-to-net adjustment was 55% of gross revenue, or $23.4 million, for the year ended December 31, 2023 compared to 50% of gross revenue, or $13.0 million, for the prior year. The increase in gross-to-net percentage was mainly attributable to increased commercial and government rebates (as a percentage of gross sales). As a result, net revenue from sales of V-Go increased by $6.2 million, or 48%, for the year ended December 31, 2023 compared to the prior year.</w:t>
      </w:r>
    </w:p>
    <w:p>
      <w:pPr>
        <w:pStyle w:val="TextBody"/>
        <w:bidi w:val="0"/>
        <w:spacing w:before="240" w:after="283"/>
        <w:jc w:val="left"/>
        <w:rPr>
          <w:rFonts w:ascii="Times New Roman" w:hAnsi="Times New Roman"/>
          <w:sz w:val="20"/>
        </w:rPr>
      </w:pPr>
      <w:r>
        <w:rPr>
          <w:rFonts w:ascii="Times New Roman" w:hAnsi="Times New Roman"/>
          <w:i/>
          <w:color w:val="000000"/>
          <w:sz w:val="20"/>
        </w:rPr>
        <w:t>Collaborations and Services</w:t>
      </w:r>
      <w:r>
        <w:rPr>
          <w:rFonts w:ascii="Times New Roman" w:hAnsi="Times New Roman"/>
          <w:color w:val="000000"/>
          <w:sz w:val="20"/>
        </w:rPr>
        <w:t xml:space="preserve"> — Net revenue from collaborations and services increased by $25.0 million, or 90%, for the year ended December 31, 2023 compared to the prior year. The increase in revenue was primarily attributable to manufacturing revenues being deferred in the prior year period until we began commercial manufacturing in May 2022 and an increase in product sold to UT. During the year ended December 31, 2023, we recognized $52.0 million of revenue under the CSA compared to $24.8 million in the prior year. Royalty revenue increased $56.4 million for the year ended December 31, 2023 compared to the prior year primarily due to a full year of Tyvaso DPI sales in the current year and an increase in patient demand.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See Note 11 – Collaboration, Licensing and Other Arrangements </w:t>
      </w:r>
      <w:r>
        <w:rPr>
          <w:rFonts w:ascii="Times New Roman" w:hAnsi="Times New Roman"/>
          <w:color w:val="000000"/>
          <w:sz w:val="20"/>
        </w:rPr>
        <w:t xml:space="preserve">in the consolidated financial statements included in Part II, Item 8 – Financial Statements and Supplementary Data.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Commercial product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comparison of the commercial product gross profit categories for the years ended December 31, 2023 and 2022 (dollars in thousands):</w:t>
      </w:r>
    </w:p>
    <w:p>
      <w:pPr>
        <w:pStyle w:val="TextBody"/>
        <w:bidi w:val="0"/>
        <w:jc w:val="left"/>
        <w:rPr/>
      </w:pPr>
      <w:r>
        <w:rPr/>
        <w:t> </w:t>
      </w:r>
    </w:p>
    <w:tbl>
      <w:tblPr>
        <w:tblW w:w="9066" w:type="dxa"/>
        <w:jc w:val="left"/>
        <w:tblInd w:w="0" w:type="dxa"/>
        <w:tblLayout w:type="fixed"/>
        <w:tblCellMar>
          <w:top w:w="28" w:type="dxa"/>
          <w:left w:w="28" w:type="dxa"/>
          <w:bottom w:w="28" w:type="dxa"/>
          <w:right w:w="28" w:type="dxa"/>
        </w:tblCellMar>
      </w:tblPr>
      <w:tblGrid>
        <w:gridCol w:w="3546"/>
        <w:gridCol w:w="146"/>
        <w:gridCol w:w="211"/>
        <w:gridCol w:w="676"/>
        <w:gridCol w:w="271"/>
        <w:gridCol w:w="146"/>
        <w:gridCol w:w="211"/>
        <w:gridCol w:w="676"/>
        <w:gridCol w:w="271"/>
        <w:gridCol w:w="146"/>
        <w:gridCol w:w="211"/>
        <w:gridCol w:w="676"/>
        <w:gridCol w:w="146"/>
        <w:gridCol w:w="146"/>
        <w:gridCol w:w="275"/>
        <w:gridCol w:w="596"/>
        <w:gridCol w:w="716"/>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br/>
              <w:t>Ended December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5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product gross profit increased by $12.9 million, or 32%, for the year ended December 31, 2023 compared to the prior year. The increase in gross profit was primarily attributable to an increase in Afrezza net revenue and gross margin. The acquisition of V-Go in May 2022 contributed to the increase in commercial product sales and related cost of goods sold. As a result, gross margin remained consistent with the prior year at 72%.</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comparison of the expense categories for the years ended December 31, 2023 and 2022 (dollars in thousands):</w:t>
      </w:r>
    </w:p>
    <w:p>
      <w:pPr>
        <w:pStyle w:val="TextBody"/>
        <w:bidi w:val="0"/>
        <w:spacing w:before="120" w:after="283"/>
        <w:jc w:val="left"/>
        <w:rPr/>
      </w:pPr>
      <w:r>
        <w:rPr/>
        <w:t> </w:t>
      </w:r>
    </w:p>
    <w:tbl>
      <w:tblPr>
        <w:tblW w:w="9341" w:type="dxa"/>
        <w:jc w:val="left"/>
        <w:tblInd w:w="0" w:type="dxa"/>
        <w:tblLayout w:type="fixed"/>
        <w:tblCellMar>
          <w:top w:w="28" w:type="dxa"/>
          <w:left w:w="28" w:type="dxa"/>
          <w:bottom w:w="28" w:type="dxa"/>
          <w:right w:w="28" w:type="dxa"/>
        </w:tblCellMar>
      </w:tblPr>
      <w:tblGrid>
        <w:gridCol w:w="3946"/>
        <w:gridCol w:w="146"/>
        <w:gridCol w:w="211"/>
        <w:gridCol w:w="781"/>
        <w:gridCol w:w="146"/>
        <w:gridCol w:w="146"/>
        <w:gridCol w:w="211"/>
        <w:gridCol w:w="781"/>
        <w:gridCol w:w="166"/>
        <w:gridCol w:w="146"/>
        <w:gridCol w:w="211"/>
        <w:gridCol w:w="676"/>
        <w:gridCol w:w="166"/>
        <w:gridCol w:w="146"/>
        <w:gridCol w:w="275"/>
        <w:gridCol w:w="596"/>
        <w:gridCol w:w="5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br/>
              <w:t>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revenue — collaborations and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(gain) on foreign currency transaction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9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190,284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 — collaborations and services increased by $0.4 million, or 1%, for the year ended December 31, 2023 compared to the prior year. The cost of revenue for collaborations and services remained consistent with the prior year as manufacturing activities shifted from preproduction efforts in the first five months of 2022 to full commercial production of Tyvaso DPI thereafter. Higher manufacturing volumes resulted in efficiencies which contributed to a lower effective cost per unit.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increased by $11.6 million, or 59%, for the year ended December 31, 2023 compared to the prior year. The increase was primarily attributable to increases in development activities for clofazimine inhaled suspension (MNKD-101), costs for an Afrezza post-marketing clinical study (INHALE-3) which commenced in the second quarter of 2023, costs for the Afrezza pediatric clinical study (INHALE-1) and other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expenses decreased by $2.0 million, or 4%, for the year ended December 31, 2023, compared to the prior year. The decrease was primarily attributable to the termination of an Afrezza pilot promotional effort with a contract sales force targeting primary care physicians, which ended in the third quarter of 2022, partially offset by increased personnel and promotional activities related to the acquisition of V-Go in May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by $4.8 million, or 13%, for the year ended December 31, 2023 compared to the prior year. This increase was primarily attributable to increased personnel costs, including stock-based compensation and headcount.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foreign currency transaction was $1.9 million for the year ended December 31, 2023 compared to a gain of $4.8 million for the prior year. Under the Insulin Supply Agreement with Amphastar, payment obligations are denominated in Euros. We are required to record the foreign currency transaction impact of the U.S. dollar to Euro exchange rate associated with the recognized loss on purchase commitments. The year-over-year change was due to the conversion of Euro to U.S. dollar exchange rates.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comparison of the other income (expense) categories for the years ended December 31, 2023 and 2022 (dollars in thousands):</w:t>
      </w:r>
    </w:p>
    <w:p>
      <w:pPr>
        <w:pStyle w:val="TextBody"/>
        <w:bidi w:val="0"/>
        <w:spacing w:before="120" w:after="283"/>
        <w:jc w:val="left"/>
        <w:rPr/>
      </w:pPr>
      <w:r>
        <w:rPr/>
        <w:t> </w:t>
      </w:r>
    </w:p>
    <w:tbl>
      <w:tblPr>
        <w:tblW w:w="9966" w:type="dxa"/>
        <w:jc w:val="left"/>
        <w:tblInd w:w="0" w:type="dxa"/>
        <w:tblLayout w:type="fixed"/>
        <w:tblCellMar>
          <w:top w:w="28" w:type="dxa"/>
          <w:left w:w="28" w:type="dxa"/>
          <w:bottom w:w="28" w:type="dxa"/>
          <w:right w:w="28" w:type="dxa"/>
        </w:tblCellMar>
      </w:tblPr>
      <w:tblGrid>
        <w:gridCol w:w="4501"/>
        <w:gridCol w:w="146"/>
        <w:gridCol w:w="211"/>
        <w:gridCol w:w="736"/>
        <w:gridCol w:w="166"/>
        <w:gridCol w:w="146"/>
        <w:gridCol w:w="211"/>
        <w:gridCol w:w="736"/>
        <w:gridCol w:w="166"/>
        <w:gridCol w:w="146"/>
        <w:gridCol w:w="211"/>
        <w:gridCol w:w="631"/>
        <w:gridCol w:w="166"/>
        <w:gridCol w:w="146"/>
        <w:gridCol w:w="202"/>
        <w:gridCol w:w="669"/>
        <w:gridCol w:w="77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br/>
              <w:t>Ended December 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shd w:fill="FFFFFF" w:val="clear"/>
            <w:vAlign w:val="center"/>
          </w:tcPr>
          <w:p>
            <w:pPr>
              <w:pStyle w:val="TableContents"/>
              <w:bidi w:val="0"/>
              <w:spacing w:before="0" w:after="283"/>
              <w:jc w:val="righ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consisting of interest on investments net of amortization, increased by $3.6 million compared to the prior year primarily due to higher yields on our marketable securities and money market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on financing liability was $9.8 million for each of the years ended December 31, 2023 and 2022, and represented interest incurred on the sale lease-back transaction for our manufacturing facility in Danbury, CT, which was entered into in the fourth quarter of 2021.</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on notes for the year ended December 31, 2023 was comparable to the prior year. See Note 10 — </w:t>
      </w:r>
      <w:r>
        <w:rPr>
          <w:rFonts w:ascii="Times New Roman" w:hAnsi="Times New Roman"/>
          <w:i/>
          <w:color w:val="000000"/>
          <w:sz w:val="20"/>
        </w:rPr>
        <w:t>Borrowings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available-for-sale securities for the years ended December 31, 2023 and 2022 was $0.2 million and $0.9 million, respectively, as a result of the change in the fair value of the investment that related to credit risk.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Other income for the year ended December 31, 2023 consisted primarily of a gain on disposal of property and equipment of $0.3 million and fair value adjustment of a milestone liability of $0.3 million, partially offset by a write off of an investment of $0.3 million and a loss on settlement of $0.2 million. Other expense for the year ended December 31, 2022 consisted of a loss associated with a foreign currency hedging transaction that was entered into to mitigate our exposure to foreign currency exchange risks associated with our insulin purchase obligation under the Insulin Supply Agreement with Amphastar. </w:t>
        <w:br/>
        <w:br/>
      </w:r>
      <w:r>
        <w:rPr>
          <w:rFonts w:ascii="Times New Roman" w:hAnsi="Times New Roman"/>
          <w:b/>
          <w:color w:val="000000"/>
          <w:sz w:val="20"/>
        </w:rPr>
        <w:t>Non-GAAP Measures</w:t>
        <w:br/>
        <w:br/>
      </w:r>
      <w:r>
        <w:rPr>
          <w:rFonts w:ascii="Times New Roman" w:hAnsi="Times New Roman"/>
          <w:color w:val="000000"/>
          <w:sz w:val="20"/>
        </w:rPr>
        <w:t xml:space="preserve">To supplement our consolidated financial statements presented under GAAP, we are presenting non-GAAP income (loss) from operations, non-GAAP net income (loss) and non-GAAP net income (loss) per share - basic, which are non-GAAP financial measures. We are providing these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 </w:t>
        <w:br/>
        <w:br/>
        <w:t>These non-GAAP financial measures are not meant to be considered in isolation or as a substitute for comparable GAAP measures; should be read in conjunction with our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Annual Report on Form 10-K have limits in their usefulness to investors and may be calculated differently from, and therefore may not be directly comparable to, similarly titled measures used by other companies.</w:t>
        <w:br/>
        <w:br/>
        <w:t>The following table reconciles our financial measures as reported in our consolidated statement of operations to a non-GAAP presentation as adjusted for the following select non-cash items: revenue from the 1% portion of sold royalties and interest expense on the related liability, stock-based compensation expense, gain on foreign currency transaction and gain on available-for-sale securities for the periods presented (in thousands, except per share amounts):</w:t>
        <w:b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94" w:type="dxa"/>
        <w:jc w:val="left"/>
        <w:tblInd w:w="0" w:type="dxa"/>
        <w:tblLayout w:type="fixed"/>
        <w:tblCellMar>
          <w:top w:w="28" w:type="dxa"/>
          <w:left w:w="28" w:type="dxa"/>
          <w:bottom w:w="28" w:type="dxa"/>
          <w:right w:w="28" w:type="dxa"/>
        </w:tblCellMar>
      </w:tblPr>
      <w:tblGrid>
        <w:gridCol w:w="4741"/>
        <w:gridCol w:w="146"/>
        <w:gridCol w:w="211"/>
        <w:gridCol w:w="781"/>
        <w:gridCol w:w="166"/>
        <w:gridCol w:w="146"/>
        <w:gridCol w:w="211"/>
        <w:gridCol w:w="78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211" w:type="dxa"/>
            <w:tcBorders/>
            <w:shd w:fill="FFFFFF" w:val="cle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96" w:type="dxa"/>
            <w:gridSpan w:val="6"/>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income (loss)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Select non-cash adjustments: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pPr>
            <w:r>
              <w:rPr>
                <w:color w:val="000000"/>
              </w:rPr>
              <w:t>    </w:t>
            </w:r>
            <w:r>
              <w:rPr>
                <w:rFonts w:ascii="Times New Roman" w:hAnsi="Times New Roman"/>
                <w:color w:val="000000"/>
                <w:sz w:val="20"/>
              </w:rPr>
              <w:t>Sold portion of royalty revenue</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21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(gain) on foreign currency transaction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Select non-cash adjustments: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pPr>
            <w:r>
              <w:rPr>
                <w:color w:val="000000"/>
              </w:rPr>
              <w:t>    </w:t>
            </w:r>
            <w:r>
              <w:rPr>
                <w:rFonts w:ascii="Times New Roman" w:hAnsi="Times New Roman"/>
                <w:color w:val="000000"/>
                <w:sz w:val="20"/>
              </w:rPr>
              <w:t>Sold portion of royalty revenue</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21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(gain) on foreign currency transaction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on liability for sale of future royalties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available-for-sale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net loss per share - 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Select non-cash adjustments: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Sold portion of royalty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1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(gain) on foreign currency transaction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on liability for sale of future royalties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1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on 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(loss) per share - 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257,092</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Represents the non-cash portion of the 1% royalty on net sales of Tyvaso DPI earned during the fourth quarter of 2023 which is remitted to the royalty purchaser and recognized as royalties from collaborations in our consolidated statements of operations. Our revenues from royalties from collaborations during the fourth quarter of 2023 totaled $21.0 million, of which $2.1 million will be remitted to the royalty purchaser.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our cash, cash equivalents, and investments. Our primary uses of cash include the development of our product pipeline, the manufacturing and marketing of Afrezza and V-Go, manufacturing Tyvaso DPI, the funding of general and administrative expenses, and principal and interest payments on our financing liability and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funded our operations primarily through the sale of equity and convertible debt securities, from the receipt of upfront and milestone payments from collaborations, from borrowings, from sales of Afrezza and V-Go, from royalties and manufacturing revenue from UT as well as from proceeds from the sale of certain assets and the sale of a portion of our future royalties that we receive from UT.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we will be able to meet our liquidity needs over the next twelve months, as well as longer-term needs, based on the balance of cash, cash equivalents and investments on hand, projected sales of Afrezza and V-Go, and projected royalties and manufacturing revenue from the production and sale of Tyvaso DPI. The following table presents our material cash requirements as of December 31, 2023 associated with contractual commitments for future periods (in thousands): </w:t>
      </w:r>
    </w:p>
    <w:p>
      <w:pPr>
        <w:pStyle w:val="TextBody"/>
        <w:bidi w:val="0"/>
        <w:jc w:val="left"/>
        <w:rPr/>
      </w:pPr>
      <w:r>
        <w:rPr/>
        <w:t> </w:t>
      </w:r>
    </w:p>
    <w:tbl>
      <w:tblPr>
        <w:tblW w:w="9704" w:type="dxa"/>
        <w:jc w:val="left"/>
        <w:tblInd w:w="0" w:type="dxa"/>
        <w:tblLayout w:type="fixed"/>
        <w:tblCellMar>
          <w:top w:w="28" w:type="dxa"/>
          <w:left w:w="28" w:type="dxa"/>
          <w:bottom w:w="28" w:type="dxa"/>
          <w:right w:w="28" w:type="dxa"/>
        </w:tblCellMar>
      </w:tblPr>
      <w:tblGrid>
        <w:gridCol w:w="3061"/>
        <w:gridCol w:w="146"/>
        <w:gridCol w:w="211"/>
        <w:gridCol w:w="676"/>
        <w:gridCol w:w="146"/>
        <w:gridCol w:w="146"/>
        <w:gridCol w:w="211"/>
        <w:gridCol w:w="781"/>
        <w:gridCol w:w="146"/>
        <w:gridCol w:w="146"/>
        <w:gridCol w:w="232"/>
        <w:gridCol w:w="743"/>
        <w:gridCol w:w="146"/>
        <w:gridCol w:w="146"/>
        <w:gridCol w:w="211"/>
        <w:gridCol w:w="781"/>
        <w:gridCol w:w="146"/>
        <w:gridCol w:w="146"/>
        <w:gridCol w:w="211"/>
        <w:gridCol w:w="781"/>
        <w:gridCol w:w="4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2027 - 2028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244,375</w:t>
            </w:r>
          </w:p>
        </w:tc>
        <w:tc>
          <w:tcPr>
            <w:tcW w:w="49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MidCap credit facility</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35,541</w:t>
            </w:r>
          </w:p>
        </w:tc>
        <w:tc>
          <w:tcPr>
            <w:tcW w:w="49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Mann Group convertible note</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9,280</w:t>
            </w:r>
          </w:p>
        </w:tc>
        <w:tc>
          <w:tcPr>
            <w:tcW w:w="49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Financing liability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230,121</w:t>
            </w:r>
          </w:p>
        </w:tc>
        <w:tc>
          <w:tcPr>
            <w:tcW w:w="49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Insulin purchase agreement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65,753</w:t>
            </w:r>
          </w:p>
        </w:tc>
        <w:tc>
          <w:tcPr>
            <w:tcW w:w="49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Insulin purchase capacity fees </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6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material cash requirements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595,560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$230.0 million aggregate principal amount of Senior convertible notes bearing interest at 2.50% payable semi-annually in arrears on March 1 and September 1 of each year, beginning on September 1, 2021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$33.3 million principal amount under the MidCap credit facility, bearing interest at an annual rate equal to one-month Secured Overnight Financing Rate (“SOFR") plus 6.25% (capped at a total of 8.25%), subject to a one-month SOFR floor of 1.00%. Interest is payable monthly in arrears. Principal is payable in equal monthly installments beginning in September 2023 through maturity in August 2025.</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(3)</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payable quarterly in arrears in-kind or in shares at our option.</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(4)</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$104.1 million principal amount of indebtedness under the Sale-Leaseback Transaction, plus $123.3 million of imputed interest and $2.7 million in unamortized debt issuance costs. On November 8, 2021, we sold a portion of our manufacturing facility located in Danbury, CT to an affiliate of Creative Manufacturing Properties (the “Purchaser”) for a sales price of $102.3 million. We leased the property from the Purchaser for an initial term of 20 years, with four renewal options of five years each. The total annual rent under the lease started at approximately $9.5 million per year, subject to a 50% rent abatement during the first year of the lease, and increases annually by (i) 2.5% in the second through fifth year of the lease and (ii) 3% in the sixth and each subsequent year of the lease, including any renewal term. We are responsible for payment of operating expenses, property taxes and insurance for the leased property. Pursuant to the terms of the lease, we have four options to repurchase the property, in 2026, 2031, 2036 and 2041, for the greater of (i) $102.3 million or (ii) the fair market value of the leased property. Interest expense is calculated using an incremental borrowing rate of approximately 9%.</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(5)</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July 2014 Insulin Supply Agreement with Amphastar to manufacture and supply us certain quantities of recombinant human insulin for use in Afrezza was amended in May 2021 and again on December 22, 2023 to purchase certain minimum quantities over a term that currently extends through at least December 31, 2034. Unless terminated earlier, the agreement can be renewed for additional, successive two-year terms upon 12 months’ written notice given prior to the end of the initial term or any additional two-year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been able to timely make our required interest payments, but we cannot guarantee that we will be able to do so in the future. If we fail to repay, repurchase or redeem our outstanding notes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 We may from time to time seek to retire or purchase our outstanding debt, including the Senior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$55.0 million of which remain payable as of December 31, 2023. See Note 9 – </w:t>
      </w:r>
      <w:r>
        <w:rPr>
          <w:rFonts w:ascii="Times New Roman" w:hAnsi="Times New Roman"/>
          <w:i/>
          <w:color w:val="000000"/>
          <w:sz w:val="20"/>
        </w:rPr>
        <w:t>Accrued Expenses and Other Current Liabilities</w:t>
      </w:r>
      <w:r>
        <w:rPr>
          <w:rFonts w:ascii="Times New Roman" w:hAnsi="Times New Roman"/>
          <w:color w:val="000000"/>
          <w:sz w:val="20"/>
        </w:rPr>
        <w:t xml:space="preserve">, Note 10 – </w:t>
      </w:r>
      <w:r>
        <w:rPr>
          <w:rFonts w:ascii="Times New Roman" w:hAnsi="Times New Roman"/>
          <w:i/>
          <w:color w:val="000000"/>
          <w:sz w:val="20"/>
        </w:rPr>
        <w:t>Borrowings</w:t>
      </w:r>
      <w:r>
        <w:rPr>
          <w:rFonts w:ascii="Times New Roman" w:hAnsi="Times New Roman"/>
          <w:color w:val="000000"/>
          <w:sz w:val="20"/>
        </w:rPr>
        <w:t xml:space="preserve"> and Note 16– </w:t>
      </w:r>
      <w:r>
        <w:rPr>
          <w:rFonts w:ascii="Times New Roman" w:hAnsi="Times New Roman"/>
          <w:i/>
          <w:color w:val="000000"/>
          <w:sz w:val="20"/>
        </w:rPr>
        <w:t>Commitments and Contingencies</w:t>
      </w:r>
      <w:r>
        <w:rPr>
          <w:rFonts w:ascii="Times New Roman" w:hAnsi="Times New Roman"/>
          <w:color w:val="000000"/>
          <w:sz w:val="20"/>
        </w:rPr>
        <w:t xml:space="preserve"> for further information related to the Milestone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2018, we entered into a controlled equity offering sales agreement (the “CF Sales Agreement”) with Cantor Fitzgerald &amp; Co. (“Cantor Fitzgerald”), as sales agent, pursuant to which we may offer and sell, from time to time, through Cantor Fitzgerald, shares of our common stock. Under the Sales Agreement, Cantor Fitzgerald may sell shares by any method deemed to be an “at-the-market offering” as defined in Rule 415 under the Securities Act of 1933, as amended. In February 2022, we filed a sales agreement prospectus under a registration statement on Form S-3 (File No. 333-262981) covering the sale of up to $50.0 million of our common stock through Cantor Fitzgerald under the CF Sales Agreement, of which $23.3 million remained available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we generated $34.1 million of cash from our operating activities, which primarily consisted of $241.3 million of reimbursements from a customer, which is inclusive of approximately $40.0 million of deferred revenue for collaborations and services, partially offset by $84.1 million of cost of goods sold, $46.7 million of selling expenses, $33.4 million of general and administrative expenses, $28.1 million of costs for research and development, $9.6 million of cash paid for interest on the financing liability and $8.7 million of cash paid for interest on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2022, we used $80.7 million of cash for our operating activities, which primarily consisted of $75.1 million of selling, general and administrative expenses, $58.5 million of cost of goods sold, $23.8 million of costs for research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$8.9 million of cash paid for interest on notes and $9.6 million of cash paid for interest on the financing liability, partially offset by $108.3 million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investing activities of $2.0 million for the year ended December 31, 2023 was primarily due to the maturity of $119.2 million of debt securities, partially offset by the purchase of $79.1 million of debt securities and $42.4 million purchase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of $4.9 million for the year ended December 31, 2022 was primarily due to the maturity of $107.3 million of debt securities, partially offset by the up-front consideration of $15.3 million for certain assets and assumed liabilities related to V-Go, $5.0 million purchase of available-for-sale securities, the purchase of $74.5 million of debt securities and $7.6 million purchase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of $136.6 million for the year ended December 31, 2023 was primarily due to proceeds of $150.0 million from the sale of a portion of our future royalties from net sales of Tyvaso DPI and net proceeds from at-the-market offerings of $6.8 million, partially offset by $10.2 million in payments for taxes related to net issuance of common stock associated with restricted stock units and stock options, and principal payments of $6.7 million on the MidCap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of $21.4 million for the year ended December 31, 2022 was primarily due to net proceeds from at-the-market offering of $19.4 million and proceeds from market price stock purchase plan and employee stock purchase plan of $2.8 million, partially offset by the milestone payment of $1.1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Future Liquidity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Although net cash provided by operating activities reflected in our consolidated statements of cash flows was $34.1 million during the year ended December 31, 2023, we have not generated cash flows from operating activities on a consistent basis and we incurred a net loss during the year ended December 31, 2023. In addition, we expect to continue to incur expenditures for the foreseeable future in support of our manufacturing operations, sales and marketing costs for our products and development costs for other product candidates in our pipeline. As of December 31, 2023, we had capital resources of $238.5 million in cash and cash equivalents, $56.6 million in short-term investments and $7.2 million in long-term investments, and total principal amount of outstanding borrowings of $272.1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resources will be sufficient to fund our operations for the next twelve months from the date of issuance of our consolidated financial statements included in Part II, Item 8 – Financial Statements and Supplementary Data.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 </w:t>
      </w:r>
      <w:r>
        <w:rPr>
          <w:rFonts w:ascii="Times New Roman" w:hAnsi="Times New Roman"/>
          <w:i/>
          <w:color w:val="000000"/>
          <w:sz w:val="20"/>
        </w:rPr>
        <w:t>Summary of Significant Accounting Policies</w:t>
      </w:r>
      <w:r>
        <w:rPr>
          <w:rFonts w:ascii="Times New Roman" w:hAnsi="Times New Roman"/>
          <w:color w:val="000000"/>
          <w:sz w:val="20"/>
        </w:rPr>
        <w:t xml:space="preserve"> of the Notes to Consolidated Financial Statements included in Part II, Item 8 — Financial Statements and Supplementary Data for information regarding new accounting standards that have been issued by the FASB but are not effective until after December 31, 2023.</w:t>
      </w:r>
    </w:p>
    <w:p>
      <w:pPr>
        <w:pStyle w:val="TextBody"/>
        <w:bidi w:val="0"/>
        <w:spacing w:before="360" w:after="283"/>
        <w:jc w:val="left"/>
        <w:rPr>
          <w:rFonts w:ascii="Times New Roman" w:hAnsi="Times New Roman"/>
          <w:sz w:val="20"/>
        </w:rPr>
      </w:pPr>
      <w:bookmarkStart w:id="12" w:name="item_7a_quantitative_qualitative_disclos"/>
      <w:bookmarkEnd w:id="12"/>
      <w:r>
        <w:rPr>
          <w:rFonts w:ascii="Times New Roman" w:hAnsi="Times New Roman"/>
          <w:b/>
          <w:color w:val="000000"/>
          <w:sz w:val="20"/>
        </w:rPr>
        <w:t>Item 7A.</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on borrowings under the MidCap credit facility accrues interest at an annual rate equal to the lesser of (i) 8.25% and (ii) the one-month SOFR (subject to a one-month SOFR floor of 1.00%) plus 6.25%. Accordingly, our interest expense under the MidCap credit facility is subject to changes in the one-month SOFR rate.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other debt has fixed interest rates, so the interest expense associated with such debt is not exposed to changes in market interest rates. Specifically, the interest rate on the amount borrowed under the Mann Group convertible note is fixed at 2.50% and the interest rate under the Senior convertible notes is fixed at 2.50%. See Note 10 – </w:t>
      </w:r>
      <w:r>
        <w:rPr>
          <w:rFonts w:ascii="Times New Roman" w:hAnsi="Times New Roman"/>
          <w:i/>
          <w:color w:val="000000"/>
          <w:sz w:val="20"/>
        </w:rPr>
        <w:t>Borrowings</w:t>
      </w:r>
      <w:r>
        <w:rPr>
          <w:rFonts w:ascii="Times New Roman" w:hAnsi="Times New Roman"/>
          <w:color w:val="000000"/>
          <w:sz w:val="20"/>
        </w:rPr>
        <w:t xml:space="preserve"> for information about the principal amount of outstanding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hypothetical 10% change in the one-month SOFR interest rates on December 31, 2023 were to have occurred, this change would not have had a material effect on our annual interest payment obligation.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year ended December 31, 2023, we realized a $1.9 million currency loss, which was included in loss (gain) on foreign currency transaction in the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 rate fluctuations may adversely affect our expenses, results of operations, financial position and cash flows. If a change in the U.S. dollar to Euro exchange rate equal to 10% of the U.S. dollar to Euro exchange rate on December 31, 2023 were to have occurred, this change would have resulted in a foreign currency impact to our pre-tax loss of approximately $6.5 million.</w:t>
      </w:r>
    </w:p>
    <w:p>
      <w:pPr>
        <w:pStyle w:val="TextBody"/>
        <w:bidi w:val="0"/>
        <w:spacing w:before="360" w:after="283"/>
        <w:jc w:val="left"/>
        <w:rPr>
          <w:rFonts w:ascii="Times New Roman" w:hAnsi="Times New Roman"/>
          <w:sz w:val="20"/>
        </w:rPr>
      </w:pPr>
      <w:bookmarkStart w:id="13" w:name="item_8_financial_statements_supplementar"/>
      <w:bookmarkEnd w:id="13"/>
      <w:r>
        <w:rPr>
          <w:rFonts w:ascii="Times New Roman" w:hAnsi="Times New Roman"/>
          <w:b/>
          <w:color w:val="000000"/>
          <w:sz w:val="20"/>
        </w:rPr>
        <w:t>Item 8.</w:t>
      </w:r>
      <w:r>
        <w:rPr>
          <w:rFonts w:ascii="Times New Roman" w:hAnsi="Times New Roman"/>
          <w:color w:val="000000"/>
          <w:sz w:val="20"/>
        </w:rPr>
        <w:t xml:space="preserve"> </w:t>
      </w:r>
      <w:r>
        <w:rPr>
          <w:rFonts w:ascii="Times New Roman" w:hAnsi="Times New Roman"/>
          <w:b/>
          <w:i/>
          <w:color w:val="000000"/>
          <w:sz w:val="20"/>
        </w:rPr>
        <w:t>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included in Items 15(a) (1) and (2) of Part IV of this Annual Report on Form 10-K.</w:t>
      </w:r>
    </w:p>
    <w:p>
      <w:pPr>
        <w:pStyle w:val="TextBody"/>
        <w:bidi w:val="0"/>
        <w:spacing w:before="360" w:after="283"/>
        <w:jc w:val="left"/>
        <w:rPr>
          <w:rFonts w:ascii="Times New Roman" w:hAnsi="Times New Roman"/>
          <w:sz w:val="20"/>
        </w:rPr>
      </w:pPr>
      <w:bookmarkStart w:id="14" w:name="item_9_changes_in_disagreements_with_acc"/>
      <w:bookmarkEnd w:id="14"/>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i/>
          <w:color w:val="000000"/>
          <w:sz w:val="20"/>
        </w:rPr>
        <w:t>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5" w:name="item_9a_controls_procedures"/>
      <w:bookmarkEnd w:id="15"/>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i/>
          <w:color w:val="000000"/>
          <w:sz w:val="20"/>
        </w:rPr>
        <w:t>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this evaluation, our Chief Executive Officer and Chief Financial Officer concluded that the design and operation of our disclosure controls and procedures were effective as of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2023. In making this assessment, our management used the criteria set forth by the Committee of Sponsoring Organizations of the Treadway Commission (COSO) in the Internal Control-Integrated Framework (2013 Framework).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this assessment, our management concluded that, as of December 31, 2023, our internal control over financial reporting was effective based on those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has been audited by Deloitte &amp; Touche LLP, an independent registered public accounting firm, as stated in their attestation report herein, which expresses an unqualified opinion on the effectiveness of our internal control over financial reporting as of December 31,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independent_registered_public_acc"/>
      <w:bookmarkEnd w:id="16"/>
      <w:r>
        <w:rPr>
          <w:rFonts w:ascii="Times New Roman" w:hAnsi="Times New Roman"/>
          <w:b/>
          <w:color w:val="000000"/>
          <w:sz w:val="20"/>
        </w:rPr>
        <w:t>Report of Independent Registered Public Accounting Firm</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To the Board of Directors and Stockholders of MannKind Corporation</w:t>
      </w:r>
    </w:p>
    <w:p>
      <w:pPr>
        <w:pStyle w:val="TextBody"/>
        <w:bidi w:val="0"/>
        <w:spacing w:before="120" w:after="160"/>
        <w:jc w:val="left"/>
        <w:rPr>
          <w:rFonts w:ascii="Times New Roman" w:hAnsi="Times New Roman"/>
          <w:sz w:val="20"/>
        </w:rPr>
      </w:pPr>
      <w:r>
        <w:rPr>
          <w:rFonts w:ascii="Times New Roman" w:hAnsi="Times New Roman"/>
          <w:b/>
          <w:color w:val="000000"/>
          <w:sz w:val="20"/>
        </w:rPr>
        <w:t>Opinion on Internal Control over Financial Reporting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We have audited the internal control over financial reporting of MannKind Corporation and subsidiaries (the “Company”)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2"/>
        </w:rPr>
        <w:t>.</w:t>
      </w:r>
    </w:p>
    <w:p>
      <w:pPr>
        <w:pStyle w:val="TextBody"/>
        <w:bidi w:val="0"/>
        <w:jc w:val="left"/>
        <w:rPr>
          <w:rFonts w:ascii="Times New Roman" w:hAnsi="Times New Roman"/>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the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 Angeles, California</w:t>
      </w:r>
    </w:p>
    <w:p>
      <w:pPr>
        <w:pStyle w:val="TextBody"/>
        <w:bidi w:val="0"/>
        <w:jc w:val="left"/>
        <w:rPr>
          <w:rFonts w:ascii="Times New Roman" w:hAnsi="Times New Roman"/>
          <w:color w:val="000000"/>
          <w:sz w:val="20"/>
        </w:rPr>
      </w:pPr>
      <w:r>
        <w:rPr>
          <w:rFonts w:ascii="Times New Roman" w:hAnsi="Times New Roman"/>
          <w:color w:val="000000"/>
          <w:sz w:val="20"/>
        </w:rPr>
        <w:t>February 27,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7" w:name="item_9b_or_information"/>
      <w:bookmarkEnd w:id="17"/>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i/>
          <w:color w:val="000000"/>
          <w:sz w:val="20"/>
        </w:rPr>
        <w:t>Other</w:t>
      </w:r>
      <w:r>
        <w:rPr>
          <w:rFonts w:ascii="Times New Roman" w:hAnsi="Times New Roman"/>
          <w:color w:val="000000"/>
          <w:sz w:val="20"/>
        </w:rPr>
        <w:t xml:space="preserve"> </w:t>
      </w:r>
      <w:r>
        <w:rPr>
          <w:rFonts w:ascii="Times New Roman" w:hAnsi="Times New Roman"/>
          <w:b/>
          <w:i/>
          <w:color w:val="000000"/>
          <w:sz w:val="20"/>
        </w:rPr>
        <w:t>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8" w:name="item_9c_disclosure_regarding_foreign_jur"/>
      <w:bookmarkEnd w:id="18"/>
      <w:r>
        <w:rPr>
          <w:rFonts w:ascii="Times New Roman" w:hAnsi="Times New Roman"/>
          <w:b/>
          <w:color w:val="000000"/>
          <w:sz w:val="20"/>
        </w:rPr>
        <w:t>Item 9C.</w:t>
      </w:r>
      <w:r>
        <w:rPr>
          <w:rFonts w:ascii="Times New Roman" w:hAnsi="Times New Roman"/>
          <w:color w:val="000000"/>
          <w:sz w:val="20"/>
        </w:rPr>
        <w:t xml:space="preserve"> </w:t>
      </w:r>
      <w:r>
        <w:rPr>
          <w:rFonts w:ascii="Times New Roman" w:hAnsi="Times New Roman"/>
          <w:b/>
          <w:i/>
          <w:color w:val="000000"/>
          <w:sz w:val="20"/>
        </w:rPr>
        <w:t>Disclosure Regarding Foreign Jurisdictions that Prevent Inspections.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19" w:name="item_10_directors_executive_ficers_corpo"/>
      <w:bookmarkEnd w:id="19"/>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i/>
          <w:color w:val="000000"/>
          <w:sz w:val="20"/>
        </w:rPr>
        <w:t>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required by this Item and not set forth below will be set forth in the sections headed “Proposal 1—Election of Directors” and “Corporate Governance Principles and Board and Committee Matters” in our definitive proxy statement for our 2024 Annual Meeting of Stockholders (the “Proxy Statement”) to be filed with the SEC on or before April 29, 2024, and is incorporated herein by reference.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Executive Officers —</w:t>
      </w:r>
      <w:r>
        <w:rPr>
          <w:rFonts w:ascii="Times New Roman" w:hAnsi="Times New Roman"/>
          <w:color w:val="000000"/>
          <w:sz w:val="20"/>
        </w:rPr>
        <w:t xml:space="preserve"> For information regarding the identification and business experience of our executive officers, see “Information about our Executive Officers” in Part I, Item 1 of this Annual Report on Form 10-K.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Directors —</w:t>
      </w:r>
      <w:r>
        <w:rPr>
          <w:rFonts w:ascii="Times New Roman" w:hAnsi="Times New Roman"/>
          <w:color w:val="000000"/>
          <w:sz w:val="20"/>
        </w:rPr>
        <w:t xml:space="preserve"> Our board of directors consists of the following members:</w:t>
      </w:r>
    </w:p>
    <w:p>
      <w:pPr>
        <w:pStyle w:val="TextBody"/>
        <w:bidi w:val="0"/>
        <w:spacing w:before="240" w:after="283"/>
        <w:jc w:val="left"/>
        <w:rPr>
          <w:rFonts w:ascii="Times New Roman" w:hAnsi="Times New Roman"/>
          <w:sz w:val="20"/>
        </w:rPr>
      </w:pPr>
      <w:r>
        <w:rPr>
          <w:rFonts w:ascii="Times New Roman" w:hAnsi="Times New Roman"/>
          <w:i/>
          <w:color w:val="000000"/>
          <w:sz w:val="20"/>
        </w:rPr>
        <w:t>James S. Shannon, M.D.</w:t>
      </w:r>
      <w:r>
        <w:rPr>
          <w:rFonts w:ascii="Times New Roman" w:hAnsi="Times New Roman"/>
          <w:color w:val="000000"/>
          <w:sz w:val="20"/>
        </w:rPr>
        <w:t xml:space="preserve"> rejoined our board in May 2015 after previously serving as a director from February 2010 until April 2012. Dr. Shannon was appointed Chairman of the Board of Directors in December 2020. From May 2012 until his retirement in April 2015, Dr. Shannon was the Chief Medical Officer of GSK plc. He formerly held the position of Global Head of Pharma Development at Novartis AG, based in Basel, Switzerland from 2005 until 2008. After joining Sandoz in 1994 as Head of Drug Regulatory Affairs, Dr. Shannon led the Integration Office for R&amp;D overseeing the creation of the Novartis R&amp;D group from those of Ciba-Geigy Ltd and Sandoz. Following the merger, he was appointed Head of the Cardiovascular Strategic Team and subsequently became Global Head of Project and Portfolio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from January 2009 until April 2010. Dr. Shannon served on the boards of Immodulon Therapeutics Limited from July 2015 until December 2021 and Horizon Therapeutics from August 2017 until October 2023. He is currently chairman of the board of , Kyowa Kirin (NA) Inc. since July 2019, and has served on the boards of ProQR Therapeutics NV since June 2016 and Leyden Labs since September 2020.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p>
      <w:pPr>
        <w:pStyle w:val="TextBody"/>
        <w:bidi w:val="0"/>
        <w:spacing w:before="240" w:after="283"/>
        <w:jc w:val="left"/>
        <w:rPr>
          <w:rFonts w:ascii="Times New Roman" w:hAnsi="Times New Roman"/>
          <w:sz w:val="20"/>
        </w:rPr>
      </w:pPr>
      <w:r>
        <w:rPr>
          <w:rFonts w:ascii="Times New Roman" w:hAnsi="Times New Roman"/>
          <w:i/>
          <w:color w:val="000000"/>
          <w:sz w:val="20"/>
        </w:rPr>
        <w:t>Michael E. Castagna, Pharm.D.</w:t>
      </w:r>
      <w:r>
        <w:rPr>
          <w:rFonts w:ascii="Times New Roman" w:hAnsi="Times New Roman"/>
          <w:color w:val="000000"/>
          <w:sz w:val="20"/>
        </w:rPr>
        <w:t xml:space="preserve"> has served as our Chief Executive Officer and as one of our directors since May 2017. Mr. Castagna also served as a Corporate Vice President, Chief Commercial Officer from March 2016 until May 2017. From November 2012 until he joined us, Mr.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Before BMS, Mr. Castagna served as Vice President and Head, Biopharmaceuticals, North America, at Sandoz, a division of Novartis. Beginning in 1997, he held positions with commercial or medical affairs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pStyle w:val="TextBody"/>
        <w:bidi w:val="0"/>
        <w:spacing w:before="240" w:after="283"/>
        <w:jc w:val="left"/>
        <w:rPr>
          <w:rFonts w:ascii="Times New Roman" w:hAnsi="Times New Roman"/>
          <w:sz w:val="20"/>
        </w:rPr>
      </w:pPr>
      <w:r>
        <w:rPr>
          <w:rFonts w:ascii="Times New Roman" w:hAnsi="Times New Roman"/>
          <w:i/>
          <w:color w:val="000000"/>
          <w:sz w:val="20"/>
        </w:rPr>
        <w:t>Ronald J. Consiglio</w:t>
      </w:r>
      <w:r>
        <w:rPr>
          <w:rFonts w:ascii="Times New Roman" w:hAnsi="Times New Roman"/>
          <w:color w:val="000000"/>
          <w:sz w:val="20"/>
        </w:rPr>
        <w:t xml:space="preserve"> has been one of our directors since October 2003. Since 1999, Mr. Consiglio has been the Managing Director of Synergy Trading, a 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 Mr. Consiglio has served as a member of the board of trustees for the Metropolitan West Funds since 2003. Mr. Consiglio served as a certified public accountant for over 17 years and was a partner in the international accounting firm of Deloitte, Haskins &amp; Sells. He holds a bachelor’s degree in accounting from California State University at Northridge. </w:t>
      </w:r>
    </w:p>
    <w:p>
      <w:pPr>
        <w:pStyle w:val="TextBody"/>
        <w:bidi w:val="0"/>
        <w:spacing w:before="240" w:after="283"/>
        <w:jc w:val="left"/>
        <w:rPr>
          <w:rFonts w:ascii="Times New Roman" w:hAnsi="Times New Roman"/>
          <w:sz w:val="20"/>
        </w:rPr>
      </w:pPr>
      <w:r>
        <w:rPr>
          <w:rFonts w:ascii="Times New Roman" w:hAnsi="Times New Roman"/>
          <w:i/>
          <w:color w:val="000000"/>
          <w:sz w:val="20"/>
        </w:rPr>
        <w:t>Michael A. Friedman, M.D.</w:t>
      </w:r>
      <w:r>
        <w:rPr>
          <w:rFonts w:ascii="Times New Roman" w:hAnsi="Times New Roman"/>
          <w:color w:val="000000"/>
          <w:sz w:val="20"/>
        </w:rPr>
        <w:t xml:space="preserve"> has been one of our directors since December 2003. In 2014, Dr. Friedman completed a decade of service as the President and Chief Executive Officer of the City of Hope National Medical Center. Previously, from September 2001 until April 2003, Dr. Friedman held the position of Senior Vice President of Research and Development, Medical and Public Policy, for Pharmacia Corporation and, from 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He served on the board of Celgene Corporation from February 2011 to December 2019 and on the board of Smith &amp; Nephew plc from April 2013 to April 2019. Dr. Friedman received a Bachelor of Arts degree, magna cum laude, from Tulane University, New Orleans, Louisiana, and a doctorate in medicine from the University of Texas, Southwestern Medical School.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Jennifer Grancio</w:t>
      </w:r>
      <w:r>
        <w:rPr>
          <w:rFonts w:ascii="Times New Roman" w:hAnsi="Times New Roman"/>
          <w:color w:val="000000"/>
          <w:sz w:val="20"/>
        </w:rPr>
        <w:t xml:space="preserve"> has been one of our directors since March 2020. Since October 2023, Ms. Grancio has been the Global Head of Wealth at the The TCW Group. From October 2020 until October 2023, Ms. Grancio served as the Chief Executive Officer of Engine No. 1, an impact investment firm. From November 2018 until October 2020, she consulted through Grancio Capital, where she worked with CEOs to accelerate high-growth company success. From 1999 to 2018, she served as a founder and executive with BlackRock’s iShares business, where she spearheaded the distribution of iShares in the United States and Europe and acted as the Global Head of Marketing and Partnerships for BlackRock’s index business. Prior to BlackRock, she was a senior associate with PricewaterhouseCoopers, a management consulting firm. Ms. Grancio serves as a board member for Ethic Inc., a sustainable investing firm, and for Harvest Savings &amp; Wealth Technologies, Inc. She is also on the advisory boards of Say Technologies LLC and m+ funds (from Alaia Capital, LLC). Ms. Grancio earned a bachelor’s degree in economics and international relations from Stanford University, and an MBA degree in strategy and finance from Columbia Business School. </w:t>
      </w:r>
    </w:p>
    <w:p>
      <w:pPr>
        <w:pStyle w:val="TextBody"/>
        <w:bidi w:val="0"/>
        <w:spacing w:before="240" w:after="283"/>
        <w:jc w:val="left"/>
        <w:rPr>
          <w:rFonts w:ascii="Times New Roman" w:hAnsi="Times New Roman"/>
          <w:sz w:val="20"/>
        </w:rPr>
      </w:pPr>
      <w:r>
        <w:rPr>
          <w:rFonts w:ascii="Times New Roman" w:hAnsi="Times New Roman"/>
          <w:i/>
          <w:color w:val="000000"/>
          <w:sz w:val="20"/>
        </w:rPr>
        <w:t>Anthony Hooper</w:t>
      </w:r>
      <w:r>
        <w:rPr>
          <w:rFonts w:ascii="Times New Roman" w:hAnsi="Times New Roman"/>
          <w:color w:val="000000"/>
          <w:sz w:val="20"/>
        </w:rPr>
        <w:t xml:space="preserve"> has been one of our directors since January 2020. He is also a director of BeiGene, Ltd. And Amplity Health. Mr. Hooper served as executive vice president of Global Commercial Operations for Amgen Inc. from Oct 2011 until August 2018. Prior to joining Amgen, Mr. Hooper spent more than 15 years at Bristol-Myers Squibb.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 </w:t>
      </w:r>
    </w:p>
    <w:p>
      <w:pPr>
        <w:pStyle w:val="TextBody"/>
        <w:bidi w:val="0"/>
        <w:spacing w:before="240" w:after="283"/>
        <w:jc w:val="left"/>
        <w:rPr>
          <w:rFonts w:ascii="Times New Roman" w:hAnsi="Times New Roman"/>
          <w:sz w:val="20"/>
        </w:rPr>
      </w:pPr>
      <w:r>
        <w:rPr>
          <w:rFonts w:ascii="Times New Roman" w:hAnsi="Times New Roman"/>
          <w:i/>
          <w:color w:val="000000"/>
          <w:sz w:val="20"/>
        </w:rPr>
        <w:t>Sabrina Kay</w:t>
      </w:r>
      <w:r>
        <w:rPr>
          <w:rFonts w:ascii="Times New Roman" w:hAnsi="Times New Roman"/>
          <w:color w:val="000000"/>
          <w:sz w:val="20"/>
        </w:rPr>
        <w:t xml:space="preserve"> has been a member of our Board of Directors since December 2020. Currently, Dr. Kay serves as Founder and CEO of Fremont Private Investments, where she has led the operations and exits of several companies including The Art Institute of Hollywood (sold to Education Management Corp.), Premier Business Bank (sold to First Foundation Inc.), Fashion Umbrella, Fremont College, and Dale Carnegie of Los Angeles. Dr. Kay currently serves on the boards of East West Bank (NASDAQ: EWBC) and Hagerty (NYSE:HGTY). She is also a philanthropist, having served on more than 30 charitable and civic boards, including the Los Angeles Sports and Entertainment Commission, Petersen Automotive Museum, Portal Schools, the Leadership Council of International Medical Corps Leadership Council, the Board of Leaders of USC Marshall School and After-School All-Stars Los Angeles, which she chairs. Dr. Kay received Ed.D. and M.Sc. degrees in education from the University of Pennsylvania. She also holds an MBA from the University of Southern California. </w:t>
      </w:r>
    </w:p>
    <w:p>
      <w:pPr>
        <w:pStyle w:val="TextBody"/>
        <w:bidi w:val="0"/>
        <w:spacing w:before="240" w:after="283"/>
        <w:jc w:val="left"/>
        <w:rPr>
          <w:rFonts w:ascii="Times New Roman" w:hAnsi="Times New Roman"/>
          <w:sz w:val="20"/>
        </w:rPr>
      </w:pPr>
      <w:r>
        <w:rPr>
          <w:rFonts w:ascii="Times New Roman" w:hAnsi="Times New Roman"/>
          <w:i/>
          <w:color w:val="000000"/>
          <w:sz w:val="20"/>
        </w:rPr>
        <w:t>Kent Kresa</w:t>
      </w:r>
      <w:r>
        <w:rPr>
          <w:rFonts w:ascii="Times New Roman" w:hAnsi="Times New Roman"/>
          <w:color w:val="000000"/>
          <w:sz w:val="20"/>
        </w:rPr>
        <w:t xml:space="preserve"> has been a member of our Board of Directors since June 2004 and served as Chairman of the Board from February 2017 until December 2020. From November 2011 until his appointment as our Chairman, Mr. Kresa served on our Board of Directors as our lead independent director. Mr. Kresa is Chairman Emeritus of Northrop Grumman Corporation, a defense company and from September 1990 until October 2003, he was also its Chairman. He also served as Chief Executive Officer of Northrop Grumman Corporation from January 1990 until March 2003 and as its President from 1987 until September 2001. From 2003 to August 2010, Mr. Kresa served as a director of General Motors Company (or its predecessor). Mr. Kresa has also served on the boards of Fluor Corporation and Avery Dennison Corporation. Mr. Kresa has been a member of the Caltech Board of Trustees since 1994 and also serves on the boards of several non-profit organizations. As a graduate of Massachusetts Institute of Technology, he received a B.S. in 1959, an M.S. in 1961, and an E.A.A. in 1966, all in aeronautics and astronautics. </w:t>
      </w:r>
    </w:p>
    <w:p>
      <w:pPr>
        <w:pStyle w:val="TextBody"/>
        <w:bidi w:val="0"/>
        <w:spacing w:before="240" w:after="283"/>
        <w:jc w:val="left"/>
        <w:rPr>
          <w:rFonts w:ascii="Times New Roman" w:hAnsi="Times New Roman"/>
          <w:sz w:val="20"/>
        </w:rPr>
      </w:pPr>
      <w:r>
        <w:rPr>
          <w:rFonts w:ascii="Times New Roman" w:hAnsi="Times New Roman"/>
          <w:i/>
          <w:color w:val="000000"/>
          <w:sz w:val="20"/>
        </w:rPr>
        <w:t>Christine Mundkur</w:t>
      </w:r>
      <w:r>
        <w:rPr>
          <w:rFonts w:ascii="Times New Roman" w:hAnsi="Times New Roman"/>
          <w:color w:val="000000"/>
          <w:sz w:val="20"/>
        </w:rPr>
        <w:t xml:space="preserve"> has been one of our directors since November 2018. Ms. Mundkur most recently served as Chief Executive Officer and non-voting Chairman of the Board of Directors for Impopharma Inc., a developer of complex formulations focused on inhaled pharmaceutical products, from February 2013 to February 2017. While at Impopharma, Ms. Mundkur led the transition of the company from a successful clinical research organization into a generic pharmaceutical inhalation development company. Her work included the internal 8 development and filing of Abbreviated New Drug Applications for spray and inhalation products. Ms. Mundkur also previously served as President and Chief Executive Officer of the U.S. Division and Head of Commercial Operations for North America for Sandoz, Inc. from January 2009 to April 2010. She served as Chief Executive Officer of Barr Laboratories, Inc. from April 2008 to December 2008, where she started her career as quality and regulatory counsel in 1993. In addition, Ms. Mundkur has served as a strategic consultant advising several clients on global pharmaceutical business strategies. Ms. Mundkur currently serves on the board of directors of Cardinal Health and served on the board of directors of Lupin Limited from April 2019 through December 2022. Ms. Mundkur holds a J.D. from the St. Louis University School of Law and received her B.S. degree in chemistry from St. Louis University. </w:t>
      </w:r>
    </w:p>
    <w:p>
      <w:pPr>
        <w:pStyle w:val="TextBody"/>
        <w:bidi w:val="0"/>
        <w:spacing w:before="240" w:after="283"/>
        <w:jc w:val="left"/>
        <w:rPr>
          <w:rFonts w:ascii="Times New Roman" w:hAnsi="Times New Roman"/>
          <w:sz w:val="20"/>
        </w:rPr>
      </w:pPr>
      <w:r>
        <w:rPr>
          <w:rFonts w:ascii="Times New Roman" w:hAnsi="Times New Roman"/>
          <w:color w:val="000000"/>
          <w:sz w:val="20"/>
        </w:rPr>
        <w:t>We have adopted a Code of Business Conduct and Ethics Policy that applies to our directors and employees, including our principal executive officer, principal financial officer, principal accounting officer or controller, and have posted the text of the policy on our website (</w:t>
      </w:r>
      <w:r>
        <w:rPr>
          <w:rFonts w:ascii="Times New Roman" w:hAnsi="Times New Roman"/>
          <w:i/>
          <w:color w:val="000000"/>
          <w:sz w:val="20"/>
        </w:rPr>
        <w:t>www.mannkindcorp.com</w:t>
      </w:r>
      <w:r>
        <w:rPr>
          <w:rFonts w:ascii="Times New Roman" w:hAnsi="Times New Roman"/>
          <w:color w:val="000000"/>
          <w:sz w:val="20"/>
        </w:rPr>
        <w:t>) in connection with “Corporate Governance”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0" w:name="item_11_executive_compensation"/>
      <w:bookmarkEnd w:id="20"/>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i/>
          <w:color w:val="000000"/>
          <w:sz w:val="20"/>
        </w:rPr>
        <w:t>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under the caption “Executive Compensation,” “Compensation of Directors” and “Compensation Committee Report” in the Proxy Statement, and is incorporated herein by reference.</w:t>
      </w:r>
    </w:p>
    <w:p>
      <w:pPr>
        <w:pStyle w:val="TextBody"/>
        <w:bidi w:val="0"/>
        <w:spacing w:before="360" w:after="283"/>
        <w:jc w:val="left"/>
        <w:rPr>
          <w:rFonts w:ascii="Times New Roman" w:hAnsi="Times New Roman"/>
          <w:sz w:val="20"/>
        </w:rPr>
      </w:pPr>
      <w:bookmarkStart w:id="21" w:name="item_12_security_ownership_certain_benef"/>
      <w:bookmarkEnd w:id="21"/>
      <w:r>
        <w:rPr>
          <w:rFonts w:ascii="Times New Roman" w:hAnsi="Times New Roman"/>
          <w:b/>
          <w:color w:val="000000"/>
          <w:sz w:val="20"/>
        </w:rPr>
        <w:t>Item 12.</w:t>
      </w:r>
      <w:r>
        <w:rPr>
          <w:rFonts w:ascii="Times New Roman" w:hAnsi="Times New Roman"/>
          <w:color w:val="000000"/>
          <w:sz w:val="20"/>
        </w:rPr>
        <w:t xml:space="preserve"> </w:t>
      </w:r>
      <w:r>
        <w:rPr>
          <w:rFonts w:ascii="Times New Roman" w:hAnsi="Times New Roman"/>
          <w:b/>
          <w:i/>
          <w:color w:val="000000"/>
          <w:sz w:val="20"/>
        </w:rPr>
        <w:t>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pStyle w:val="TextBody"/>
        <w:bidi w:val="0"/>
        <w:spacing w:before="360" w:after="283"/>
        <w:jc w:val="left"/>
        <w:rPr>
          <w:rFonts w:ascii="Times New Roman" w:hAnsi="Times New Roman"/>
          <w:sz w:val="20"/>
        </w:rPr>
      </w:pPr>
      <w:bookmarkStart w:id="22" w:name="item_13_certain_relationships_related_tr"/>
      <w:bookmarkEnd w:id="22"/>
      <w:r>
        <w:rPr>
          <w:rFonts w:ascii="Times New Roman" w:hAnsi="Times New Roman"/>
          <w:b/>
          <w:color w:val="000000"/>
          <w:sz w:val="20"/>
        </w:rPr>
        <w:t>Item 13.</w:t>
      </w:r>
      <w:r>
        <w:rPr>
          <w:rFonts w:ascii="Times New Roman" w:hAnsi="Times New Roman"/>
          <w:color w:val="000000"/>
          <w:sz w:val="20"/>
        </w:rPr>
        <w:t xml:space="preserve"> </w:t>
      </w:r>
      <w:r>
        <w:rPr>
          <w:rFonts w:ascii="Times New Roman" w:hAnsi="Times New Roman"/>
          <w:b/>
          <w:i/>
          <w:color w:val="000000"/>
          <w:sz w:val="20"/>
        </w:rPr>
        <w:t>Certain Relationships and Related</w:t>
      </w:r>
      <w:r>
        <w:rPr>
          <w:rFonts w:ascii="Times New Roman" w:hAnsi="Times New Roman"/>
          <w:color w:val="000000"/>
          <w:sz w:val="20"/>
        </w:rPr>
        <w:t xml:space="preserve"> </w:t>
      </w:r>
      <w:r>
        <w:rPr>
          <w:rFonts w:ascii="Times New Roman" w:hAnsi="Times New Roman"/>
          <w:b/>
          <w:i/>
          <w:color w:val="000000"/>
          <w:sz w:val="20"/>
        </w:rPr>
        <w:t>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under the captions “Corporate Governance Principles and Board and Committee Matters” and “Related Party Transactions, Policy and Procedures” in the Proxy Statement, and is incorporated herein by reference.</w:t>
      </w:r>
    </w:p>
    <w:p>
      <w:pPr>
        <w:pStyle w:val="TextBody"/>
        <w:bidi w:val="0"/>
        <w:spacing w:before="360" w:after="283"/>
        <w:jc w:val="left"/>
        <w:rPr>
          <w:rFonts w:ascii="Times New Roman" w:hAnsi="Times New Roman"/>
          <w:sz w:val="20"/>
        </w:rPr>
      </w:pPr>
      <w:bookmarkStart w:id="23" w:name="item_14_principal_accounting_fees_servic"/>
      <w:bookmarkEnd w:id="23"/>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i/>
          <w:color w:val="000000"/>
          <w:sz w:val="20"/>
        </w:rPr>
        <w:t>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under the captions “Principal Accounting Fees and Services” and “Pre-Approval Policies and Procedures” in the Proxy Statement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part_iv"/>
      <w:bookmarkEnd w:id="2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sz w:val="20"/>
        </w:rPr>
      </w:pPr>
      <w:bookmarkStart w:id="25" w:name="item_15_exhibits_financial_statement_sch"/>
      <w:bookmarkEnd w:id="25"/>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i/>
          <w:color w:val="000000"/>
          <w:sz w:val="20"/>
        </w:rPr>
        <w:t>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or incorporated by reference into,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63:</w:t>
      </w:r>
    </w:p>
    <w:p>
      <w:pPr>
        <w:pStyle w:val="TextBody"/>
        <w:bidi w:val="0"/>
        <w:jc w:val="left"/>
        <w:rPr/>
      </w:pPr>
      <w:r>
        <w:rPr/>
        <w:t> </w:t>
      </w:r>
    </w:p>
    <w:tbl>
      <w:tblPr>
        <w:tblW w:w="7003" w:type="dxa"/>
        <w:jc w:val="left"/>
        <w:tblInd w:w="0" w:type="dxa"/>
        <w:tblLayout w:type="fixed"/>
        <w:tblCellMar>
          <w:top w:w="28" w:type="dxa"/>
          <w:left w:w="28" w:type="dxa"/>
          <w:bottom w:w="28" w:type="dxa"/>
          <w:right w:w="28" w:type="dxa"/>
        </w:tblCellMar>
      </w:tblPr>
      <w:tblGrid>
        <w:gridCol w:w="6496"/>
        <w:gridCol w:w="146"/>
        <w:gridCol w:w="36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496"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No. 34)</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6496"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6496"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6496" w:type="dxa"/>
            <w:tcBorders/>
            <w:vAlign w:val="center"/>
          </w:tcPr>
          <w:p>
            <w:pPr>
              <w:pStyle w:val="TableContents"/>
              <w:bidi w:val="0"/>
              <w:spacing w:before="0" w:after="283"/>
              <w:jc w:val="left"/>
              <w:rPr/>
            </w:pPr>
            <w:hyperlink w:anchor="consolidated_statements_stockholders_def">
              <w:r>
                <w:rPr>
                  <w:rStyle w:val="InternetLink"/>
                  <w:rFonts w:ascii="Times New Roman" w:hAnsi="Times New Roman"/>
                  <w:color w:val="0000FF"/>
                  <w:sz w:val="20"/>
                  <w:u w:val="single"/>
                </w:rPr>
                <w:t>Consolidated Statements of Stockholders’ Deficit</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6496" w:type="dxa"/>
            <w:tcBorders/>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6496"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The exhibits listed under Item 15(b) hereof are filed or furnished with, or incorporated by reference into, this Annual Report on Form 10-K. Each management contract or compensatory plan or arrangement is identified separately in Item 15(b)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The following exhibits are filed or furnished as part of, or incorporated by reference into,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Purchase Agreement, dated December 7, 2020 by and among the Company, the Acquired Company, the Sellers and the Securityholders’ Representative (incorporated by reference to Exhibit 2.1 to MannKind’s Current Report on Form 8-K (File No. 000-50865), filed with the SEC on December 7, 2020).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Incorporation (incorporated by reference to Exhibit 3.1 to MannKind’s Quarterly Report on Form 10-Q (File No. 000-50865), filed with the SEC on August 9, 2016).</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March 2, 2017).</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December 13, 2017).</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27, 2020).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30, 2023).</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 (incorporated by reference to Exhibit 3.2 to MannKind’s Current Report on Form 8-K (File No. 000-50865), filed with the SEC on May 27, 2020).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10">
              <w:r>
                <w:rPr>
                  <w:rStyle w:val="InternetLink"/>
                  <w:rFonts w:ascii="Times New Roman" w:hAnsi="Times New Roman"/>
                  <w:color w:val="0000FF"/>
                  <w:sz w:val="20"/>
                  <w:u w:val="single"/>
                </w:rPr>
                <w:t>3.1</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3.2</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3.3</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3.4</w:t>
              </w:r>
            </w:hyperlink>
            <w:r>
              <w:rPr>
                <w:rFonts w:ascii="Times New Roman" w:hAnsi="Times New Roman"/>
                <w:color w:val="000000"/>
                <w:sz w:val="20"/>
              </w:rPr>
              <w:t xml:space="preserve"> , </w:t>
            </w:r>
            <w:hyperlink r:id="rId14">
              <w:r>
                <w:rPr>
                  <w:rStyle w:val="InternetLink"/>
                  <w:rFonts w:ascii="Times New Roman" w:hAnsi="Times New Roman"/>
                  <w:color w:val="0000FF"/>
                  <w:sz w:val="20"/>
                  <w:u w:val="single"/>
                </w:rPr>
                <w:t>3.5 and 3.6</w:t>
              </w:r>
            </w:hyperlink>
            <w:r>
              <w:rPr>
                <w:rFonts w:ascii="Times New Roman" w:hAnsi="Times New Roman"/>
                <w:color w:val="000000"/>
                <w:sz w:val="20"/>
              </w:rPr>
              <w: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common stock certificate (incorporated by reference to Exhibit 4.2 to MannKind’s Annual Report on Form 10-K (File No. 000-50865), filed with the SEC on March 16, 2017).</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mnkd-ex4_3.htm">
              <w:r>
                <w:rPr>
                  <w:rStyle w:val="InternetLink"/>
                  <w:rFonts w:ascii="Times New Roman" w:hAnsi="Times New Roman"/>
                  <w:color w:val="0000FF"/>
                  <w:sz w:val="20"/>
                  <w:u w:val="single"/>
                </w:rPr>
                <w:t>Description of Common Stock.</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Milestone Rights Purchase Agreement, dated as of July 1, 2013, by and among MannKind, Deerfield Private Design Fund II, L.P. and Horizon Santé FLML SÁRL (incorporated by reference to Exhibit 99.3 to MannKind’s Current Report on Form 8-K (File No. 000-50865), filed with the SEC on July 1, 2013).</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Warrant to Purchase Stock issued to MidCap Financial Trust on August 6, 2019 (incorporated by reference to Exhibit 4.1 to MannKind’s Current Report on Form 8-K (File No. 000-50865), filed with the SEC on August 7, 2019).</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4.6</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Convertible Promissory Note made by MannKind Corporation in favor of The Mann Group LLC, dated August 6, 2019 (incorporated by reference to Exhibit 4.6 to MannKind’s Current Report on Form 8-K (File No. 000-50865), filed with the SEC on August 7, 2019).</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4.7</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No. 1 to Convertible Promissory Note, dated April 22, 2021, by and between MannKind Corporation and The Mann Group LLC (incorporated by reference to Exhibit 99.2 to MannKind’s Current Report on Form 8-K (File No. 000-50865), filed with the SEC on April 26, 2021).</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4.8</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Indenture, dated as of March 4, 2021, by and between MannKind Corporation and U.S. Bank National Association, as Trustee (incorporated by reference to Exhibit 4.1 to MannKind’s Current Report on Form 8-K (File No. 000-50865), filed with the SEC on March 5, 2021).</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4.9</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"https://www.sec.gov/Archives/edgar/data/899460/000119312521070265/d45565dex41.htm" \l "exa"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Global Note, representing MannKind Corporation’s 2.50% Convertible Senior Notes due 2026 (included as Exhibit A to the Indenture filed as Exhibit 4.15) (incorporated by reference to Exhibit 4.2 to MannKind’s Current Report on Form 8-K (File No. 000-50865), filed with the SEC on March 5, 2021).</w:t>
            </w:r>
            <w:r>
              <w:rPr>
                <w:rStyle w:val="InternetLink"/>
                <w:sz w:val="20"/>
                <w:u w:val="single"/>
                <w:rFonts w:ascii="Times New Roman" w:hAnsi="Times New Roman"/>
                <w:color w:val="0000FF"/>
              </w:rPr>
              <w:fldChar w:fldCharType="end"/>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Offer Letter Agreement, dated July 12, 2017, by and between MannKind and Steven B. Binder (incorporated by reference to Exhibit 99.1 to MannKind’s Current Report on Form 8-K (File No. 000-50865), filed with the SEC on July 17, 2017).</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Offer Letter, dated March 9, 2016, by and between MannKind and Michael E. Castagna (incorporated by reference to Exhibit 10.38 to MannKind’s Annual Report on Form 10-K (File No. 000-50865), filed with the SEC on March 15, 2016).</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Offer Letter, dated December 22, 2016, by and between MannKind and Stuart Tross (incorporated by reference to Exhibit 10.36 to MannKind’s Annual Report on Form 10-K (File No. 000-50865), filed with the SEC on March 16, 2017).</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mnkd-ex10_4.htm">
              <w:r>
                <w:rPr>
                  <w:rStyle w:val="InternetLink"/>
                  <w:rFonts w:ascii="Times New Roman" w:hAnsi="Times New Roman"/>
                  <w:color w:val="0000FF"/>
                  <w:sz w:val="20"/>
                  <w:u w:val="single"/>
                </w:rPr>
                <w:t>Offer Letter, dated May 16, 2023, by and between MannKind Corporation and Sanjay Singh.</w:t>
              </w:r>
            </w:hyperlink>
            <w:r>
              <w:rPr>
                <w:rFonts w:ascii="Times New Roman" w:hAnsi="Times New Roman"/>
                <w:color w:val="000000"/>
                <w:sz w:val="20"/>
              </w:rPr>
              <w:t xml:space="preserve"> </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Offer Letter, dated March 21, 2023, by and between MannKind Corporation and Lauren M. Sabella (incorporated by reference to Exhibit 10.1 to MannKind’s Current Report on Form 8-K (File No. 000-50865), filed with the SEC on March 27, 2023).</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mnkd-ex10_6.htm">
              <w:r>
                <w:rPr>
                  <w:rStyle w:val="InternetLink"/>
                  <w:rFonts w:ascii="Times New Roman" w:hAnsi="Times New Roman"/>
                  <w:color w:val="0000FF"/>
                  <w:sz w:val="20"/>
                  <w:u w:val="single"/>
                </w:rPr>
                <w:t>Offer Letter, dated September 19, 2022, by and between MannKind Corporation and Burkhard Blank.</w:t>
              </w:r>
            </w:hyperlink>
            <w:r>
              <w:rPr>
                <w:rFonts w:ascii="Times New Roman" w:hAnsi="Times New Roman"/>
                <w:color w:val="000000"/>
                <w:sz w:val="20"/>
              </w:rPr>
              <w:t xml:space="preserve"> </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Executive Severance Agreement, dated October 10, 2007, between MannKind and David Thomson (incorporated by reference to Exhibit 99.1 to MannKind’s Current Report on Form 8-K (File No. 000-50865), as amended, filed with the SEC on October 17, 2007).</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Indemnity Agreement entered into between MannKind and each of its directors and officers (incorporated by reference to Exhibit 10.1 to MannKind’s Registration Statement on Form S-1 (File No. 333-115020), filed with the SEC on April 30, 2004, as amended).</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Change of Control Agreement (incorporated by reference to Exhibit 99.1 to MannKind’s Current Report on Form 8-K (File No. 000-50865), filed with the SEC on April 7, 2017).</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Non-Employee Director Compensation Program (incorporated by reference to Exhibit 10.15 to MannKind’s Annual Report on Form 10-K (File No. 000-50865), filed with the SEC on February 26, 2019).</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MannKind Corporation 2013 Equity Incentive Plan, as amended (incorporated by reference to Exhibit 10.1 to MannKind’s Quarterly Report on Form 10-Q (File No. 000-50865), filed with the SEC on August 9, 2016).</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Stock Option Grant Notice, Stock Option Agreement and Notice of Exercise under the MannKind 2013 Equity Incentive Plan (incorporated by reference to Exhibit 99.2 to MannKind’s registration statement on Form S-8(File No. 000-188790), filed with the SEC on May 23, 2013).</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Restricted Stock Unit Grant Notice and Restricted Stock Unit Award Agreement under the MannKind 2013 Equity Incentive Plan (incorporated by reference to Exhibit 99.3 to MannKind’s registration statement on Form S-8 (File No. 000-188790), filed with the SEC on May 23, 2013).</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MannKind Corporation 2018 Equity Incentive Plan, as amended (incorporated by reference to Exhibit 99.1 to MannKind’s registration statement on Form S-8 (File No. 333-274176), filed with the SEC on August 23, 2023).</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Stock Option Grant Notice, Stock Option Agreement and Notice of Exercise under the MannKind 2018 Equity Incentive Plan (incorporated by reference to Exhibit 99.2 to MannKind’s registration statement on Form S-8 (File No. 333-226648), filed with the SEC on August 7, 2018).</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93" w:type="dxa"/>
            <w:tcBorders/>
            <w:shd w:fill="FFFFFF" w:val="clear"/>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Restricted Stock Unit Grant Notice and Restricted Stock Unit Award Agreement under the MannKind 2018 Equity Incentive Plan (incorporated by reference to Exhibit 99.3 to MannKind’s registration statement on Form S-8 (File No. 333-226648), filed with the SEC on August 7, 2018).</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MannKind Corporation 2004 Employee Stock Purchase Plan, as amended (incorporated by reference to Exhibit 99.2 to MannKind’s registration statement on Form S-8 (File No. 333-274176), filed with the SEC on August 23, 2023).</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36">
              <w:r>
                <w:rPr>
                  <w:rStyle w:val="InternetLink"/>
                  <w:rFonts w:ascii="Times New Roman" w:hAnsi="Times New Roman"/>
                  <w:color w:val="0000FF"/>
                  <w:sz w:val="20"/>
                  <w:u w:val="single"/>
                </w:rPr>
                <w:t>MannKind Corporation Market Price Stock Purchase Plan (incorporated by reference to Exhibit 99.1 to MannKind’s registration statement Form S-8 (File No. 333-225428), filed with the SEC on June 5, 2018).</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37">
              <w:r>
                <w:rPr>
                  <w:rStyle w:val="InternetLink"/>
                  <w:rFonts w:ascii="Times New Roman" w:hAnsi="Times New Roman"/>
                  <w:color w:val="0000FF"/>
                  <w:sz w:val="20"/>
                  <w:u w:val="single"/>
                </w:rPr>
                <w:t>Supply Agreement, dated as of July 31, 2014, by and between MannKind and Amphastar France Pharmaceuticals S.A.S. (incorporated by reference to Exhibit 10.23 to MannKind’s Annual Report on Form 10-K (File No. 000-50865), filed with the SEC on February 25, 2021)</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38">
              <w:r>
                <w:rPr>
                  <w:rStyle w:val="InternetLink"/>
                  <w:rFonts w:ascii="Times New Roman" w:hAnsi="Times New Roman"/>
                  <w:color w:val="0000FF"/>
                  <w:sz w:val="20"/>
                  <w:u w:val="single"/>
                </w:rPr>
                <w:t>First Amendment to Supply Agreement, dated October 31, 2014, by and between MannKind and Amphastar France Pharmaceuticals, S.A.S. and Amphastar Pharmaceuticals, Inc. (incorporated by reference to Exhibit 10.32 to MannKind’s Annual Report on Form 10-K (File No. 000-50865), filed with the SEC on March 16, 2017).</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Second Amendment to Supply Agreement, dated November 9, 2016, by and between MannKind and Amphastar Pharmaceuticals, Inc. (incorporated by reference to Exhibit 10.33 to MannKind’s Annual Report on Form 10-K (File No. 000-50865), filed with the SEC on March 16, 2017).</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Third Amendment to Supply Agreement, dated April 11, 2018, by and between MannKind and Amphastar Pharmaceuticals, Inc. (incorporated by reference to Exhibit 10.8 to MannKind’s Quarterly Report on Form 10-Q (File No. 000-50865), filed with the SEC on May 9, 2018).</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Fourth Amendment to Supply Agreement, dated December 24, 2018, by and between MannKind and Amphastar Pharmaceuticals, Inc. (incorporated by reference to Exhibit 10.50 to MannKind’s Annual Report on Form 10-K (File No. 000-50865), filed with the SEC on February 26, 2019).</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Fifth Amendment to Supply Agreement, dated August 2, 2019, by and between MannKind Corporation and Amphastar Pharmaceuticals, Inc. (incorporated by reference to Exhibit 99.5 to MannKind’s Current Report on Form 8-K (File No. 000-50865), filed with the SEC on August 7, 2019).</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Sixth Amendment to Supply Agreement, dated May 24, 2021, by and between MannKind Corporation and Amphastar Pharmaceuticals, Inc. (incorporated by reference to Exhibit 99.1 to MannKind’s Current Report on Form 8-K (File No. 000-50865), filed with the SEC on May 25, 2021).</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Seventh Amendment to Supply Agreement, dated December 22, 2023, by and between MannKind Corporation and Amphastar Pharmaceuticals, Inc. (incorporated by reference to Exhibit 99.1 to MannKind’s Current Report on Form 8-K (File No. 000-50865), filed with the SEC on December 27, 2023).</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45">
              <w:r>
                <w:rPr>
                  <w:rStyle w:val="InternetLink"/>
                  <w:rFonts w:ascii="Times New Roman" w:hAnsi="Times New Roman"/>
                  <w:color w:val="0000FF"/>
                  <w:sz w:val="20"/>
                  <w:u w:val="single"/>
                </w:rPr>
                <w:t>Sublease Agreement, dated May 1, 2015, by and between MannKind and the Alfred Mann Foundation for Scientific Research (incorporated by reference to Exhibit 10.37 to MannKind’s Annual Report on Form 10-K (File No. 000-50865), filed with the SEC on March 15, 2016).</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Office Lease, dated May 5 2017, by and between MannKind and Russell Ranch Road II LLC. (incorporated by reference to Exhibit 10.3 to MannKind’s Quarterly Report on Form 10-Q (file No. 000-50865), filed with the SEC on August 7, 2017).</w:t>
              </w:r>
            </w:hyperlink>
            <w:hyperlink r:id="rId47">
              <w:r>
                <w:rPr>
                  <w:rStyle w:val="InternetLink"/>
                  <w:rFonts w:ascii="Times New Roman" w:hAnsi="Times New Roman"/>
                  <w:color w:val="0000FF"/>
                  <w:sz w:val="20"/>
                </w:rPr>
                <w:t xml:space="preserve"> </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w:anchor="mnkd-ex10_29.htm">
              <w:r>
                <w:rPr>
                  <w:rStyle w:val="InternetLink"/>
                  <w:rFonts w:ascii="Times New Roman" w:hAnsi="Times New Roman"/>
                  <w:color w:val="0000FF"/>
                  <w:sz w:val="20"/>
                  <w:u w:val="single"/>
                </w:rPr>
                <w:t>License and Collaboration Agreement, dated September 3, 2018 by and between MannKind and United Therapeutics.</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Research Agreement, dated September 3, 2018 by and between MannKind and United Therapeutics Corporation (incorporated by reference to Exhibit 10.9 to MannKind’s Quarterly Report on Form 10-Q (file No. 000-50865), filed with the SEC on November 1, 2018).</w:t>
              </w:r>
            </w:hyperlink>
          </w:p>
        </w:tc>
      </w:tr>
      <w:tr>
        <w:trPr/>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9299"/>
      </w:tblGrid>
      <w:tr>
        <w:trPr/>
        <w:tc>
          <w:tcPr>
            <w:tcW w:w="7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99" w:type="dxa"/>
            <w:tcBorders/>
            <w:shd w:fill="FFFFFF" w:val="clear"/>
            <w:vAlign w:val="center"/>
          </w:tcPr>
          <w:p>
            <w:pPr>
              <w:pStyle w:val="TableContents"/>
              <w:bidi w:val="0"/>
              <w:spacing w:before="0" w:after="283"/>
              <w:jc w:val="left"/>
              <w:rPr>
                <w:sz w:val="4"/>
                <w:szCs w:val="4"/>
              </w:rPr>
            </w:pPr>
            <w:r>
              <w:rPr>
                <w:sz w:val="4"/>
                <w:szCs w:val="4"/>
              </w:rPr>
            </w:r>
          </w:p>
        </w:tc>
      </w:tr>
      <w:tr>
        <w:trPr/>
        <w:tc>
          <w:tcPr>
            <w:tcW w:w="760"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49">
              <w:r>
                <w:rPr>
                  <w:rStyle w:val="InternetLink"/>
                  <w:rFonts w:ascii="Times New Roman" w:hAnsi="Times New Roman"/>
                  <w:color w:val="0000FF"/>
                  <w:sz w:val="20"/>
                  <w:u w:val="single"/>
                </w:rPr>
                <w:t>Credit and Security Agreement, dated August 6, 2019, by and among MannKind Corporation, MannKind LLC, the lenders party thereto from time to time and MidCap Financial Trust, as agent (incorporated by reference to Exhibit 99.1 to MannKind’s Current Report on Form 8-K (File No. 000-50865), filed with the SEC on August 7, 2019).</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Amendment No. 1 to Credit and Security Agreement, dated December 18, 2019, by and among MannKind Corporation, MannKind LLC, the lenders party thereto from time to time and MidCap Financial Trust, as agent (incorporated by reference to Exhibit 99.1 to MannKind’s Current Report on Form 8-K (File No. 000-50865), filed with the SEC on December 18, 2019).</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1">
              <w:r>
                <w:rPr>
                  <w:rStyle w:val="InternetLink"/>
                  <w:rFonts w:ascii="Times New Roman" w:hAnsi="Times New Roman"/>
                  <w:color w:val="0000FF"/>
                  <w:sz w:val="20"/>
                  <w:u w:val="single"/>
                </w:rPr>
                <w:t>Amendment No. 2 to Credit and Security Agreement, dated August 21, 2020, by and among MannKind Corporation, MannKind LLC and MidCap Financial Trust (incorporated by reference to Exhibit 99.1 to MannKind’s Current Report on Form 8-K (File No. 000-50865), filed with the SEC on August 25, 2020).</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2">
              <w:r>
                <w:rPr>
                  <w:rStyle w:val="InternetLink"/>
                  <w:rFonts w:ascii="Times New Roman" w:hAnsi="Times New Roman"/>
                  <w:color w:val="0000FF"/>
                  <w:sz w:val="20"/>
                  <w:u w:val="single"/>
                </w:rPr>
                <w:t>Amendment No. 3 to Credit and Security Agreement, dated November 30, 2020, by and among MannKind Corporation, MannKind LLC and MidCap Financial Trust (incorporated by reference to Exhibit 99.1 to MannKind’s Current Report on Form 8-K (File No. 000-50865), filed with the SEC on December 1, 2020).</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3">
              <w:r>
                <w:rPr>
                  <w:rStyle w:val="InternetLink"/>
                  <w:rFonts w:ascii="Times New Roman" w:hAnsi="Times New Roman"/>
                  <w:color w:val="0000FF"/>
                  <w:sz w:val="20"/>
                  <w:u w:val="single"/>
                </w:rPr>
                <w:t>Amendment No. 4 to Credit and Security Agreement, dated December 7, 2020 by and among the Company, MannKind LLC and MidCap Financial Trust (incorporated by reference to Exhibit 4.1 to MannKind’s Current Report on Form 8-K (File No. 000-50865), filed with the SEC on December 7, 2020).</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4">
              <w:r>
                <w:rPr>
                  <w:rStyle w:val="InternetLink"/>
                  <w:rFonts w:ascii="Times New Roman" w:hAnsi="Times New Roman"/>
                  <w:color w:val="0000FF"/>
                  <w:sz w:val="20"/>
                  <w:u w:val="single"/>
                </w:rPr>
                <w:t>Commercial Supply Agreement, dated August 12, 2021, by and between MannKind Corporation and United Therapeutics Corporation (incorporated by reference to Exhibit 10.1 to MannKind’s Quarterly Report on Form 10-Q (File No. 000-50865), filed with the SEC on November 9, 2021).</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5">
              <w:r>
                <w:rPr>
                  <w:rStyle w:val="InternetLink"/>
                  <w:rFonts w:ascii="Times New Roman" w:hAnsi="Times New Roman"/>
                  <w:color w:val="0000FF"/>
                  <w:sz w:val="20"/>
                  <w:u w:val="single"/>
                </w:rPr>
                <w:t>First Amendment to Commercial Supply Agreement, dated October 16, 2021, by and between MannKind Corporation and United Therapeutics Corporation (incorporated by reference to Exhibit 10.2 to MannKind’s Quarterly Report on Form 10-Q (File No. 000-50865), filed with the SEC on November 9, 2021).</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6">
              <w:r>
                <w:rPr>
                  <w:rStyle w:val="InternetLink"/>
                  <w:rFonts w:ascii="Times New Roman" w:hAnsi="Times New Roman"/>
                  <w:color w:val="0000FF"/>
                  <w:sz w:val="20"/>
                  <w:u w:val="single"/>
                </w:rPr>
                <w:t>Purchase and Sale Agreement, dated September 23, 2021, by and between MannKind Corporation and 1 Casper, LLC (incorporated by reference to Exhibit 10.3 to MannKind’s Quarterly Report on Form 10-Q (File No. 000-50865), filed with the SEC on November 9, 2021).</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7">
              <w:r>
                <w:rPr>
                  <w:rStyle w:val="InternetLink"/>
                  <w:rFonts w:ascii="Times New Roman" w:hAnsi="Times New Roman"/>
                  <w:color w:val="0000FF"/>
                  <w:sz w:val="20"/>
                  <w:u w:val="single"/>
                </w:rPr>
                <w:t>Purchase and Sale Agreement, dated December 27, 2023, by and between MannKind Corporation and Sagard Healthcare Funding Partners Borrower 2 SPE, LP (incorporated by reference to Exhibit 99.1 to MannKind’s Current Report on Form 8-K (File No. 000-50865), filed with the SEC on January 2, 2024).</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58">
              <w:r>
                <w:rPr>
                  <w:rStyle w:val="InternetLink"/>
                  <w:rFonts w:ascii="Times New Roman" w:hAnsi="Times New Roman"/>
                  <w:color w:val="0000FF"/>
                  <w:sz w:val="20"/>
                  <w:u w:val="single"/>
                </w:rPr>
                <w:t>Third Amendment to Office Lease, dated April 8, 2022, between MannKind Corporation and Russell Ranch Road II LLC (incorporated by reference to Exhibit 10.1 to MannKind’s Quarterly Report on Form 10-Q (File No. 000-50865), filed with the SEC on May 5, 2022).</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rFonts w:ascii="Times New Roman" w:hAnsi="Times New Roman"/>
                <w:color w:val="0000FF"/>
                <w:sz w:val="20"/>
                <w:u w:val="single"/>
              </w:rPr>
              <w:t>S</w:t>
            </w:r>
            <w:hyperlink r:id="rId59">
              <w:r>
                <w:rPr>
                  <w:rStyle w:val="InternetLink"/>
                  <w:rFonts w:ascii="Times New Roman" w:hAnsi="Times New Roman"/>
                  <w:color w:val="000080"/>
                  <w:sz w:val="20"/>
                  <w:u w:val="single"/>
                </w:rPr>
                <w:t>econd Amendment to Commercial Supply Agreement, dated June 15, 2022, by and between MannKind Corporation and United Therapeutics Corporation (incorporated by reference to Exhibit 10.49 to MannKind’s Annual Report on Form 10-K (File No. 000-50865), filed with the SEC on February 23, 2023).</w:t>
              </w:r>
            </w:hyperlink>
            <w:r>
              <w:rPr>
                <w:rFonts w:ascii="Times New Roman" w:hAnsi="Times New Roman"/>
                <w:color w:val="0000FF"/>
                <w:sz w:val="20"/>
              </w:rPr>
              <w:t xml:space="preserve"> </w:t>
            </w:r>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60">
              <w:r>
                <w:rPr>
                  <w:rStyle w:val="InternetLink"/>
                  <w:rFonts w:ascii="Times New Roman" w:hAnsi="Times New Roman"/>
                  <w:color w:val="0000FF"/>
                  <w:sz w:val="20"/>
                  <w:u w:val="single"/>
                </w:rPr>
                <w:t>Third Amendment to Commercial Supply Agreement, dated August 31, 2022, by and between MannKind Corporation and United Therapeutics Corporation (incorporated by reference to Exhibit 10.50 to MannKind’s Annual Report on Form 10-K (File No. 000-50865), filed with the SEC on February 23, 2023).</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61">
              <w:r>
                <w:rPr>
                  <w:rStyle w:val="InternetLink"/>
                  <w:rFonts w:ascii="Times New Roman" w:hAnsi="Times New Roman"/>
                  <w:color w:val="0000FF"/>
                  <w:sz w:val="20"/>
                  <w:u w:val="single"/>
                </w:rPr>
                <w:t>Fourth Amendment to Commercial Supply Agreement, dated December 22, 2022, by and between MannKind Corporation and United Therapeutics Corporation (incorporated by reference to Exhibit 10.51 to MannKind’s Annual Report on Form 10-K (File No. 000-50865), filed with the SEC on February 23, 2023).</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62">
              <w:r>
                <w:rPr>
                  <w:rStyle w:val="InternetLink"/>
                  <w:rFonts w:ascii="Times New Roman" w:hAnsi="Times New Roman"/>
                  <w:color w:val="0000FF"/>
                  <w:sz w:val="20"/>
                  <w:u w:val="single"/>
                </w:rPr>
                <w:t>Office Lease, dated May 10, 2017, by and between Valeritas, Inc. and RFP Lincoln 293 LLC (incorporated by reference to Exhibit 10.52 to MannKind’s Annual Report on Form 10-K (File No. 000-50865), filed with the SEC on February 23, 2023).</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r:id="rId63">
              <w:r>
                <w:rPr>
                  <w:rStyle w:val="InternetLink"/>
                  <w:rFonts w:ascii="Times New Roman" w:hAnsi="Times New Roman"/>
                  <w:color w:val="0000FF"/>
                  <w:sz w:val="20"/>
                  <w:u w:val="single"/>
                </w:rPr>
                <w:t>First Amendment to Office Lease, date February 11, 2019, by and between Valeritas, Inc. and BRP 293 Equity Partners, LLC (incorporated by reference to Exhibit 10.53 to MannKind’s Annual Report on Form 10-K (File No. 000-50865), filed with the SEC on February 23, 2023).</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hyperlink w:anchor="mnkd-ex23_1.htm">
              <w:r>
                <w:rPr>
                  <w:rStyle w:val="InternetLink"/>
                  <w:rFonts w:ascii="Times New Roman" w:hAnsi="Times New Roman"/>
                  <w:color w:val="0000FF"/>
                  <w:sz w:val="20"/>
                  <w:u w:val="single"/>
                </w:rPr>
                <w:t>Consent of Independent Registered Public Accounting Firm.</w:t>
              </w:r>
            </w:hyperlink>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mnkd-ex31_1.htm">
              <w:r>
                <w:rPr>
                  <w:rStyle w:val="InternetLink"/>
                  <w:rFonts w:ascii="Times New Roman" w:hAnsi="Times New Roman"/>
                  <w:color w:val="0000FF"/>
                  <w:sz w:val="20"/>
                  <w:u w:val="single"/>
                </w:rPr>
                <w:t>Certification of the Chief Executive Officer pursuant to Rules 13a-14(a) and 15d-14(a) of the Securities Exchange Act of 1934, as amended.</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mnkd-ex31_2.htm">
              <w:r>
                <w:rPr>
                  <w:rStyle w:val="InternetLink"/>
                  <w:rFonts w:ascii="Times New Roman" w:hAnsi="Times New Roman"/>
                  <w:color w:val="0000FF"/>
                  <w:sz w:val="20"/>
                  <w:u w:val="single"/>
                </w:rPr>
                <w:t>Certification of the Chief Financial Officer pursuant to Rules 13a-14(a) and 15d-14(a) of the Securities Exchange Act of 1934, as amended.</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mnkd-ex32_1.htm">
              <w:r>
                <w:rPr>
                  <w:rStyle w:val="InternetLink"/>
                  <w:rFonts w:ascii="Times New Roman" w:hAnsi="Times New Roman"/>
                  <w:color w:val="0000FF"/>
                  <w:sz w:val="20"/>
                  <w:u w:val="single"/>
                </w:rPr>
                <w:t>Certification of the Chief Executive Officer pursuant to Rules 13a-14(b) and 15d-14(b) of the Securities Exchange Act of 1934, as amended, and Section 1350 of Chapter 63 of Title 18 of the United States Code (18 U.S.C. §1350).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mnkd-ex32_2.htm">
              <w:r>
                <w:rPr>
                  <w:rStyle w:val="InternetLink"/>
                  <w:rFonts w:ascii="Times New Roman" w:hAnsi="Times New Roman"/>
                  <w:color w:val="0000FF"/>
                  <w:sz w:val="20"/>
                  <w:u w:val="single"/>
                </w:rPr>
                <w:t>Certification of the Chief Financial Officer pursuant to Rules 13a-14(b) and 15d-14(b) of the Securities Exchange Act of 1934, as amended, and Section 1350 of Chapter 63 of Title 18 of the United States Code (18 U.S.C. §1350).</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hyperlink w:anchor="mnkd-ex97.htm">
              <w:r>
                <w:rPr>
                  <w:rStyle w:val="InternetLink"/>
                  <w:rFonts w:ascii="Times New Roman" w:hAnsi="Times New Roman"/>
                  <w:color w:val="0000FF"/>
                  <w:sz w:val="20"/>
                  <w:u w:val="single"/>
                </w:rPr>
                <w:t>Dodd-Frank Clawback Policy.</w:t>
              </w:r>
            </w:hyperlink>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Interactive Data Files pursuant to Rule 405 of Regulation S-T.</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3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has been formatted in Inline XBRL.</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Confidential treatment has been granted with respect to certain portions of this exhibit. Omitted portions have been filed separately with the SEC.</w:t>
      </w:r>
    </w:p>
    <w:p>
      <w:pPr>
        <w:pStyle w:val="TextBody"/>
        <w:bidi w:val="0"/>
        <w:jc w:val="left"/>
        <w:rPr>
          <w:rFonts w:ascii="Times New Roman" w:hAnsi="Times New Roman"/>
          <w:color w:val="000000"/>
          <w:sz w:val="20"/>
        </w:rPr>
      </w:pPr>
      <w:r>
        <w:rPr>
          <w:rFonts w:ascii="Times New Roman" w:hAnsi="Times New Roman"/>
          <w:color w:val="000000"/>
          <w:sz w:val="20"/>
        </w:rPr>
        <w:t>*** Certain portions of this exhibit have been omitted pursuant to Item 601(b)(10)(iv) of Regulation S-K.</w:t>
      </w:r>
    </w:p>
    <w:p>
      <w:pPr>
        <w:pStyle w:val="TextBody"/>
        <w:bidi w:val="0"/>
        <w:jc w:val="left"/>
        <w:rPr>
          <w:rFonts w:ascii="Times New Roman" w:hAnsi="Times New Roman"/>
          <w:color w:val="000000"/>
          <w:sz w:val="20"/>
        </w:rPr>
      </w:pPr>
      <w:r>
        <w:rPr>
          <w:rFonts w:ascii="Times New Roman" w:hAnsi="Times New Roman"/>
          <w:color w:val="000000"/>
          <w:sz w:val="20"/>
        </w:rPr>
        <w:t xml:space="preserve"># Schedules have been omitted pursuant to Item 601(a)(5) of Regulation S-K. </w:t>
      </w:r>
    </w:p>
    <w:p>
      <w:pPr>
        <w:pStyle w:val="TextBody"/>
        <w:bidi w:val="0"/>
        <w:spacing w:before="160" w:after="283"/>
        <w:jc w:val="left"/>
        <w:rPr>
          <w:rFonts w:ascii="Times New Roman" w:hAnsi="Times New Roman"/>
          <w:sz w:val="20"/>
        </w:rPr>
      </w:pPr>
      <w:bookmarkStart w:id="26" w:name="item_16_form_10k_summary"/>
      <w:bookmarkEnd w:id="26"/>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i/>
          <w:color w:val="000000"/>
          <w:sz w:val="20"/>
        </w:rPr>
        <w:t>Form</w:t>
      </w:r>
      <w:r>
        <w:rPr>
          <w:rFonts w:ascii="Times New Roman" w:hAnsi="Times New Roman"/>
          <w:color w:val="000000"/>
          <w:sz w:val="20"/>
        </w:rPr>
        <w:t xml:space="preserve"> </w:t>
      </w:r>
      <w:r>
        <w:rPr>
          <w:rFonts w:ascii="Times New Roman" w:hAnsi="Times New Roman"/>
          <w:b/>
          <w:i/>
          <w:color w:val="000000"/>
          <w:sz w:val="20"/>
        </w:rPr>
        <w:t>10-K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2771" w:type="dxa"/>
        <w:jc w:val="left"/>
        <w:tblInd w:w="0" w:type="dxa"/>
        <w:tblLayout w:type="fixed"/>
        <w:tblCellMar>
          <w:top w:w="28" w:type="dxa"/>
          <w:left w:w="28" w:type="dxa"/>
          <w:bottom w:w="28" w:type="dxa"/>
          <w:right w:w="28" w:type="dxa"/>
        </w:tblCellMar>
      </w:tblPr>
      <w:tblGrid>
        <w:gridCol w:w="161"/>
        <w:gridCol w:w="409"/>
        <w:gridCol w:w="110"/>
        <w:gridCol w:w="2091"/>
      </w:tblGrid>
      <w:tr>
        <w:trPr/>
        <w:tc>
          <w:tcPr>
            <w:tcW w:w="1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610"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MANNKIND CORPORATION</w:t>
            </w:r>
          </w:p>
        </w:tc>
      </w:tr>
      <w:tr>
        <w:trPr/>
        <w:tc>
          <w:tcPr>
            <w:tcW w:w="161"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2201"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10" w:type="dxa"/>
            <w:tcBorders/>
            <w:vAlign w:val="center"/>
          </w:tcPr>
          <w:p>
            <w:pPr>
              <w:pStyle w:val="TableContents"/>
              <w:bidi w:val="0"/>
              <w:spacing w:before="0" w:after="283"/>
              <w:jc w:val="left"/>
              <w:rPr>
                <w:sz w:val="4"/>
                <w:szCs w:val="4"/>
              </w:rPr>
            </w:pPr>
            <w:r>
              <w:rPr>
                <w:sz w:val="4"/>
                <w:szCs w:val="4"/>
              </w:rPr>
            </w:r>
          </w:p>
        </w:tc>
        <w:tc>
          <w:tcPr>
            <w:tcW w:w="20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161"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161"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February 27, 2024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8890" w:type="dxa"/>
        <w:jc w:val="left"/>
        <w:tblInd w:w="0" w:type="dxa"/>
        <w:tblLayout w:type="fixed"/>
        <w:tblCellMar>
          <w:top w:w="28" w:type="dxa"/>
          <w:left w:w="28" w:type="dxa"/>
          <w:bottom w:w="28" w:type="dxa"/>
          <w:right w:w="28" w:type="dxa"/>
        </w:tblCellMar>
      </w:tblPr>
      <w:tblGrid>
        <w:gridCol w:w="3136"/>
        <w:gridCol w:w="146"/>
        <w:gridCol w:w="3826"/>
        <w:gridCol w:w="146"/>
        <w:gridCol w:w="163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1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313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r>
      <w:tr>
        <w:trPr/>
        <w:tc>
          <w:tcPr>
            <w:tcW w:w="3136" w:type="dxa"/>
            <w:tcBorders/>
            <w:vAlign w:val="center"/>
          </w:tcPr>
          <w:p>
            <w:pPr>
              <w:pStyle w:val="TableContents"/>
              <w:pBdr>
                <w:bottom w:val="single" w:sz="6" w:space="1" w:color="000000"/>
              </w:pBdr>
              <w:bidi w:val="0"/>
              <w:jc w:val="left"/>
              <w:rPr>
                <w:rFonts w:ascii="Times New Roman" w:hAnsi="Times New Roman"/>
                <w:color w:val="000000"/>
                <w:sz w:val="20"/>
              </w:rPr>
            </w:pPr>
            <w:r>
              <w:rPr>
                <w:rFonts w:ascii="Times New Roman" w:hAnsi="Times New Roman"/>
                <w:color w:val="000000"/>
                <w:sz w:val="20"/>
              </w:rPr>
              <w:t>/s/ Michael E. Castagna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r>
      <w:tr>
        <w:trPr/>
        <w:tc>
          <w:tcPr>
            <w:tcW w:w="3136" w:type="dxa"/>
            <w:tcBorders/>
            <w:vAlign w:val="center"/>
          </w:tcPr>
          <w:p>
            <w:pPr>
              <w:pStyle w:val="TableContents"/>
              <w:pBdr>
                <w:bottom w:val="single" w:sz="6" w:space="1" w:color="000000"/>
              </w:pBdr>
              <w:bidi w:val="0"/>
              <w:jc w:val="left"/>
              <w:rPr>
                <w:rFonts w:ascii="Times New Roman" w:hAnsi="Times New Roman"/>
                <w:color w:val="000000"/>
                <w:sz w:val="20"/>
              </w:rPr>
            </w:pPr>
            <w:r>
              <w:rPr>
                <w:rFonts w:ascii="Times New Roman" w:hAnsi="Times New Roman"/>
                <w:color w:val="000000"/>
                <w:sz w:val="20"/>
              </w:rPr>
              <w:t>/s/ Steven B. Binder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Binder</w:t>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r>
      <w:tr>
        <w:trPr/>
        <w:tc>
          <w:tcPr>
            <w:tcW w:w="3136" w:type="dxa"/>
            <w:tcBorders/>
            <w:vAlign w:val="center"/>
          </w:tcPr>
          <w:p>
            <w:pPr>
              <w:pStyle w:val="TableContents"/>
              <w:pBdr>
                <w:bottom w:val="single" w:sz="4" w:space="1" w:color="000000"/>
              </w:pBdr>
              <w:bidi w:val="0"/>
              <w:jc w:val="left"/>
              <w:rPr>
                <w:rFonts w:ascii="Times New Roman" w:hAnsi="Times New Roman"/>
                <w:color w:val="000000"/>
                <w:sz w:val="20"/>
              </w:rPr>
            </w:pPr>
            <w:r>
              <w:rPr>
                <w:rFonts w:ascii="Times New Roman" w:hAnsi="Times New Roman"/>
                <w:color w:val="000000"/>
                <w:sz w:val="20"/>
              </w:rPr>
              <w:t>/s/ James S. Shannon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S. Shannon, M.D., MRCP (UK)</w:t>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r>
      <w:tr>
        <w:trPr/>
        <w:tc>
          <w:tcPr>
            <w:tcW w:w="3136" w:type="dxa"/>
            <w:tcBorders/>
            <w:vAlign w:val="center"/>
          </w:tcPr>
          <w:p>
            <w:pPr>
              <w:pStyle w:val="TableContents"/>
              <w:pBdr>
                <w:bottom w:val="single" w:sz="6" w:space="1" w:color="000000"/>
              </w:pBdr>
              <w:bidi w:val="0"/>
              <w:jc w:val="left"/>
              <w:rPr>
                <w:rFonts w:ascii="Times New Roman" w:hAnsi="Times New Roman"/>
                <w:color w:val="000000"/>
                <w:sz w:val="20"/>
              </w:rPr>
            </w:pPr>
            <w:r>
              <w:rPr>
                <w:rFonts w:ascii="Times New Roman" w:hAnsi="Times New Roman"/>
                <w:color w:val="000000"/>
                <w:sz w:val="20"/>
              </w:rPr>
              <w:t>/s/ Ronald J. Consiglio</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Ronald J. Consiglio</w:t>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r>
      <w:tr>
        <w:trPr/>
        <w:tc>
          <w:tcPr>
            <w:tcW w:w="3136" w:type="dxa"/>
            <w:tcBorders/>
            <w:vAlign w:val="center"/>
          </w:tcPr>
          <w:p>
            <w:pPr>
              <w:pStyle w:val="TableContents"/>
              <w:pBdr>
                <w:bottom w:val="single" w:sz="6" w:space="1" w:color="000000"/>
              </w:pBdr>
              <w:bidi w:val="0"/>
              <w:jc w:val="left"/>
              <w:rPr>
                <w:rFonts w:ascii="Times New Roman" w:hAnsi="Times New Roman"/>
                <w:color w:val="000000"/>
                <w:sz w:val="20"/>
              </w:rPr>
            </w:pPr>
            <w:r>
              <w:rPr>
                <w:rFonts w:ascii="Times New Roman" w:hAnsi="Times New Roman"/>
                <w:color w:val="000000"/>
                <w:sz w:val="20"/>
              </w:rPr>
              <w:t>/s/ Michael Friedman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Friedman, M.D.</w:t>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r>
      <w:tr>
        <w:trPr/>
        <w:tc>
          <w:tcPr>
            <w:tcW w:w="3136" w:type="dxa"/>
            <w:tcBorders/>
            <w:vAlign w:val="center"/>
          </w:tcPr>
          <w:p>
            <w:pPr>
              <w:pStyle w:val="TableContents"/>
              <w:pBdr>
                <w:bottom w:val="single" w:sz="4" w:space="1" w:color="000000"/>
              </w:pBdr>
              <w:bidi w:val="0"/>
              <w:jc w:val="left"/>
              <w:rPr>
                <w:rFonts w:ascii="Times New Roman" w:hAnsi="Times New Roman"/>
                <w:color w:val="000000"/>
                <w:sz w:val="20"/>
              </w:rPr>
            </w:pPr>
            <w:r>
              <w:rPr>
                <w:rFonts w:ascii="Times New Roman" w:hAnsi="Times New Roman"/>
                <w:color w:val="000000"/>
                <w:sz w:val="20"/>
              </w:rPr>
              <w:t>/s/ Jennifer Grancio</w:t>
            </w:r>
          </w:p>
          <w:p>
            <w:pPr>
              <w:pStyle w:val="TableContents"/>
              <w:bidi w:val="0"/>
              <w:jc w:val="left"/>
              <w:rPr>
                <w:rFonts w:ascii="Times New Roman" w:hAnsi="Times New Roman"/>
                <w:color w:val="000000"/>
                <w:sz w:val="20"/>
              </w:rPr>
            </w:pPr>
            <w:r>
              <w:rPr>
                <w:rFonts w:ascii="Times New Roman" w:hAnsi="Times New Roman"/>
                <w:color w:val="000000"/>
                <w:sz w:val="20"/>
              </w:rPr>
              <w:t>Jennifer Grancio</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vAlign w:val="center"/>
          </w:tcPr>
          <w:p>
            <w:pPr>
              <w:pStyle w:val="TableContents"/>
              <w:pBdr>
                <w:bottom w:val="single" w:sz="6" w:space="1" w:color="000000"/>
              </w:pBdr>
              <w:bidi w:val="0"/>
              <w:jc w:val="left"/>
              <w:rPr>
                <w:rFonts w:ascii="Times New Roman" w:hAnsi="Times New Roman"/>
                <w:color w:val="000000"/>
                <w:sz w:val="20"/>
              </w:rPr>
            </w:pPr>
            <w:r>
              <w:rPr>
                <w:rFonts w:ascii="Times New Roman" w:hAnsi="Times New Roman"/>
                <w:color w:val="000000"/>
                <w:sz w:val="20"/>
              </w:rPr>
              <w:t>/s/ Anthony C. Hooper</w:t>
            </w:r>
          </w:p>
          <w:p>
            <w:pPr>
              <w:pStyle w:val="TableContents"/>
              <w:bidi w:val="0"/>
              <w:jc w:val="left"/>
              <w:rPr>
                <w:rFonts w:ascii="Times New Roman" w:hAnsi="Times New Roman"/>
                <w:color w:val="000000"/>
                <w:sz w:val="20"/>
              </w:rPr>
            </w:pPr>
            <w:r>
              <w:rPr>
                <w:rFonts w:ascii="Times New Roman" w:hAnsi="Times New Roman"/>
                <w:color w:val="000000"/>
                <w:sz w:val="20"/>
              </w:rPr>
              <w:t xml:space="preserve">Anthony C. Hooper </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Sabrina Kay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Sabrina Kay</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3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3136" w:type="dxa"/>
            <w:tcBorders/>
            <w:vAlign w:val="center"/>
          </w:tcPr>
          <w:p>
            <w:pPr>
              <w:pStyle w:val="TableContents"/>
              <w:pBdr>
                <w:bottom w:val="single" w:sz="6" w:space="1" w:color="000000"/>
              </w:pBdr>
              <w:bidi w:val="0"/>
              <w:jc w:val="left"/>
              <w:rPr>
                <w:rFonts w:ascii="Times New Roman" w:hAnsi="Times New Roman"/>
                <w:color w:val="000000"/>
                <w:sz w:val="20"/>
              </w:rPr>
            </w:pPr>
            <w:r>
              <w:rPr>
                <w:rFonts w:ascii="Times New Roman" w:hAnsi="Times New Roman"/>
                <w:color w:val="000000"/>
                <w:sz w:val="20"/>
              </w:rPr>
              <w:t>/s/ Kent Kresa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Kent Kresa</w:t>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31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Christine Mundkur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310" w:type="dxa"/>
        <w:jc w:val="left"/>
        <w:tblInd w:w="0" w:type="dxa"/>
        <w:tblLayout w:type="fixed"/>
        <w:tblCellMar>
          <w:top w:w="28" w:type="dxa"/>
          <w:left w:w="28" w:type="dxa"/>
          <w:bottom w:w="28" w:type="dxa"/>
          <w:right w:w="28" w:type="dxa"/>
        </w:tblCellMar>
      </w:tblPr>
      <w:tblGrid>
        <w:gridCol w:w="1681"/>
        <w:gridCol w:w="146"/>
        <w:gridCol w:w="146"/>
        <w:gridCol w:w="14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Mundkur</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tbl>
      <w:tblPr>
        <w:tblW w:w="5416" w:type="dxa"/>
        <w:jc w:val="left"/>
        <w:tblInd w:w="0" w:type="dxa"/>
        <w:tblLayout w:type="fixed"/>
        <w:tblCellMar>
          <w:top w:w="28" w:type="dxa"/>
          <w:left w:w="28" w:type="dxa"/>
          <w:bottom w:w="28" w:type="dxa"/>
          <w:right w:w="28" w:type="dxa"/>
        </w:tblCellMar>
      </w:tblPr>
      <w:tblGrid>
        <w:gridCol w:w="4877"/>
        <w:gridCol w:w="162"/>
        <w:gridCol w:w="377"/>
      </w:tblGrid>
      <w:tr>
        <w:trPr/>
        <w:tc>
          <w:tcPr>
            <w:tcW w:w="48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877" w:type="dxa"/>
            <w:tcBorders/>
            <w:vAlign w:val="center"/>
          </w:tcPr>
          <w:p>
            <w:pPr>
              <w:pStyle w:val="TableContents"/>
              <w:bidi w:val="0"/>
              <w:spacing w:before="0" w:after="283"/>
              <w:ind w:left="0" w:right="16" w:hanging="0"/>
              <w:jc w:val="left"/>
              <w:rPr/>
            </w:pPr>
            <w:hyperlink w:anchor="report_independent_public_acc_ii">
              <w:r>
                <w:rPr>
                  <w:rStyle w:val="InternetLink"/>
                  <w:rFonts w:ascii="Times New Roman" w:hAnsi="Times New Roman"/>
                  <w:color w:val="0000FF"/>
                  <w:sz w:val="20"/>
                  <w:u w:val="single"/>
                </w:rPr>
                <w:t>Report of Independent Registered Public Accounting Firm</w:t>
              </w:r>
            </w:hyperlink>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74</w:t>
            </w:r>
          </w:p>
        </w:tc>
      </w:tr>
      <w:tr>
        <w:trPr/>
        <w:tc>
          <w:tcPr>
            <w:tcW w:w="4877" w:type="dxa"/>
            <w:tcBorders/>
            <w:vAlign w:val="center"/>
          </w:tcPr>
          <w:p>
            <w:pPr>
              <w:pStyle w:val="TableContents"/>
              <w:bidi w:val="0"/>
              <w:spacing w:before="0" w:after="283"/>
              <w:ind w:left="0" w:right="16" w:hanging="0"/>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76</w:t>
            </w:r>
          </w:p>
        </w:tc>
      </w:tr>
      <w:tr>
        <w:trPr/>
        <w:tc>
          <w:tcPr>
            <w:tcW w:w="4877" w:type="dxa"/>
            <w:tcBorders/>
            <w:vAlign w:val="center"/>
          </w:tcPr>
          <w:p>
            <w:pPr>
              <w:pStyle w:val="TableContents"/>
              <w:bidi w:val="0"/>
              <w:spacing w:before="0" w:after="283"/>
              <w:ind w:left="0" w:right="16" w:hanging="0"/>
              <w:jc w:val="left"/>
              <w:rPr>
                <w:rFonts w:ascii="Times New Roman" w:hAnsi="Times New Roman"/>
                <w:color w:val="0000FF"/>
                <w:sz w:val="20"/>
                <w:u w:val="single"/>
              </w:rPr>
            </w:pPr>
            <w:r>
              <w:rPr>
                <w:rFonts w:ascii="Times New Roman" w:hAnsi="Times New Roman"/>
                <w:color w:val="0000FF"/>
                <w:sz w:val="20"/>
                <w:u w:val="single"/>
              </w:rPr>
              <w:t>Consolidated Balance Sheets</w:t>
            </w:r>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77</w:t>
            </w:r>
          </w:p>
        </w:tc>
      </w:tr>
      <w:tr>
        <w:trPr/>
        <w:tc>
          <w:tcPr>
            <w:tcW w:w="4877" w:type="dxa"/>
            <w:tcBorders/>
            <w:vAlign w:val="center"/>
          </w:tcPr>
          <w:p>
            <w:pPr>
              <w:pStyle w:val="TableContents"/>
              <w:bidi w:val="0"/>
              <w:spacing w:before="0" w:after="283"/>
              <w:ind w:left="0" w:right="16" w:hanging="0"/>
              <w:jc w:val="left"/>
              <w:rPr/>
            </w:pPr>
            <w:hyperlink w:anchor="consolidated_statements_stockholders_def">
              <w:r>
                <w:rPr>
                  <w:rStyle w:val="InternetLink"/>
                  <w:rFonts w:ascii="Times New Roman" w:hAnsi="Times New Roman"/>
                  <w:color w:val="0000FF"/>
                  <w:sz w:val="20"/>
                  <w:u w:val="single"/>
                </w:rPr>
                <w:t>Consolidated Statements of Stockholders’ Deficit</w:t>
              </w:r>
            </w:hyperlink>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78</w:t>
            </w:r>
          </w:p>
        </w:tc>
      </w:tr>
      <w:tr>
        <w:trPr/>
        <w:tc>
          <w:tcPr>
            <w:tcW w:w="4877" w:type="dxa"/>
            <w:tcBorders/>
            <w:vAlign w:val="center"/>
          </w:tcPr>
          <w:p>
            <w:pPr>
              <w:pStyle w:val="TableContents"/>
              <w:bidi w:val="0"/>
              <w:spacing w:before="0" w:after="283"/>
              <w:ind w:left="0" w:right="16" w:hanging="0"/>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79</w:t>
            </w:r>
          </w:p>
        </w:tc>
      </w:tr>
      <w:tr>
        <w:trPr/>
        <w:tc>
          <w:tcPr>
            <w:tcW w:w="4877" w:type="dxa"/>
            <w:tcBorders/>
            <w:vAlign w:val="center"/>
          </w:tcPr>
          <w:p>
            <w:pPr>
              <w:pStyle w:val="TableContents"/>
              <w:bidi w:val="0"/>
              <w:spacing w:before="0" w:after="283"/>
              <w:ind w:left="0" w:right="16" w:hanging="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report_independent_public_acc_ii"/>
      <w:bookmarkEnd w:id="28"/>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Stockholders of MannKind Corporation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MannKind Corporation and subsidiaries (the "Company") as of December 31, 2023 and 2022, and the related consolidated statements of operations, stockholders’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27, 2024, expressed an unqualified opinion on the Company's internal control over financial reporting.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Net Revenue – Commercial Product Sales – Government Rebates – Refer to Note 2 and 9 to the financial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more fully disclosed in Note 2 and 9 to the financial statements, the Company recognizes revenue for commercial product sales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Government rebates are provided to Medicare and state Medicaid programs. Government rebates involve the use of significant assumptions and judgments to estimate for rebate claims related to prior period sales for which an invoice has not yet been received, and related estimates of claims for the current quarter, and estimated future claims that will be made for product sales that have been recognized as revenue, but which remains in the distribution channel inventories at the end of each reporting period. These significant assumptions and judgments include consideration of historical claims experience, contractual rebate provision, payer channel mix, current contract prices, unbilled claims, claim submission time lags and inventory in the distribution channel.</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Given the complexity involved in determining the significant assumptions and judgments used in estimating the government rebates, auditing such estimates required a high degree of auditor judgment and increased extent of audit effort.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procedures related to management’s estimates of government rebate estimates, included the following,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effectiveness of controls over management’s processes to account for the variable consideration associated with Government Rebates.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key inputs used in management’s analysis of the government rebate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inspected contractual documents associated with the government rebates and evaluated the consistency of the methodology with the Company’s obligations under such contractual documents.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mathematical accuracy of the Company’s calculation of the estimates for government rebates.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performed the following procedures to evaluate the significant assumptions and judgments used by management to estimate government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reasonableness of government rebates by comparing the underlying data to historical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management’s ability to accurately forecast government rebates by comparing management’s assumptions of expected government rebates to actuals incurred subsequent to year 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 Angeles, California</w:t>
      </w:r>
    </w:p>
    <w:p>
      <w:pPr>
        <w:pStyle w:val="TextBody"/>
        <w:bidi w:val="0"/>
        <w:jc w:val="left"/>
        <w:rPr>
          <w:rFonts w:ascii="Times New Roman" w:hAnsi="Times New Roman"/>
          <w:color w:val="000000"/>
          <w:sz w:val="20"/>
        </w:rPr>
      </w:pPr>
      <w:r>
        <w:rPr>
          <w:rFonts w:ascii="Times New Roman" w:hAnsi="Times New Roman"/>
          <w:color w:val="000000"/>
          <w:sz w:val="20"/>
        </w:rPr>
        <w:t>February 27,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2001.</w:t>
      </w:r>
    </w:p>
    <w:p>
      <w:pPr>
        <w:pStyle w:val="TextBody"/>
        <w:bidi w:val="0"/>
        <w:spacing w:before="36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29" w:name="consolidated_statements_operations"/>
      <w:bookmarkEnd w:id="29"/>
      <w:r>
        <w:rPr>
          <w:rFonts w:ascii="Times New Roman" w:hAnsi="Times New Roman"/>
          <w:b/>
          <w:color w:val="000000"/>
          <w:sz w:val="20"/>
        </w:rPr>
        <w:t>CONSOLIDATED STATEMENTS OF OPERATIONS</w:t>
      </w:r>
    </w:p>
    <w:p>
      <w:pPr>
        <w:pStyle w:val="TextBody"/>
        <w:bidi w:val="0"/>
        <w:jc w:val="left"/>
        <w:rPr/>
      </w:pPr>
      <w:r>
        <w:rPr/>
        <w:t> </w:t>
      </w:r>
    </w:p>
    <w:tbl>
      <w:tblPr>
        <w:tblW w:w="9258" w:type="dxa"/>
        <w:jc w:val="left"/>
        <w:tblInd w:w="0" w:type="dxa"/>
        <w:tblLayout w:type="fixed"/>
        <w:tblCellMar>
          <w:top w:w="28" w:type="dxa"/>
          <w:left w:w="28" w:type="dxa"/>
          <w:bottom w:w="28" w:type="dxa"/>
          <w:right w:w="28" w:type="dxa"/>
        </w:tblCellMar>
      </w:tblPr>
      <w:tblGrid>
        <w:gridCol w:w="4701"/>
        <w:gridCol w:w="346"/>
        <w:gridCol w:w="211"/>
        <w:gridCol w:w="781"/>
        <w:gridCol w:w="166"/>
        <w:gridCol w:w="146"/>
        <w:gridCol w:w="211"/>
        <w:gridCol w:w="781"/>
        <w:gridCol w:w="166"/>
        <w:gridCol w:w="146"/>
        <w:gridCol w:w="211"/>
        <w:gridCol w:w="781"/>
        <w:gridCol w:w="611"/>
      </w:tblGrid>
      <w:tr>
        <w:trPr/>
        <w:tc>
          <w:tcPr>
            <w:tcW w:w="47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360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611" w:type="dxa"/>
            <w:tcBorders/>
            <w:shd w:fill="FFFFFF" w:val="clear"/>
            <w:vAlign w:val="center"/>
          </w:tcPr>
          <w:p>
            <w:pPr>
              <w:pStyle w:val="TableContents"/>
              <w:bidi w:val="0"/>
              <w:spacing w:before="0" w:after="283"/>
              <w:jc w:val="center"/>
              <w:rPr/>
            </w:pPr>
            <w:r>
              <w:rPr/>
              <w:t> </w:t>
            </w:r>
          </w:p>
        </w:tc>
      </w:tr>
      <w:tr>
        <w:trPr/>
        <w:tc>
          <w:tcPr>
            <w:tcW w:w="4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 – commercial product sales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Revenue – collaborations and services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Royalties – collaborations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0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 impairment</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foreign currency transaction</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purchase commitments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on financing liability</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available-for-sale securities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(80,926</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loss </w:t>
              <w:br/>
              <w:t>per share – basic and diluted</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249,244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30" w:name="consolidated_balance_sheets"/>
      <w:bookmarkEnd w:id="30"/>
      <w:r>
        <w:rPr>
          <w:rFonts w:ascii="Times New Roman" w:hAnsi="Times New Roman"/>
          <w:b/>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79"/>
        <w:gridCol w:w="146"/>
        <w:gridCol w:w="259"/>
        <w:gridCol w:w="1218"/>
        <w:gridCol w:w="166"/>
        <w:gridCol w:w="146"/>
        <w:gridCol w:w="259"/>
        <w:gridCol w:w="1218"/>
        <w:gridCol w:w="614"/>
      </w:tblGrid>
      <w:tr>
        <w:trPr/>
        <w:tc>
          <w:tcPr>
            <w:tcW w:w="6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1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center"/>
              <w:rPr/>
            </w:pPr>
            <w:r>
              <w:rPr/>
              <w:t> </w:t>
            </w:r>
          </w:p>
        </w:tc>
        <w:tc>
          <w:tcPr>
            <w:tcW w:w="614" w:type="dxa"/>
            <w:tcBorders/>
            <w:shd w:fill="FFFFFF" w:val="clear"/>
            <w:vAlign w:val="center"/>
          </w:tcPr>
          <w:p>
            <w:pPr>
              <w:pStyle w:val="TableContents"/>
              <w:bidi w:val="0"/>
              <w:spacing w:before="0" w:after="283"/>
              <w:jc w:val="center"/>
              <w:rPr/>
            </w:pPr>
            <w:r>
              <w:rPr/>
              <w:t> </w:t>
            </w:r>
          </w:p>
        </w:tc>
      </w:tr>
      <w:tr>
        <w:trPr/>
        <w:tc>
          <w:tcPr>
            <w:tcW w:w="61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 thousands except share </w:t>
              <w:br/>
              <w:t>and per share data)</w:t>
            </w:r>
          </w:p>
        </w:tc>
        <w:tc>
          <w:tcPr>
            <w:tcW w:w="614" w:type="dxa"/>
            <w:tcBorders/>
            <w:shd w:fill="FFFFFF" w:val="clear"/>
            <w:vAlign w:val="center"/>
          </w:tcPr>
          <w:p>
            <w:pPr>
              <w:pStyle w:val="TableContents"/>
              <w:bidi w:val="0"/>
              <w:spacing w:before="0" w:after="283"/>
              <w:jc w:val="center"/>
              <w:rPr/>
            </w:pPr>
            <w:r>
              <w:rPr/>
              <w:t> </w:t>
            </w:r>
          </w:p>
        </w:tc>
      </w:tr>
      <w:tr>
        <w:trPr/>
        <w:tc>
          <w:tcPr>
            <w:tcW w:w="6179"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1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69,767</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101,079</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21,772</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234,896</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45,126</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295,282</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179"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200"/>
              <w:jc w:val="right"/>
              <w:rPr/>
            </w:pPr>
            <w:r>
              <w:rPr/>
              <w:t> </w:t>
            </w:r>
          </w:p>
        </w:tc>
      </w:tr>
      <w:tr>
        <w:trPr/>
        <w:tc>
          <w:tcPr>
            <w:tcW w:w="61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35,553</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liability – current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Midcap credit facility – current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Liability for sale of future royalties – current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Recognized loss on purchase commitments – current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67,296</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 Mann Group convertible note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liability – long term</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94,512</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credit facility – long term</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39,264</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225,397</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for sale of future royalties – long term</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loss on purchase commitments – long term</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62,916</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long term</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liabilities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17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545,820</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Undesignated preferred stock, $0.01 par value – 10,000,000 shares authorized; </w:t>
              <w:br/>
              <w:t>no shares issued or outstanding as of December 31, 2023 and 2022</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$0.01 par value – 800,000,000 and 400,000,000 shares </w:t>
              <w:br/>
              <w:t>   authorized as of December 31, 2023 and 2022, respectively,</w:t>
              <w:br/>
              <w:t>   and 270,034,495 and 263,793,305 shares issued and outstanding as of</w:t>
              <w:br/>
              <w:t>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614" w:type="dxa"/>
            <w:tcBorders/>
            <w:shd w:fill="FFFFFF" w:val="clear"/>
            <w:vAlign w:val="center"/>
          </w:tcPr>
          <w:p>
            <w:pPr>
              <w:pStyle w:val="TableContents"/>
              <w:bidi w:val="0"/>
              <w:spacing w:before="0" w:after="283"/>
              <w:jc w:val="left"/>
              <w:rPr/>
            </w:pPr>
            <w:r>
              <w:rPr/>
              <w:t> </w:t>
            </w:r>
          </w:p>
        </w:tc>
      </w:tr>
      <w:tr>
        <w:trPr/>
        <w:tc>
          <w:tcPr>
            <w:tcW w:w="61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2,964,293</w:t>
            </w:r>
          </w:p>
        </w:tc>
        <w:tc>
          <w:tcPr>
            <w:tcW w:w="614" w:type="dxa"/>
            <w:tcBorders/>
            <w:shd w:fill="CFF0FC" w:val="clear"/>
            <w:vAlign w:val="center"/>
          </w:tcPr>
          <w:p>
            <w:pPr>
              <w:pStyle w:val="TableContents"/>
              <w:bidi w:val="0"/>
              <w:spacing w:before="0" w:after="283"/>
              <w:jc w:val="left"/>
              <w:rPr/>
            </w:pPr>
            <w:r>
              <w:rPr/>
              <w:t> </w:t>
            </w:r>
          </w:p>
        </w:tc>
      </w:tr>
      <w:tr>
        <w:trPr/>
        <w:tc>
          <w:tcPr>
            <w:tcW w:w="61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(3,217,469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7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(250,538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7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295,282</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31" w:name="consolidated_statements_stockholders_def"/>
      <w:bookmarkEnd w:id="31"/>
      <w:r>
        <w:rPr>
          <w:rFonts w:ascii="Times New Roman" w:hAnsi="Times New Roman"/>
          <w:b/>
          <w:color w:val="000000"/>
          <w:sz w:val="20"/>
        </w:rPr>
        <w:t>CONSOLIDATED STATEMENTS OF STOCKHOLDERS’ DEFICIT</w:t>
      </w:r>
    </w:p>
    <w:p>
      <w:pPr>
        <w:pStyle w:val="TextBody"/>
        <w:bidi w:val="0"/>
        <w:jc w:val="center"/>
        <w:rPr/>
      </w:pPr>
      <w:r>
        <w:rPr/>
        <w:t> </w:t>
      </w:r>
    </w:p>
    <w:tbl>
      <w:tblPr>
        <w:tblW w:w="9462" w:type="dxa"/>
        <w:jc w:val="left"/>
        <w:tblInd w:w="0" w:type="dxa"/>
        <w:tblLayout w:type="fixed"/>
        <w:tblCellMar>
          <w:top w:w="28" w:type="dxa"/>
          <w:left w:w="28" w:type="dxa"/>
          <w:bottom w:w="28" w:type="dxa"/>
          <w:right w:w="28" w:type="dxa"/>
        </w:tblCellMar>
      </w:tblPr>
      <w:tblGrid>
        <w:gridCol w:w="3311"/>
        <w:gridCol w:w="146"/>
        <w:gridCol w:w="146"/>
        <w:gridCol w:w="586"/>
        <w:gridCol w:w="146"/>
        <w:gridCol w:w="146"/>
        <w:gridCol w:w="181"/>
        <w:gridCol w:w="436"/>
        <w:gridCol w:w="146"/>
        <w:gridCol w:w="146"/>
        <w:gridCol w:w="211"/>
        <w:gridCol w:w="809"/>
        <w:gridCol w:w="151"/>
        <w:gridCol w:w="146"/>
        <w:gridCol w:w="254"/>
        <w:gridCol w:w="1036"/>
        <w:gridCol w:w="151"/>
        <w:gridCol w:w="146"/>
        <w:gridCol w:w="181"/>
        <w:gridCol w:w="631"/>
        <w:gridCol w:w="35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49" w:type="dxa"/>
            <w:gridSpan w:val="18"/>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56" w:type="dxa"/>
            <w:tcBorders/>
            <w:shd w:fill="FFFFFF" w:val="clear"/>
            <w:vAlign w:val="center"/>
          </w:tcPr>
          <w:p>
            <w:pPr>
              <w:pStyle w:val="TableContents"/>
              <w:bidi w:val="0"/>
              <w:spacing w:before="0" w:after="283"/>
              <w:jc w:val="center"/>
              <w:rPr/>
            </w:pPr>
            <w:r>
              <w:rPr/>
              <w:t> </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2,866,303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(3,049,143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(180,419</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restricted stock units and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w:t>
            </w:r>
          </w:p>
        </w:tc>
        <w:tc>
          <w:tcPr>
            <w:tcW w:w="356"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under</w:t>
              <w:br/>
              <w:t>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12,200</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pursuant to</w:t>
              <w:br/>
              <w:t>   conversion of the Mann Group</w:t>
              <w:br/>
              <w:t>   convertible note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9,573</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pursuant to</w:t>
              <w:br/>
              <w:t>   conversion of the Mann Group</w:t>
              <w:br/>
              <w:t>   convertible note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pursuant to</w:t>
              <w:br/>
              <w:t>   conversion of the 2024 convertible notes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pursuant to</w:t>
              <w:br/>
              <w:t>   payoff of the 2024 convertible note</w:t>
              <w:br/>
              <w:t>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at-the-market offering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1,886</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costs associated with at-the-market offering</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356"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Premium on Mann Group convertible note</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17"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22,107</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w:t>
              <w:br/>
              <w:t>   to a warrant conversion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(80,926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(80,926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2,918,205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(3,130,069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(209,349</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restricted stock units and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under employee</w:t>
              <w:br/>
              <w:t>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13,447</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pursuant to</w:t>
              <w:br/>
              <w:t>   conversion of the Mann Group</w:t>
              <w:br/>
              <w:t>   convertible note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9,596</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pursuant to</w:t>
              <w:br/>
              <w:t>   conversion of the Mann Group</w:t>
              <w:br/>
              <w:t>   convertible note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at-the-market offering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19,739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19,790</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costs associated with at-the-market offering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356"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from market the</w:t>
              <w:br/>
              <w:t>   price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(87,400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2,964,293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(3,217,469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(250,538</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at-the-market offering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6,887</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costs associated with at-the-market offering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to </w:t>
              <w:br/>
              <w:t>   conversion of the Mann Group</w:t>
              <w:br/>
              <w:t>   convertible note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restricted stock units and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(10,162</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under Employee</w:t>
              <w:br/>
              <w:t>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1,668</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331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17,649</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331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(11,938</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2,980,539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(3,229,407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(246,168</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pPr>
      <w:r>
        <w:rPr/>
        <w:t> </w:t>
      </w:r>
    </w:p>
    <w:p>
      <w:pPr>
        <w:pStyle w:val="TextBody"/>
        <w:bidi w:val="0"/>
        <w:jc w:val="center"/>
        <w:rPr>
          <w:rFonts w:ascii="Times New Roman" w:hAnsi="Times New Roman"/>
          <w:b/>
          <w:color w:val="000000"/>
          <w:sz w:val="20"/>
        </w:rPr>
      </w:pPr>
      <w:bookmarkStart w:id="32" w:name="consolidated_statements_of_cash_flows"/>
      <w:bookmarkEnd w:id="32"/>
      <w:r>
        <w:rPr>
          <w:rFonts w:ascii="Times New Roman" w:hAnsi="Times New Roman"/>
          <w:b/>
          <w:color w:val="000000"/>
          <w:sz w:val="20"/>
        </w:rPr>
        <w:t>CONSOLIDATED STATEMENTS OF CASH FLOWS</w:t>
      </w:r>
    </w:p>
    <w:p>
      <w:pPr>
        <w:pStyle w:val="TextBody"/>
        <w:bidi w:val="0"/>
        <w:jc w:val="center"/>
        <w:rPr/>
      </w:pPr>
      <w:r>
        <w:rPr/>
        <w:t> </w:t>
      </w:r>
    </w:p>
    <w:tbl>
      <w:tblPr>
        <w:tblW w:w="10163" w:type="dxa"/>
        <w:jc w:val="left"/>
        <w:tblInd w:w="0" w:type="dxa"/>
        <w:tblLayout w:type="fixed"/>
        <w:tblCellMar>
          <w:top w:w="28" w:type="dxa"/>
          <w:left w:w="28" w:type="dxa"/>
          <w:bottom w:w="28" w:type="dxa"/>
          <w:right w:w="28" w:type="dxa"/>
        </w:tblCellMar>
      </w:tblPr>
      <w:tblGrid>
        <w:gridCol w:w="6081"/>
        <w:gridCol w:w="146"/>
        <w:gridCol w:w="181"/>
        <w:gridCol w:w="586"/>
        <w:gridCol w:w="151"/>
        <w:gridCol w:w="146"/>
        <w:gridCol w:w="181"/>
        <w:gridCol w:w="586"/>
        <w:gridCol w:w="151"/>
        <w:gridCol w:w="146"/>
        <w:gridCol w:w="181"/>
        <w:gridCol w:w="631"/>
        <w:gridCol w:w="996"/>
      </w:tblGrid>
      <w:tr>
        <w:trPr/>
        <w:tc>
          <w:tcPr>
            <w:tcW w:w="6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9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940"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996" w:type="dxa"/>
            <w:tcBorders/>
            <w:shd w:fill="FFFFFF" w:val="clear"/>
            <w:vAlign w:val="center"/>
          </w:tcPr>
          <w:p>
            <w:pPr>
              <w:pStyle w:val="TableContents"/>
              <w:bidi w:val="0"/>
              <w:spacing w:before="0" w:after="283"/>
              <w:jc w:val="center"/>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200"/>
              <w:jc w:val="righ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(11,938</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(87,400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(80,926</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Adjustments to reconcile net loss to net cash provided by (used in)</w:t>
              <w:br/>
              <w:t>   operating activities:</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400"/>
              <w:jc w:val="righ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12,200</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Write-off of inventory</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1,902</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1,986</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1,709</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(Gain) loss on foreign currency transaction</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(6,567</w:t>
            </w:r>
          </w:p>
        </w:tc>
        <w:tc>
          <w:tcPr>
            <w:tcW w:w="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right-of-use assets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on available-for-sale securities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on Mann Group convertible note</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on liability for sale of future royalties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on financing liability</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9,552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1,372</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(accretion) amortization of investments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on extinguishment of debt, net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17,200</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Asset impairment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on milestone right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3,663</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600"/>
              <w:jc w:val="right"/>
              <w:rPr/>
            </w:pPr>
            <w:r>
              <w:rPr/>
              <w:t> </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(11,807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(5,670</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(4,081</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8,814</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(14,567</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Recognized loss on purchase commitments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(5,892</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(3,309</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(2,135</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Accrued interest on Mann Group convertible note</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(4,919</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Deposits from customer</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081"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34,094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(61,709</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held-to-maturity debt securities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119,166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59,060</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held-to-maturity debt securities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(79,095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(74,536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(196,131</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(42,441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(11,466</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Acquisition of V-Go</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(15,341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insurance claim</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available-for-sale securities</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(151,537</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 of future royalties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costs associated with sale of future royalties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at-the-market-offering</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19,790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1,886</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costs associated with at-the-market offering</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market price stock purchase plan and employee stock purchase plan</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for taxes related to net issuance of common stock associated with</w:t>
              <w:br/>
              <w:t>   restricted stock units and stock options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(10,162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 on financing liability</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Milestone payment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Senior convertible notes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230,000</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costs associated with Senior convertible notes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(7,268</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the sale-leaseback transaction</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102,250</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costs associated with the sale-leaseback transaction</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Deposit for the sale-leaseback transaction</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Mann Group convertible note</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(35,051</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 on MidCap credit facility</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 of MidCap credit facility prepayment penalty</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6081"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136,607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270,267</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168,713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57,021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BEGINNING OF PERIOD</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124,184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67,163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END OF PERIOD</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238,480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124,184</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(CONTINUED)</w:t>
      </w:r>
    </w:p>
    <w:p>
      <w:pPr>
        <w:pStyle w:val="TextBody"/>
        <w:bidi w:val="0"/>
        <w:jc w:val="center"/>
        <w:rPr/>
      </w:pPr>
      <w:r>
        <w:rPr/>
        <w:t> </w:t>
      </w:r>
    </w:p>
    <w:tbl>
      <w:tblPr>
        <w:tblW w:w="8388" w:type="dxa"/>
        <w:jc w:val="left"/>
        <w:tblInd w:w="0" w:type="dxa"/>
        <w:tblLayout w:type="fixed"/>
        <w:tblCellMar>
          <w:top w:w="28" w:type="dxa"/>
          <w:left w:w="28" w:type="dxa"/>
          <w:bottom w:w="28" w:type="dxa"/>
          <w:right w:w="28" w:type="dxa"/>
        </w:tblCellMar>
      </w:tblPr>
      <w:tblGrid>
        <w:gridCol w:w="5291"/>
        <w:gridCol w:w="146"/>
        <w:gridCol w:w="181"/>
        <w:gridCol w:w="511"/>
        <w:gridCol w:w="146"/>
        <w:gridCol w:w="146"/>
        <w:gridCol w:w="181"/>
        <w:gridCol w:w="511"/>
        <w:gridCol w:w="146"/>
        <w:gridCol w:w="146"/>
        <w:gridCol w:w="181"/>
        <w:gridCol w:w="511"/>
        <w:gridCol w:w="291"/>
      </w:tblGrid>
      <w:tr>
        <w:trPr/>
        <w:tc>
          <w:tcPr>
            <w:tcW w:w="5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0"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529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DISCLOSURES:</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52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paid in cash</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11,268</w:t>
            </w:r>
          </w:p>
        </w:tc>
        <w:tc>
          <w:tcPr>
            <w:tcW w:w="291" w:type="dxa"/>
            <w:tcBorders/>
            <w:shd w:fill="FFFFFF" w:val="clear"/>
            <w:vAlign w:val="center"/>
          </w:tcPr>
          <w:p>
            <w:pPr>
              <w:pStyle w:val="TableContents"/>
              <w:bidi w:val="0"/>
              <w:spacing w:before="0" w:after="283"/>
              <w:jc w:val="left"/>
              <w:rPr/>
            </w:pPr>
            <w:r>
              <w:rPr/>
              <w:t> </w:t>
            </w:r>
          </w:p>
        </w:tc>
      </w:tr>
      <w:tr>
        <w:trPr/>
        <w:tc>
          <w:tcPr>
            <w:tcW w:w="529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52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Reclassification of Midcap credit facility from long-term to current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2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Reclassification of investments from long-term to current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32,654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Non-cash construction in progress, property and equipment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2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Right-of-use asset modification</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Goodwill adjustment for a net reduction in liabilities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2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Receivable for insurance claim on damaged equipment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Accrued issuance costs associated with liability for sale of future royalties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2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Payments on debt and interest through common stock issuance</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15,143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Reclassification of Thirona convertible notes and interest receivable</w:t>
              <w:br/>
              <w:t>   from long-term to current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2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Addition of right-of-use-asset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2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Contingent milestone liability</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sz w:val="20"/>
        </w:rPr>
      </w:pPr>
      <w:bookmarkStart w:id="33" w:name="notes_to_consolidated_financial_statemen"/>
      <w:bookmarkEnd w:id="33"/>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Business </w:t>
      </w:r>
      <w:r>
        <w:rPr>
          <w:rFonts w:ascii="Times New Roman" w:hAnsi="Times New Roman"/>
          <w:color w:val="000000"/>
          <w:sz w:val="20"/>
        </w:rPr>
        <w:t>— MannKind Corporation and its subsidiaries (the “Company”) is a biopharmaceutical company focused on the development and commercialization of innovative therapeutic products and devices to address serious unmet medical needs for those living with endocrine and orphan lung diseases. The Company’s signature technologies, Technosphere dry-powder formulations and Dreamboat inhalation devices, 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United Therapeutics ("UT") began commercializing Tyvaso DPI in June 2022 and is obligated to pay the Company a royalty on net sales of the product. The Company also receives a margin on supplies of Tyvaso DPI that it manufactures for UT.</w:t>
      </w:r>
    </w:p>
    <w:p>
      <w:pPr>
        <w:pStyle w:val="TextBody"/>
        <w:bidi w:val="0"/>
        <w:spacing w:before="24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 The consolidated financial statements have been prepared in accordance with accounting principles generally accepted in the United States of America (“GAAP”). </w:t>
      </w:r>
    </w:p>
    <w:p>
      <w:pPr>
        <w:pStyle w:val="TextBody"/>
        <w:bidi w:val="0"/>
        <w:spacing w:before="240" w:after="283"/>
        <w:jc w:val="left"/>
        <w:rPr>
          <w:rFonts w:ascii="Times New Roman" w:hAnsi="Times New Roman"/>
          <w:sz w:val="20"/>
        </w:rPr>
      </w:pPr>
      <w:r>
        <w:rPr>
          <w:rFonts w:ascii="Times New Roman" w:hAnsi="Times New Roman"/>
          <w:i/>
          <w:color w:val="000000"/>
          <w:sz w:val="20"/>
        </w:rPr>
        <w:t>Principles of Consolidation</w:t>
      </w:r>
      <w:r>
        <w:rPr>
          <w:rFonts w:ascii="Times New Roman" w:hAnsi="Times New Roman"/>
          <w:color w:val="000000"/>
          <w:sz w:val="20"/>
        </w:rPr>
        <w:t xml:space="preserve"> — The consolidated financial statements include the accounts of the Company and its wholly-owned subsidiaries. Intercompany balances and transactions have been eliminated. </w:t>
      </w:r>
    </w:p>
    <w:p>
      <w:pPr>
        <w:pStyle w:val="TextBody"/>
        <w:bidi w:val="0"/>
        <w:spacing w:before="240" w:after="283"/>
        <w:jc w:val="left"/>
        <w:rPr>
          <w:rFonts w:ascii="Times New Roman" w:hAnsi="Times New Roman"/>
          <w:sz w:val="20"/>
        </w:rPr>
      </w:pPr>
      <w:r>
        <w:rPr>
          <w:rFonts w:ascii="Times New Roman" w:hAnsi="Times New Roman"/>
          <w:i/>
          <w:color w:val="000000"/>
          <w:sz w:val="20"/>
        </w:rPr>
        <w:t>Reclassifications</w:t>
      </w:r>
      <w:r>
        <w:rPr>
          <w:rFonts w:ascii="Times New Roman" w:hAnsi="Times New Roman"/>
          <w:color w:val="000000"/>
          <w:sz w:val="20"/>
        </w:rPr>
        <w:t xml:space="preserve"> — Certain amounts reported in prior years have been reclassified to conform with the current year presentation. Changes were made to the consolidated statements of cash flows to present the amortization of debt discount and issuance costs and net investment (accretion) amortization separately from amortization and depreciation expense. Additionally, changes were made to our effective income tax rate reconciliation table in Note 18 – </w:t>
      </w:r>
      <w:r>
        <w:rPr>
          <w:rFonts w:ascii="Times New Roman" w:hAnsi="Times New Roman"/>
          <w:i/>
          <w:color w:val="000000"/>
          <w:sz w:val="20"/>
        </w:rPr>
        <w:t>Income Taxes</w:t>
      </w:r>
      <w:r>
        <w:rPr>
          <w:rFonts w:ascii="Times New Roman" w:hAnsi="Times New Roman"/>
          <w:color w:val="000000"/>
          <w:sz w:val="20"/>
        </w:rPr>
        <w:t xml:space="preserve"> to separate officers compensation from permanent items</w:t>
      </w:r>
      <w:r>
        <w:rPr>
          <w:rFonts w:ascii="Times New Roman" w:hAnsi="Times New Roman"/>
          <w:i/>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Segment Information</w:t>
      </w:r>
      <w:r>
        <w:rPr>
          <w:rFonts w:ascii="Times New Roman" w:hAnsi="Times New Roman"/>
          <w:color w:val="000000"/>
          <w:sz w:val="20"/>
        </w:rPr>
        <w:t xml:space="preserve"> — 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sz w:val="20"/>
        </w:rPr>
      </w:pPr>
      <w:r>
        <w:rPr>
          <w:rFonts w:ascii="Times New Roman" w:hAnsi="Times New Roman"/>
          <w:i/>
          <w:color w:val="000000"/>
          <w:sz w:val="20"/>
        </w:rPr>
        <w:t>Financial Statement Estimates</w:t>
      </w:r>
      <w:r>
        <w:rPr>
          <w:rFonts w:ascii="Times New Roman" w:hAnsi="Times New Roman"/>
          <w:color w:val="000000"/>
          <w:sz w:val="20"/>
        </w:rPr>
        <w:t xml:space="preserve"> — The preparation of financial statements in conformity with GAAP requires management to make estimates and 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stock-based compensation, the determination of the provision for income taxes and corresponding deferred tax assets and liabilities, the valuation allowance recorded against net deferred tax assets, and expected cash flows from royalties received in connection with UT's net revenue for the sale of Tyvaso DPI.</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 The Company recognizes revenue when its customers obtain control of promised goods or services, in an amount that reflects the consideration which the Company expects to be entitled in exchange for those goods or services.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determine revenue recognition for arrangements that are within the scope of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contract inception, once the contract is determined to be within the scope of ASC 606, the Company assesses the goods or services promised within each contract, determines those that are performance obligations, and assesses whether each promised good or service is distinct.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has two types of contracts with customers: (i) contracts for commercial product sales with wholesale distributors, specialty and retail pharmacies, and durable medical equipment suppliers ("DMEs") and (ii) collaboration arrangements.</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 – Net Revenue – Commercial Product Sales –</w:t>
      </w:r>
      <w:r>
        <w:rPr>
          <w:rFonts w:ascii="Times New Roman" w:hAnsi="Times New Roman"/>
          <w:color w:val="000000"/>
          <w:sz w:val="20"/>
        </w:rPr>
        <w:t xml:space="preserve"> The Company sells its products to a limited number of wholesale distributors, specialty and retail pharmacies, and DMEs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Times New Roman" w:hAnsi="Times New Roman"/>
          <w:i/>
          <w:color w:val="000000"/>
          <w:sz w:val="20"/>
        </w:rPr>
        <w:t>Reserves for Variable Consideration</w:t>
      </w:r>
      <w:r>
        <w:rPr>
          <w:rFonts w:ascii="Times New Roman" w:hAnsi="Times New Roman"/>
          <w:color w:val="000000"/>
          <w:sz w:val="20"/>
        </w:rPr>
        <w:t xml:space="preserve"> below.</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Free Goods Program </w:t>
      </w:r>
      <w:r>
        <w:rPr>
          <w:rFonts w:ascii="Times New Roman" w:hAnsi="Times New Roman"/>
          <w:color w:val="000000"/>
          <w:sz w:val="20"/>
        </w:rPr>
        <w:t>— From time to time, the Company offers programs to potential new patients that allow them to obtain free goods (prescription fills) from a pharmacy. The Company excludes such amounts related to these programs from both gross and net revenue. The cost of product associated with the free goods program is recognized as cost of goods sold in the consolidated statements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Reserves for Variable Consideration </w:t>
      </w:r>
      <w:r>
        <w:rPr>
          <w:rFonts w:ascii="Times New Roman" w:hAnsi="Times New Roman"/>
          <w:color w:val="000000"/>
          <w:sz w:val="20"/>
        </w:rPr>
        <w:t>— Revenues from product sales are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Trade Discounts and Allowances </w:t>
      </w:r>
      <w:r>
        <w:rPr>
          <w:rFonts w:ascii="Times New Roman" w:hAnsi="Times New Roman"/>
          <w:color w:val="000000"/>
          <w:sz w:val="20"/>
        </w:rPr>
        <w:t xml:space="preserve">— The Company generally provides Customers with discounts which include incentives, such as prompt pay 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Product Returns </w:t>
      </w:r>
      <w:r>
        <w:rPr>
          <w:rFonts w:ascii="Times New Roman" w:hAnsi="Times New Roman"/>
          <w:color w:val="000000"/>
          <w:sz w:val="20"/>
        </w:rPr>
        <w:t>— Consistent with industry practice, the Company generally offers Customers a right of return for unopened product that has been 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have been made in the past and may be necessary in the future based on revised estimates to the Company’s assumptions.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Provider Chargebacks and Discounts </w:t>
      </w:r>
      <w:r>
        <w:rPr>
          <w:rFonts w:ascii="Times New Roman" w:hAnsi="Times New Roman"/>
          <w:color w:val="000000"/>
          <w:sz w:val="20"/>
        </w:rPr>
        <w:t xml:space="preserve">— Chargebacks for fees and discounts to providers represent the estimated obligations resulting from contractual 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Government Rebates </w:t>
      </w:r>
      <w:r>
        <w:rPr>
          <w:rFonts w:ascii="Times New Roman" w:hAnsi="Times New Roman"/>
          <w:color w:val="000000"/>
          <w:sz w:val="20"/>
        </w:rPr>
        <w:t xml:space="preserve">— The Company is subject to discount obligations under Medicare and state Medicaid programs. These reserves are recorded 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Payer Rebates </w:t>
      </w:r>
      <w:r>
        <w:rPr>
          <w:rFonts w:ascii="Times New Roman" w:hAnsi="Times New Roman"/>
          <w:color w:val="000000"/>
          <w:sz w:val="20"/>
        </w:rPr>
        <w:t xml:space="preserve">— The Company contracts with certain private payer organizations, primarily insurance companies and pharmacy benefit managers, 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Incentives </w:t>
      </w:r>
      <w:r>
        <w:rPr>
          <w:rFonts w:ascii="Times New Roman" w:hAnsi="Times New Roman"/>
          <w:color w:val="000000"/>
          <w:sz w:val="20"/>
        </w:rPr>
        <w:t>— Other incentives which the Company offers include voluntary patient support programs, such as the Company's co-pay assistance 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 — Revenue — Collaborations and Services —</w:t>
      </w:r>
      <w:r>
        <w:rPr>
          <w:rFonts w:ascii="Times New Roman" w:hAnsi="Times New Roman"/>
          <w:color w:val="000000"/>
          <w:sz w:val="20"/>
        </w:rPr>
        <w:t xml:space="preserve"> The Company enters into licensing, research or other agreements under which the 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has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11 – </w:t>
      </w:r>
      <w:r>
        <w:rPr>
          <w:rFonts w:ascii="Times New Roman" w:hAnsi="Times New Roman"/>
          <w:i/>
          <w:color w:val="000000"/>
          <w:sz w:val="20"/>
        </w:rPr>
        <w:t>Collaboration, Licensing and Other Arrangements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11 – </w:t>
      </w:r>
      <w:r>
        <w:rPr>
          <w:rFonts w:ascii="Times New Roman" w:hAnsi="Times New Roman"/>
          <w:i/>
          <w:color w:val="000000"/>
          <w:sz w:val="20"/>
        </w:rPr>
        <w:t>Collaboration, Licensing and Other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 — Royalties —</w:t>
      </w:r>
      <w:r>
        <w:rPr>
          <w:rFonts w:ascii="Times New Roman" w:hAnsi="Times New Roman"/>
          <w:color w:val="000000"/>
          <w:sz w:val="20"/>
        </w:rPr>
        <w:t xml:space="preserve"> The Company recognizes royalty revenue for a sales-based or usage-based royalty if it is promised in exchange for an intellectual property license. The royalty revenue is recognized as the latter of the subsequent sale of the product occurs or if the performance obligation to which the royalty has been allocated has been satisfied or partially satisfied. The Company’s collaboration agreement with UT entitles it to receive a 10% royalty on net sales of Tyvaso DPI for the license of the Company’s IP that was considered to be interdependent with the development activities that supported the approval of Tyvaso DPI. Although the Company recognizes a 10% royalty on net revenue from the sale of Tyvaso DPI as revenue, it will only collect 9% of future royalties due to its sale of 1% of future royalties in December 2023 as detailed in Note 16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Company’s net revenue and cost of revenue and goods sold as shown on the consolidated statement of operations is comprised of revenue generated from product sales, services and royalties as shown below (in thousands):</w:t>
      </w:r>
    </w:p>
    <w:tbl>
      <w:tblPr>
        <w:tblW w:w="6033" w:type="dxa"/>
        <w:jc w:val="left"/>
        <w:tblInd w:w="0" w:type="dxa"/>
        <w:tblLayout w:type="fixed"/>
        <w:tblCellMar>
          <w:top w:w="28" w:type="dxa"/>
          <w:left w:w="28" w:type="dxa"/>
          <w:bottom w:w="28" w:type="dxa"/>
          <w:right w:w="28" w:type="dxa"/>
        </w:tblCellMar>
      </w:tblPr>
      <w:tblGrid>
        <w:gridCol w:w="1946"/>
        <w:gridCol w:w="146"/>
        <w:gridCol w:w="211"/>
        <w:gridCol w:w="781"/>
        <w:gridCol w:w="146"/>
        <w:gridCol w:w="146"/>
        <w:gridCol w:w="211"/>
        <w:gridCol w:w="676"/>
        <w:gridCol w:w="146"/>
        <w:gridCol w:w="146"/>
        <w:gridCol w:w="211"/>
        <w:gridCol w:w="676"/>
        <w:gridCol w:w="59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Product revenue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Services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Royalties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the net revenue from Afrezza and V-Go sales to wholesalers and specialty pharmacies and Tyvaso DPI to UT.</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 xml:space="preserve">Amounts represent revenue generated from the Company’s collaboration arrangements, including Next-Gen R&amp;D Services (as defined in Note 11) for UT as well as arrangements with other collaboration partners. See Note 11 – </w:t>
      </w:r>
      <w:r>
        <w:rPr>
          <w:rFonts w:ascii="Times New Roman" w:hAnsi="Times New Roman"/>
          <w:i/>
          <w:color w:val="000000"/>
          <w:sz w:val="18"/>
        </w:rPr>
        <w:t>Collaboration, Licensing and Other Arrangements</w:t>
      </w:r>
      <w:r>
        <w:rPr>
          <w:rFonts w:ascii="Times New Roman" w:hAnsi="Times New Roman"/>
          <w:color w:val="000000"/>
          <w:sz w:val="18"/>
        </w:rPr>
        <w:t xml:space="preserve">.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jc w:val="left"/>
        <w:rPr>
          <w:rFonts w:ascii="Times New Roman" w:hAnsi="Times New Roman"/>
          <w:color w:val="000000"/>
          <w:sz w:val="18"/>
        </w:rPr>
      </w:pPr>
      <w:r>
        <w:rPr>
          <w:rFonts w:ascii="Times New Roman" w:hAnsi="Times New Roman"/>
          <w:color w:val="000000"/>
          <w:sz w:val="18"/>
        </w:rPr>
        <w:t>Amounts represent royalties on UT’s net revenue from Tyvaso DPI sales.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73" w:type="dxa"/>
        <w:jc w:val="left"/>
        <w:tblInd w:w="0" w:type="dxa"/>
        <w:tblLayout w:type="fixed"/>
        <w:tblCellMar>
          <w:top w:w="28" w:type="dxa"/>
          <w:left w:w="28" w:type="dxa"/>
          <w:bottom w:w="28" w:type="dxa"/>
          <w:right w:w="28" w:type="dxa"/>
        </w:tblCellMar>
      </w:tblPr>
      <w:tblGrid>
        <w:gridCol w:w="4091"/>
        <w:gridCol w:w="146"/>
        <w:gridCol w:w="211"/>
        <w:gridCol w:w="676"/>
        <w:gridCol w:w="146"/>
        <w:gridCol w:w="146"/>
        <w:gridCol w:w="211"/>
        <w:gridCol w:w="676"/>
        <w:gridCol w:w="146"/>
        <w:gridCol w:w="146"/>
        <w:gridCol w:w="211"/>
        <w:gridCol w:w="676"/>
        <w:gridCol w:w="591"/>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 and cost of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goods sold and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follows accounting guidance in measuring revenue and certain judgments affect the application of its revenue policy. For example, in connection with its existing collaboration agreements, the Company has recorded on its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 </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Payments</w:t>
      </w:r>
      <w:r>
        <w:rPr>
          <w:rFonts w:ascii="Times New Roman" w:hAnsi="Times New Roman"/>
          <w:color w:val="000000"/>
          <w:sz w:val="20"/>
        </w:rPr>
        <w:t xml:space="preserve"> —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pStyle w:val="TextBody"/>
        <w:bidi w:val="0"/>
        <w:spacing w:before="24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 Cost of goods sold includes material, labor costs and manufacturing overhead. Cost of goods sold also includes a component of 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2016. </w:t>
      </w:r>
    </w:p>
    <w:p>
      <w:pPr>
        <w:pStyle w:val="TextBody"/>
        <w:bidi w:val="0"/>
        <w:spacing w:before="240" w:after="283"/>
        <w:jc w:val="left"/>
        <w:rPr>
          <w:rFonts w:ascii="Times New Roman" w:hAnsi="Times New Roman"/>
          <w:sz w:val="20"/>
        </w:rPr>
      </w:pPr>
      <w:r>
        <w:rPr>
          <w:rFonts w:ascii="Times New Roman" w:hAnsi="Times New Roman"/>
          <w:i/>
          <w:color w:val="000000"/>
          <w:sz w:val="20"/>
        </w:rPr>
        <w:t>Cost of Revenues – Collaborations and Services</w:t>
      </w:r>
      <w:r>
        <w:rPr>
          <w:rFonts w:ascii="Times New Roman" w:hAnsi="Times New Roman"/>
          <w:color w:val="000000"/>
          <w:sz w:val="20"/>
        </w:rPr>
        <w:t xml:space="preserve"> — Cost of revenues – for collaborations and services includes material, labor costs, manufacturing overhead, and excess capacity costs. These costs, in addition to the write-offs of inventory are recorded as expenses in the period in which they are incurred, rather than as a portion of inventory costs. Cost of revenues – for collaborations and services also includes the cost of product development.</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("R&amp;D") —</w:t>
      </w:r>
      <w:r>
        <w:rPr>
          <w:rFonts w:ascii="Times New Roman" w:hAnsi="Times New Roman"/>
          <w:color w:val="000000"/>
          <w:sz w:val="20"/>
        </w:rPr>
        <w:t xml:space="preserve"> Clinical trial expenses result from obligations under contracts with vendors, consultants and clinical site 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Cash and Cash Equivalents </w:t>
      </w:r>
      <w:r>
        <w:rPr>
          <w:rFonts w:ascii="Times New Roman" w:hAnsi="Times New Roman"/>
          <w:color w:val="000000"/>
          <w:sz w:val="20"/>
        </w:rPr>
        <w:t>— The Company considers all highly liquid investments with original or remaining maturities of 90 days or less at the time of purchase, that are readily convertible into cash to be cash equivalents. As of December 31, 2023 and 2022, cash equivalents were comprised of money market funds, corporate bonds and commercial paper with original maturities less than 90 days from the date of purchase.</w:t>
      </w:r>
    </w:p>
    <w:p>
      <w:pPr>
        <w:pStyle w:val="TextBody"/>
        <w:bidi w:val="0"/>
        <w:spacing w:before="240" w:after="283"/>
        <w:jc w:val="left"/>
        <w:rPr>
          <w:rFonts w:ascii="Times New Roman" w:hAnsi="Times New Roman"/>
          <w:sz w:val="20"/>
        </w:rPr>
      </w:pPr>
      <w:r>
        <w:rPr>
          <w:rFonts w:ascii="Times New Roman" w:hAnsi="Times New Roman"/>
          <w:i/>
          <w:color w:val="000000"/>
          <w:sz w:val="20"/>
        </w:rPr>
        <w:t>Held-to-Maturity Investments</w:t>
      </w:r>
      <w:r>
        <w:rPr>
          <w:rFonts w:ascii="Times New Roman" w:hAnsi="Times New Roman"/>
          <w:color w:val="000000"/>
          <w:sz w:val="20"/>
        </w:rPr>
        <w:t xml:space="preserve"> — The Company’s investments generally consisted of commercial paper, corporate notes or bonds and U.S. Treasury securities. As of December 31, 2023 and 2022,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consolidated balance sheets. The amortization or accretion of the Company’s investments is recognized as interest income in the consolidated statements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Available-for-Sale Investment</w:t>
      </w:r>
      <w:r>
        <w:rPr>
          <w:rFonts w:ascii="Times New Roman" w:hAnsi="Times New Roman"/>
          <w:color w:val="000000"/>
          <w:sz w:val="20"/>
        </w:rPr>
        <w:t xml:space="preserve"> — In June 2021, the Company purchased a $3.0 million convertible promissory note (the “Thirona convertible note”) issued by Thirona Bio, Inc. (“Thirona”). In January 2022, the Company purchased an additional $5.0 million convertible promissory note issued by Thirona. Unless earlier converted into conversion shares pursuant to the note purchase agreement, the aggregate principal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$8.0 million and accrued interest shall be due and payable by Thirona on demand by the Company at any time after the maturity date. The Thirona convertible notes were amended in February 2023 to extend the maturity date from December 31, 2022 to June 30, 2024. The Thirona convertible notes are general unsecured obligations of Thirona and accrue interest at a rate of 6% per annum. The Thirona convertible notes are classified as available-for-sale securities and are included in prepaid expenses and other current assets in the consolidated balance sheets. The Company periodically assesses whether it has any intention to sell the investment, determines the fair value of its available-for-sale investments using level 3 inputs and assesses whether there were other-than-temporary impairments associated with the investment. Unrealized holding gains and losses are excluded from earnings and reported in other comprehensive income until realized, while unrealized losses related to credit risk are reported through earnings in the period incurred. In June 2021, the Company and Thirona also entered into a collaboration agreement to develop a compound for the treatment of fibrotic lung diseases. See Note 11 – </w:t>
      </w:r>
      <w:r>
        <w:rPr>
          <w:rFonts w:ascii="Times New Roman" w:hAnsi="Times New Roman"/>
          <w:i/>
          <w:color w:val="000000"/>
          <w:sz w:val="20"/>
        </w:rPr>
        <w:t>Collaboration, Licensing and Other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Concentration of Credit Risk</w:t>
      </w:r>
      <w:r>
        <w:rPr>
          <w:rFonts w:ascii="Times New Roman" w:hAnsi="Times New Roman"/>
          <w:color w:val="000000"/>
          <w:sz w:val="20"/>
        </w:rPr>
        <w:t xml:space="preserve"> — Financial instruments that potentially subject the Company to concentration of credit risk consisted of cash and cash equivalents and investments. Cash and cash equivalents are held in high credit quality institutions. Cash equivalents consisted of interest-bearing money market funds and U.S. Treasury securities with original or remaining maturities of 90 days or less at the time of purchase. Investments generally consisted of commercial paper, corporate notes or bonds and U.S. Treasury securities. The cash equivalents and investments are regularly monitored by management. </w:t>
      </w:r>
    </w:p>
    <w:p>
      <w:pPr>
        <w:pStyle w:val="TextBody"/>
        <w:bidi w:val="0"/>
        <w:spacing w:before="240" w:after="283"/>
        <w:jc w:val="left"/>
        <w:rPr>
          <w:rFonts w:ascii="Times New Roman" w:hAnsi="Times New Roman"/>
          <w:sz w:val="20"/>
        </w:rPr>
      </w:pPr>
      <w:r>
        <w:rPr>
          <w:rFonts w:ascii="Times New Roman" w:hAnsi="Times New Roman"/>
          <w:i/>
          <w:color w:val="000000"/>
          <w:sz w:val="20"/>
        </w:rPr>
        <w:t>Accounts Receivable and Allowance for Credit Losses</w:t>
      </w:r>
      <w:r>
        <w:rPr>
          <w:rFonts w:ascii="Times New Roman" w:hAnsi="Times New Roman"/>
          <w:color w:val="000000"/>
          <w:sz w:val="20"/>
        </w:rPr>
        <w:t xml:space="preserve"> — Accounts receivable are recorded at the invoiced amount and are not interest bearing. 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Pre-Launch Inventory </w:t>
      </w:r>
      <w:r>
        <w:rPr>
          <w:rFonts w:ascii="Times New Roman" w:hAnsi="Times New Roman"/>
          <w:color w:val="000000"/>
          <w:sz w:val="20"/>
        </w:rPr>
        <w:t>— An improvement to the manufacturing process for the Company’s primary excipient fumaryl diketopiperazine (“FDKP”) was 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adoption are otherwise not met, the Company would not capitalize such inventory costs, choosing instead to recognize such costs as R&amp;D expense in the period incurred.</w:t>
      </w:r>
    </w:p>
    <w:p>
      <w:pPr>
        <w:pStyle w:val="TextBody"/>
        <w:bidi w:val="0"/>
        <w:spacing w:before="240" w:after="283"/>
        <w:jc w:val="left"/>
        <w:rPr>
          <w:rFonts w:ascii="Times New Roman" w:hAnsi="Times New Roman"/>
          <w:sz w:val="20"/>
        </w:rPr>
      </w:pPr>
      <w:r>
        <w:rPr>
          <w:rFonts w:ascii="Times New Roman" w:hAnsi="Times New Roman"/>
          <w:i/>
          <w:color w:val="000000"/>
          <w:sz w:val="20"/>
        </w:rPr>
        <w:t>Inventories</w:t>
      </w:r>
      <w:r>
        <w:rPr>
          <w:rFonts w:ascii="Times New Roman" w:hAnsi="Times New Roman"/>
          <w:color w:val="000000"/>
          <w:sz w:val="20"/>
        </w:rPr>
        <w:t xml:space="preserve"> — 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pStyle w:val="TextBody"/>
        <w:bidi w:val="0"/>
        <w:spacing w:before="240" w:after="283"/>
        <w:jc w:val="left"/>
        <w:rPr>
          <w:rFonts w:ascii="Times New Roman" w:hAnsi="Times New Roman"/>
          <w:sz w:val="20"/>
        </w:rPr>
      </w:pPr>
      <w:r>
        <w:rPr>
          <w:rFonts w:ascii="Times New Roman" w:hAnsi="Times New Roman"/>
          <w:i/>
          <w:color w:val="000000"/>
          <w:sz w:val="20"/>
        </w:rPr>
        <w:t>Property and Equipment</w:t>
      </w:r>
      <w:r>
        <w:rPr>
          <w:rFonts w:ascii="Times New Roman" w:hAnsi="Times New Roman"/>
          <w:color w:val="000000"/>
          <w:sz w:val="20"/>
        </w:rPr>
        <w:t xml:space="preserve"> — Property and equipment is recorded at historical cost, net of accumulated depreciation. Depreciation expense is recorded over the assets’ useful lives on a straight-line basis. See Note 7 – </w:t>
      </w:r>
      <w:r>
        <w:rPr>
          <w:rFonts w:ascii="Times New Roman" w:hAnsi="Times New Roman"/>
          <w:i/>
          <w:color w:val="000000"/>
          <w:sz w:val="20"/>
        </w:rPr>
        <w:t>Property and Equipment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 Long-lived assets include property and equipment, operating lease right-of-use assets and other intangible assets. The Company evaluates long-lived assets for impairment whenever events or changes in circumstances indicate that the carrying value of an asset may not be recoverable. Assets are considered to be impaired if the carrying value is considered to be unrecoverable.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Acquisitions — </w:t>
      </w:r>
      <w:r>
        <w:rPr>
          <w:rFonts w:ascii="Times New Roman" w:hAnsi="Times New Roman"/>
          <w:color w:val="000000"/>
          <w:sz w:val="20"/>
        </w:rPr>
        <w:t xml:space="preserve">The Company first determines whether a set of assets acquired constitute a business and should be accounted for as a business combination. 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projects, and liabilities assumed are recorded at their respective fair values as of the acquisition date in the Company’s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3 – </w:t>
      </w:r>
      <w:r>
        <w:rPr>
          <w:rFonts w:ascii="Times New Roman" w:hAnsi="Times New Roman"/>
          <w:i/>
          <w:color w:val="000000"/>
          <w:sz w:val="20"/>
        </w:rPr>
        <w:t>Acquisition</w:t>
      </w:r>
      <w:r>
        <w:rPr>
          <w:rFonts w:ascii="Times New Roman" w:hAnsi="Times New Roman"/>
          <w:color w:val="000000"/>
          <w:sz w:val="20"/>
        </w:rPr>
        <w:t>.</w:t>
      </w:r>
    </w:p>
    <w:p>
      <w:pPr>
        <w:pStyle w:val="TextBody"/>
        <w:bidi w:val="0"/>
        <w:spacing w:before="240" w:after="160"/>
        <w:jc w:val="left"/>
        <w:rPr>
          <w:rFonts w:ascii="Times New Roman" w:hAnsi="Times New Roman"/>
          <w:sz w:val="20"/>
        </w:rPr>
      </w:pPr>
      <w:r>
        <w:rPr>
          <w:rFonts w:ascii="Times New Roman" w:hAnsi="Times New Roman"/>
          <w:i/>
          <w:color w:val="000000"/>
          <w:sz w:val="20"/>
        </w:rPr>
        <w:t xml:space="preserve">Goodwill and Other Intangible Assets — </w:t>
      </w:r>
      <w:r>
        <w:rPr>
          <w:rFonts w:ascii="Times New Roman" w:hAnsi="Times New Roman"/>
          <w:color w:val="000000"/>
          <w:sz w:val="20"/>
        </w:rPr>
        <w:t xml:space="preserve">The fair value of acquired intangible assets is determined using an income-based approach referred to as the excess 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pStyle w:val="TextBody"/>
        <w:bidi w:val="0"/>
        <w:spacing w:before="240" w:after="283"/>
        <w:jc w:val="left"/>
        <w:rPr>
          <w:rFonts w:ascii="Times New Roman" w:hAnsi="Times New Roman"/>
          <w:sz w:val="20"/>
        </w:rPr>
      </w:pPr>
      <w:r>
        <w:rPr>
          <w:rFonts w:ascii="Times New Roman" w:hAnsi="Times New Roman"/>
          <w:i/>
          <w:color w:val="000000"/>
          <w:sz w:val="20"/>
        </w:rPr>
        <w:t>Recognized Loss on Purchase Commitments —</w:t>
      </w:r>
      <w:r>
        <w:rPr>
          <w:rFonts w:ascii="Times New Roman" w:hAnsi="Times New Roman"/>
          <w:color w:val="000000"/>
          <w:sz w:val="20"/>
        </w:rPr>
        <w:t xml:space="preserve"> The Company reviews the terms of the long-term supply agreements and assesses the need for any accrual for estimated losses, such as lower of cost or net realizable value, that will not be recovered by future product sales. The recognized loss on purchase commitments is reduced as inventory items are received or as the liability is extinguished. See Note 16 – </w:t>
      </w:r>
      <w:r>
        <w:rPr>
          <w:rFonts w:ascii="Times New Roman" w:hAnsi="Times New Roman"/>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Rights Liability</w:t>
      </w:r>
      <w:r>
        <w:rPr>
          <w:rFonts w:ascii="Times New Roman" w:hAnsi="Times New Roman"/>
          <w:color w:val="000000"/>
          <w:sz w:val="20"/>
        </w:rPr>
        <w:t xml:space="preserve"> — In July 2013, in conjunction with the execution of a (now repaid) loan agreement with Deerfield Private Design Fund II, L.P. 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$55.0 million of which remains payable as of December 31, 2023,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12 – </w:t>
      </w:r>
      <w:r>
        <w:rPr>
          <w:rFonts w:ascii="Times New Roman" w:hAnsi="Times New Roman"/>
          <w:i/>
          <w:color w:val="000000"/>
          <w:sz w:val="20"/>
        </w:rPr>
        <w:t>Fair Value of Financial Instruments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payment would be effectively allocated between a reduction of the recorded Milestone Rights liability and an expense representing a return on a portion of the Milestone Rights liability paid to the investor for the achievement of the related milestone event. See Note 9 –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16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Significant inputs to the valuation model are unobservable.</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 The provisions for federal, foreign, state and local income taxes are calculated on pre-tax income based on current tax law and 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pStyle w:val="TextBody"/>
        <w:bidi w:val="0"/>
        <w:spacing w:before="240" w:after="283"/>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 The Company records a loss contingency for a liability 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pStyle w:val="TextBody"/>
        <w:bidi w:val="0"/>
        <w:spacing w:before="240" w:after="283"/>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 xml:space="preserve"> — Share-based payments to employees, including grants of restricted stock units (“RSUs”), performance-based non-qualified stock options awards (“PNQs”), restricted stock units with market conditions (“Market RSUs”), options and the compensatory elements of employee stock purchase plans, are recognized in the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w:t>
      </w:r>
    </w:p>
    <w:p>
      <w:pPr>
        <w:pStyle w:val="TextBody"/>
        <w:bidi w:val="0"/>
        <w:spacing w:before="240" w:after="283"/>
        <w:jc w:val="left"/>
        <w:rPr>
          <w:rFonts w:ascii="Times New Roman" w:hAnsi="Times New Roman"/>
          <w:sz w:val="20"/>
        </w:rPr>
      </w:pPr>
      <w:r>
        <w:rPr>
          <w:rFonts w:ascii="Times New Roman" w:hAnsi="Times New Roman"/>
          <w:i/>
          <w:color w:val="000000"/>
          <w:sz w:val="20"/>
        </w:rPr>
        <w:t>Net Income (Loss) Per Share of Common Stock</w:t>
      </w:r>
      <w:r>
        <w:rPr>
          <w:rFonts w:ascii="Times New Roman" w:hAnsi="Times New Roman"/>
          <w:color w:val="000000"/>
          <w:sz w:val="20"/>
        </w:rPr>
        <w:t xml:space="preserve"> — Basic net income (loss) per share excludes dilution for potentially dilutive securities and is computed by dividing net income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and the if-converted method for convertible debt securities. For periods where the Company has presented a net loss, potentially dilutive securities are excluded from the computation of diluted net loss per share as they would be anti-dilutive.</w:t>
      </w:r>
    </w:p>
    <w:p>
      <w:pPr>
        <w:pStyle w:val="TextBody"/>
        <w:bidi w:val="0"/>
        <w:spacing w:before="240" w:after="283"/>
        <w:jc w:val="left"/>
        <w:rPr>
          <w:rFonts w:ascii="Times New Roman" w:hAnsi="Times New Roman"/>
          <w:sz w:val="20"/>
        </w:rPr>
      </w:pPr>
      <w:r>
        <w:rPr>
          <w:rFonts w:ascii="Times New Roman" w:hAnsi="Times New Roman"/>
          <w:i/>
          <w:color w:val="000000"/>
          <w:sz w:val="20"/>
        </w:rPr>
        <w:t>Recently Issued Accounting Standards</w:t>
      </w:r>
      <w:r>
        <w:rPr>
          <w:rFonts w:ascii="Times New Roman" w:hAnsi="Times New Roman"/>
          <w:color w:val="000000"/>
          <w:sz w:val="20"/>
        </w:rPr>
        <w:t xml:space="preserve"> — In November 2023, the FASB issued ASU No. 2023-07, </w:t>
      </w:r>
      <w:r>
        <w:rPr>
          <w:rFonts w:ascii="Times New Roman" w:hAnsi="Times New Roman"/>
          <w:i/>
          <w:color w:val="000000"/>
          <w:sz w:val="20"/>
        </w:rPr>
        <w:t>Segment Reporting (Topic 280) - Improvements to Reportable Segment Disclosures,</w:t>
      </w:r>
      <w:r>
        <w:rPr>
          <w:rFonts w:ascii="Times New Roman" w:hAnsi="Times New Roman"/>
          <w:color w:val="000000"/>
          <w:sz w:val="20"/>
        </w:rPr>
        <w:t xml:space="preserve"> which requires incremental disclosure of segment information on an interim and annual basis. This ASU is effective for public entities for fiscal years beginning after December 15, 2023, and interim periods within fiscal years beginning after December 15, 2024. Retrospective application to all prior periods presented in the financial statements is required for public entities. The Company is currently evaluating the impact of the guidance on its consolidated financial statement disclosures.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Improvements to Income Tax Disclosures (Topic 740)</w:t>
      </w:r>
      <w:r>
        <w:rPr>
          <w:rFonts w:ascii="Times New Roman" w:hAnsi="Times New Roman"/>
          <w:color w:val="000000"/>
          <w:sz w:val="20"/>
        </w:rPr>
        <w:t xml:space="preserve">. This ASU requires disaggregated information about a public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The Company is currently evaluating the impact of the guidance on its consolidated financial statement disclosures.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2023, the FASB issued ASU 2023-06, which amends the disclosure and presentation requirements related to various Codification subtopics. The ASU was issued in response to the SEC’s August 2018 final rule that updates and simplifies disclosure requirements the SEC believed were “redundant, duplicative, overlapping, outdated, or superseded.” The new guidance is intended to align U.S. GAAP and SEC requirements while facilitating the application of U.S. GAAP for all entities. The effective date for each amendment will be the date on which the SEC’s removal of that related disclosure requirement from Regulation S-X or Regulation S-K becomes effective, with early adoption prohibited. We are currently evaluating the impact of the guidance on our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2022, the Company purchased certain assets and assumed certain liabilities associated with the V-Go wearable insulin delivery device from Zealand Pharma A/S and Zealand Pharma US, Inc. (together “Zealand”).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agreement with Zealand, the Company paid up-front consideration of $15.3 million for certain assets and assumed liabilities related to V-Go. In addition, the Company will be obligated to make one-time, sales-based milestone payments to Zealand totaling up to a maximum of $10.0 million upon the achievement of specified annual revenue milestones between $40 million and $100 million.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total purchase consideration for V-Go was as follows (in thousands):</w:t>
      </w:r>
    </w:p>
    <w:tbl>
      <w:tblPr>
        <w:tblW w:w="5215" w:type="dxa"/>
        <w:jc w:val="left"/>
        <w:tblInd w:w="0" w:type="dxa"/>
        <w:tblLayout w:type="fixed"/>
        <w:tblCellMar>
          <w:top w:w="28" w:type="dxa"/>
          <w:left w:w="28" w:type="dxa"/>
          <w:bottom w:w="28" w:type="dxa"/>
          <w:right w:w="28" w:type="dxa"/>
        </w:tblCellMar>
      </w:tblPr>
      <w:tblGrid>
        <w:gridCol w:w="3591"/>
        <w:gridCol w:w="146"/>
        <w:gridCol w:w="211"/>
        <w:gridCol w:w="676"/>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of consideration: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Fair value of contingent consideration</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2"/>
        </w:rPr>
      </w:pPr>
      <w:r>
        <w:rPr>
          <w:rFonts w:ascii="Times New Roman" w:hAnsi="Times New Roman"/>
          <w:color w:val="000000"/>
          <w:sz w:val="12"/>
        </w:rPr>
        <w:t>___________________________</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Subsequent changes in the fair value are reported in general and administrative expenses. See Note 12 – </w:t>
      </w:r>
      <w:r>
        <w:rPr>
          <w:rFonts w:ascii="Times New Roman" w:hAnsi="Times New Roman"/>
          <w:i/>
          <w:color w:val="000000"/>
          <w:sz w:val="18"/>
        </w:rPr>
        <w:t>Fair Value of Financial Instruments</w:t>
      </w:r>
      <w:r>
        <w:rPr>
          <w:rFonts w:ascii="Times New Roman" w:hAnsi="Times New Roman"/>
          <w:color w:val="000000"/>
          <w:sz w:val="20"/>
        </w:rPr>
        <w:t xml:space="preserve"> </w:t>
      </w:r>
      <w:r>
        <w:rPr>
          <w:rFonts w:ascii="Times New Roman" w:hAnsi="Times New Roman"/>
          <w:color w:val="000000"/>
          <w:sz w:val="18"/>
        </w:rPr>
        <w:t>for subsequent fair value disclosures.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fair value of the contingent milestone liability was estimated using the Monte Carlo simulation method for the calculation of the potential payment and the Geometric Brownian Motion forecasting model to estimate the underlying revenue. Market-based inputs and other level 3 inputs were used to forecast future revenue. The key inputs used included a risk-free rate of 2.95%, dividend yield of 0%, volatility of 65%, period of 15 years and credit risk of 12%.</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transaction was accounted for using the acquisition method of accounting, which requires, among other things, the assets acquired and liabilities assumed to be recognized at their respective fair values as of the acquisition date. The excess of the purchase price over those fair values was recorded as goodwill, which will be amortized over a period of 15 years for tax purposes. The estimates and assumptions used include the projected timing and amount of future cash flows and discount rates to reflect the risk inherent in the future cash flows. In May 2023, the Company finalized the fair value for assets acquired and liabilities assumed for V-Go.</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Inventory of $11.2 million consisted of raw materials, semi-finished goods and finished goods. The fair value of the inventory was determined based on the estimated selling price to be generated from the finished goods, less costs to sell, including a reasonable margin, which are level 3 inputs not observable in the market. Property and equipment and assumed liabilities were recorded at their carrying amounts which were deemed to approximate their fair values based on level 3 unobservable inputs. The fair values of the right-of-use assets and lease liabilities for assumed operating leases were assessed in accordance with ASC 842, </w:t>
      </w:r>
      <w:r>
        <w:rPr>
          <w:rFonts w:ascii="Times New Roman" w:hAnsi="Times New Roman"/>
          <w:i/>
          <w:color w:val="000000"/>
          <w:sz w:val="20"/>
        </w:rPr>
        <w:t>Leases</w:t>
      </w:r>
      <w:r>
        <w:rPr>
          <w:rFonts w:ascii="Times New Roman" w:hAnsi="Times New Roman"/>
          <w:color w:val="000000"/>
          <w:sz w:val="20"/>
        </w:rPr>
        <w:t>, based on discounted cash flow from lease payments, utilizing the Company’s incremental borrowing rate of 7.25%.</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fair value of the intangible asset was determined by applying the income approach based on significant level 3 unobservable inputs. The income approach estimates fair value based on the present value of cash flow that the assets could be expected to generate in the future. The Company developed internal estimates for expected cash flows in the present value calculation using inputs and significant assumptions that include historical revenues and earnings, long-term growth rate, discount rate, contributory asset charges and future tax rates, among others.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information below reflects the preliminary amounts of identifiable assets acquired and liabilities assumed as of May 31, 2023 (in thousands): </w:t>
      </w:r>
    </w:p>
    <w:tbl>
      <w:tblPr>
        <w:tblW w:w="5230" w:type="dxa"/>
        <w:jc w:val="left"/>
        <w:tblInd w:w="0" w:type="dxa"/>
        <w:tblLayout w:type="fixed"/>
        <w:tblCellMar>
          <w:top w:w="28" w:type="dxa"/>
          <w:left w:w="28" w:type="dxa"/>
          <w:bottom w:w="28" w:type="dxa"/>
          <w:right w:w="28" w:type="dxa"/>
        </w:tblCellMar>
      </w:tblPr>
      <w:tblGrid>
        <w:gridCol w:w="3606"/>
        <w:gridCol w:w="146"/>
        <w:gridCol w:w="211"/>
        <w:gridCol w:w="676"/>
        <w:gridCol w:w="5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200"/>
              <w:jc w:val="center"/>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Inventory</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6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Goodwill</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6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 - 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60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Liabilities assumed</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2"/>
        </w:rPr>
      </w:pPr>
      <w:r>
        <w:rPr>
          <w:rFonts w:ascii="Times New Roman" w:hAnsi="Times New Roman"/>
          <w:color w:val="000000"/>
          <w:sz w:val="12"/>
        </w:rPr>
        <w:t>___________________________</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sz w:val="20"/>
        </w:rPr>
      </w:pPr>
      <w:r>
        <w:rPr>
          <w:rFonts w:ascii="Times New Roman" w:hAnsi="Times New Roman"/>
          <w:color w:val="000000"/>
          <w:sz w:val="18"/>
        </w:rPr>
        <w:t>Through May 2023, goodwill related to the acquisition of V-Go was adjusted for a reduction in rebate-related liabilities partially offset by a reserve for inventory obsolescence.</w:t>
      </w:r>
      <w:r>
        <w:rPr>
          <w:rFonts w:ascii="Times New Roman" w:hAnsi="Times New Roman"/>
          <w:color w:val="000000"/>
          <w:sz w:val="20"/>
        </w:rPr>
        <w:t xml:space="preserv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 incurred acquisition-related costs of approximately $0.4 million for the year ended December 31, 2022. There were no acquisition-related costs incurred for the year ended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Investments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Cash Equivalents </w:t>
      </w:r>
      <w:r>
        <w:rPr>
          <w:rFonts w:ascii="Times New Roman" w:hAnsi="Times New Roman"/>
          <w:color w:val="000000"/>
          <w:sz w:val="20"/>
        </w:rPr>
        <w:t xml:space="preserve">— Cash equivalents consist of highly liquid investments with original or remaining maturities of 90 days or less at the time of purchase that are readily convertible into cash. </w:t>
      </w:r>
    </w:p>
    <w:p>
      <w:pPr>
        <w:pStyle w:val="TextBody"/>
        <w:bidi w:val="0"/>
        <w:spacing w:before="240" w:after="283"/>
        <w:jc w:val="left"/>
        <w:rPr>
          <w:rFonts w:ascii="Times New Roman" w:hAnsi="Times New Roman"/>
          <w:sz w:val="20"/>
        </w:rPr>
      </w:pPr>
      <w:r>
        <w:rPr>
          <w:rFonts w:ascii="Times New Roman" w:hAnsi="Times New Roman"/>
          <w:i/>
          <w:color w:val="000000"/>
          <w:sz w:val="20"/>
        </w:rPr>
        <w:t>Available-for-Sale Investment</w:t>
      </w:r>
      <w:r>
        <w:rPr>
          <w:rFonts w:ascii="Times New Roman" w:hAnsi="Times New Roman"/>
          <w:color w:val="000000"/>
          <w:sz w:val="20"/>
        </w:rPr>
        <w:t xml:space="preserve"> — The Thirona convertible notes are classified as available-for-sale securities and are included in prepaid expenses and other current assets in the consolidated balance sheets. Available-for-sale investments are subsequently measured at fair value with realized gains and losses reported in other income (expense) in the consolidated statements of operations. Unrealized holding gains and losses are excluded from earnings and reported in other comprehensive income (loss) until realized. The Company determines the fair value of its available-for-sale investments using level 3 inputs and evaluates the fair value of its investment in Thirona by applying a Monte Carlo simulation model. For each of the years ended December 31, 2023 and 2022, the Company recognized $0.5 million of interest income on investment. The Company's investment in Thirona is comprised of two notes with aggregate face value of $8.0 million and stated interest rate of 6%. As of December 31, 2023 and 2022, the fair value of the Company's investment in Thirona was $6.9 million and $7.1 million, respectively. In addition, the Company determined that there were related credit losses on the investment of $0.2 million and $0.9 million during the years ended December 31, 2023 and 2022, respectively, which were recognized in the consolidated statements of operations. No unrealized holding gain or loss was recognized in accumulated other comprehensive income (loss) during the years ended December 31, 2023, 2022,- and 2021.</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Held-to-Maturity Investments </w:t>
      </w:r>
      <w:r>
        <w:rPr>
          <w:rFonts w:ascii="Times New Roman" w:hAnsi="Times New Roman"/>
          <w:color w:val="000000"/>
          <w:sz w:val="20"/>
        </w:rPr>
        <w:t>— Investments consist of highly liquid investments that are intended to facilitate liquidity and capital preservation. The amortization or accretion of the Company’s investments is recognized as interest income in the consolidated statements of operations and was approximately $1.6 million and $0.7 million for the years ended December 31, 2023 and 2022, respectively. No allowance for credit losses on held-to-maturity securities was required as of December 31, 2023 or 2022.</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contractual maturities of the Company’s held-to-maturity investments are summarized below (in thousands):</w:t>
      </w:r>
    </w:p>
    <w:tbl>
      <w:tblPr>
        <w:tblW w:w="8687"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11"/>
        <w:gridCol w:w="781"/>
        <w:gridCol w:w="146"/>
        <w:gridCol w:w="146"/>
        <w:gridCol w:w="211"/>
        <w:gridCol w:w="781"/>
        <w:gridCol w:w="146"/>
        <w:gridCol w:w="146"/>
        <w:gridCol w:w="211"/>
        <w:gridCol w:w="781"/>
        <w:gridCol w:w="5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Due in one year or less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156,976</w:t>
            </w:r>
          </w:p>
        </w:tc>
        <w:tc>
          <w:tcPr>
            <w:tcW w:w="5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154,823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158,924</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2"/>
        </w:rPr>
      </w:pPr>
      <w:r>
        <w:rPr>
          <w:rFonts w:ascii="Times New Roman" w:hAnsi="Times New Roman"/>
          <w:color w:val="000000"/>
          <w:sz w:val="12"/>
        </w:rPr>
        <w:t>___________________________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sz w:val="20"/>
        </w:rPr>
      </w:pPr>
      <w:r>
        <w:rPr>
          <w:rFonts w:ascii="Times New Roman" w:hAnsi="Times New Roman"/>
          <w:color w:val="000000"/>
          <w:sz w:val="18"/>
        </w:rPr>
        <w:t>The investments due in one year or less include cash equivalents of $58.6 million as of December 31, 2023 and $51.8 million as of December 31, 2022.</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cash equivalents, long-term and short-term investments are disclosed below (in millions):</w:t>
      </w:r>
    </w:p>
    <w:p>
      <w:pPr>
        <w:pStyle w:val="TextBody"/>
        <w:bidi w:val="0"/>
        <w:spacing w:before="240" w:after="283"/>
        <w:jc w:val="left"/>
        <w:rPr/>
      </w:pPr>
      <w:r>
        <w:rPr/>
        <w:t> </w:t>
      </w:r>
    </w:p>
    <w:tbl>
      <w:tblPr>
        <w:tblW w:w="10159" w:type="dxa"/>
        <w:jc w:val="left"/>
        <w:tblInd w:w="0" w:type="dxa"/>
        <w:tblLayout w:type="fixed"/>
        <w:tblCellMar>
          <w:top w:w="28" w:type="dxa"/>
          <w:left w:w="28" w:type="dxa"/>
          <w:bottom w:w="28" w:type="dxa"/>
          <w:right w:w="28" w:type="dxa"/>
        </w:tblCellMar>
      </w:tblPr>
      <w:tblGrid>
        <w:gridCol w:w="3716"/>
        <w:gridCol w:w="146"/>
        <w:gridCol w:w="1336"/>
        <w:gridCol w:w="146"/>
        <w:gridCol w:w="368"/>
        <w:gridCol w:w="997"/>
        <w:gridCol w:w="166"/>
        <w:gridCol w:w="146"/>
        <w:gridCol w:w="497"/>
        <w:gridCol w:w="853"/>
        <w:gridCol w:w="146"/>
        <w:gridCol w:w="146"/>
        <w:gridCol w:w="238"/>
        <w:gridCol w:w="647"/>
        <w:gridCol w:w="61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6"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611" w:type="dxa"/>
            <w:tcBorders/>
            <w:shd w:fill="CFF0FC" w:val="clear"/>
            <w:vAlign w:val="center"/>
          </w:tcPr>
          <w:p>
            <w:pPr>
              <w:pStyle w:val="TableContents"/>
              <w:bidi w:val="0"/>
              <w:spacing w:before="0" w:after="283"/>
              <w:jc w:val="left"/>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611" w:type="dxa"/>
            <w:tcBorders/>
            <w:shd w:fill="FFFFFF" w:val="clear"/>
            <w:vAlign w:val="center"/>
          </w:tcPr>
          <w:p>
            <w:pPr>
              <w:pStyle w:val="TableContents"/>
              <w:bidi w:val="0"/>
              <w:spacing w:before="0" w:after="283"/>
              <w:jc w:val="left"/>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611" w:type="dxa"/>
            <w:tcBorders/>
            <w:shd w:fill="FFFFFF" w:val="clear"/>
            <w:vAlign w:val="center"/>
          </w:tcPr>
          <w:p>
            <w:pPr>
              <w:pStyle w:val="TableContents"/>
              <w:bidi w:val="0"/>
              <w:spacing w:before="0" w:after="283"/>
              <w:jc w:val="left"/>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0179" w:type="dxa"/>
        <w:jc w:val="left"/>
        <w:tblInd w:w="0" w:type="dxa"/>
        <w:tblLayout w:type="fixed"/>
        <w:tblCellMar>
          <w:top w:w="28" w:type="dxa"/>
          <w:left w:w="28" w:type="dxa"/>
          <w:bottom w:w="28" w:type="dxa"/>
          <w:right w:w="28" w:type="dxa"/>
        </w:tblCellMar>
      </w:tblPr>
      <w:tblGrid>
        <w:gridCol w:w="3716"/>
        <w:gridCol w:w="146"/>
        <w:gridCol w:w="1336"/>
        <w:gridCol w:w="146"/>
        <w:gridCol w:w="368"/>
        <w:gridCol w:w="997"/>
        <w:gridCol w:w="166"/>
        <w:gridCol w:w="146"/>
        <w:gridCol w:w="449"/>
        <w:gridCol w:w="901"/>
        <w:gridCol w:w="166"/>
        <w:gridCol w:w="146"/>
        <w:gridCol w:w="238"/>
        <w:gridCol w:w="647"/>
        <w:gridCol w:w="61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06"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611" w:type="dxa"/>
            <w:tcBorders/>
            <w:shd w:fill="CFF0FC" w:val="clear"/>
            <w:vAlign w:val="center"/>
          </w:tcPr>
          <w:p>
            <w:pPr>
              <w:pStyle w:val="TableContents"/>
              <w:bidi w:val="0"/>
              <w:spacing w:before="0" w:after="283"/>
              <w:jc w:val="left"/>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1" w:type="dxa"/>
            <w:tcBorders/>
            <w:shd w:fill="FFFFFF" w:val="clear"/>
            <w:vAlign w:val="center"/>
          </w:tcPr>
          <w:p>
            <w:pPr>
              <w:pStyle w:val="TableContents"/>
              <w:bidi w:val="0"/>
              <w:spacing w:before="0" w:after="283"/>
              <w:jc w:val="left"/>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611" w:type="dxa"/>
            <w:tcBorders/>
            <w:shd w:fill="FFFFFF" w:val="clear"/>
            <w:vAlign w:val="center"/>
          </w:tcPr>
          <w:p>
            <w:pPr>
              <w:pStyle w:val="TableContents"/>
              <w:bidi w:val="0"/>
              <w:spacing w:before="0" w:after="283"/>
              <w:jc w:val="left"/>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there was $0.5 million of accrued interest receivable included in prepaid expense and other current assets in our consolidated balance sheets. As of December 31, 2022, there was $0.6 million of accrued interest receivable and $5.1 million of amount receivable on matured investment.</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consists of the following (in thousands):</w:t>
      </w:r>
    </w:p>
    <w:p>
      <w:pPr>
        <w:pStyle w:val="TextBody"/>
        <w:bidi w:val="0"/>
        <w:spacing w:before="120" w:after="283"/>
        <w:jc w:val="left"/>
        <w:rPr/>
      </w:pPr>
      <w:r>
        <w:rPr/>
        <w:t> </w:t>
      </w:r>
    </w:p>
    <w:tbl>
      <w:tblPr>
        <w:tblW w:w="8995" w:type="dxa"/>
        <w:jc w:val="left"/>
        <w:tblInd w:w="0" w:type="dxa"/>
        <w:tblLayout w:type="fixed"/>
        <w:tblCellMar>
          <w:top w:w="28" w:type="dxa"/>
          <w:left w:w="28" w:type="dxa"/>
          <w:bottom w:w="28" w:type="dxa"/>
          <w:right w:w="28" w:type="dxa"/>
        </w:tblCellMar>
      </w:tblPr>
      <w:tblGrid>
        <w:gridCol w:w="4746"/>
        <w:gridCol w:w="146"/>
        <w:gridCol w:w="357"/>
        <w:gridCol w:w="1143"/>
        <w:gridCol w:w="166"/>
        <w:gridCol w:w="146"/>
        <w:gridCol w:w="357"/>
        <w:gridCol w:w="1143"/>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commercial</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200"/>
              <w:jc w:val="center"/>
              <w:rPr/>
            </w:pPr>
            <w:r>
              <w:rPr/>
              <w:t> </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Wholesaler distribution fees and prompt pay discounts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Reserve for returns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accounts receivable – commercial, net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w:t>
            </w:r>
          </w:p>
        </w:tc>
        <w:tc>
          <w:tcPr>
            <w:tcW w:w="791" w:type="dxa"/>
            <w:tcBorders/>
            <w:shd w:fill="FFFFFF" w:val="clear"/>
            <w:vAlign w:val="center"/>
          </w:tcPr>
          <w:p>
            <w:pPr>
              <w:pStyle w:val="TableContents"/>
              <w:bidi w:val="0"/>
              <w:spacing w:before="0" w:after="283"/>
              <w:jc w:val="left"/>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collaborations and services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791" w:type="dxa"/>
            <w:tcBorders/>
            <w:shd w:fill="CFF0FC" w:val="clear"/>
            <w:vAlign w:val="center"/>
          </w:tcPr>
          <w:p>
            <w:pPr>
              <w:pStyle w:val="TableContents"/>
              <w:bidi w:val="0"/>
              <w:spacing w:before="0" w:after="283"/>
              <w:ind w:left="0" w:right="0" w:firstLine="600"/>
              <w:jc w:val="left"/>
              <w:rPr/>
            </w:pPr>
            <w:r>
              <w:rPr/>
              <w:t> </w:t>
            </w:r>
          </w:p>
        </w:tc>
      </w:tr>
      <w:tr>
        <w:trPr/>
        <w:tc>
          <w:tcPr>
            <w:tcW w:w="474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As of December 31, 2023 , the allowances for credit losses and doubtful accounts for commercial accounts receivable of $0.2 million was related to $0.2 million of accounts receivable for Zealand. As of December 31, 2022, the allowances for credit losses and doubtful accounts for commercial accounts receivable was </w:t>
      </w:r>
      <w:r>
        <w:rPr>
          <w:rFonts w:ascii="Times New Roman" w:hAnsi="Times New Roman"/>
          <w:i/>
          <w:color w:val="000000"/>
          <w:sz w:val="20"/>
        </w:rPr>
        <w:t>de minimis</w:t>
      </w:r>
      <w:r>
        <w:rPr>
          <w:rFonts w:ascii="Times New Roman" w:hAnsi="Times New Roman"/>
          <w:color w:val="000000"/>
          <w:sz w:val="20"/>
        </w:rPr>
        <w:t>. As of December 31, 2023 and 2022, the Company had three wholesale distributors representing approximately 85% and 74% of gross sales and 74% and 79% of commercial accounts receivable,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there was no allowance for credit losses for accounts receivable for collaborations and services. The Company had one collaboration partner, UT, that comprised 100% of the collaboration and services net accounts receivable as of December 31, 2023 and approximately 100% and 98% of gross revenue from collaborations and services for the years ended December 31,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net of gross-to-net adjustments. The activities and ending reserve balance consists of the following (in thousands):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85" w:type="dxa"/>
        <w:jc w:val="left"/>
        <w:tblInd w:w="0" w:type="dxa"/>
        <w:tblLayout w:type="fixed"/>
        <w:tblCellMar>
          <w:top w:w="28" w:type="dxa"/>
          <w:left w:w="28" w:type="dxa"/>
          <w:bottom w:w="28" w:type="dxa"/>
          <w:right w:w="28" w:type="dxa"/>
        </w:tblCellMar>
      </w:tblPr>
      <w:tblGrid>
        <w:gridCol w:w="6136"/>
        <w:gridCol w:w="146"/>
        <w:gridCol w:w="334"/>
        <w:gridCol w:w="1166"/>
        <w:gridCol w:w="166"/>
        <w:gridCol w:w="146"/>
        <w:gridCol w:w="334"/>
        <w:gridCol w:w="1166"/>
        <w:gridCol w:w="59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Prompt Pay Discount Reserve, Allowance for Wholesale Distribution Fees </w:t>
              <w:br/>
              <w:t>and Accounts Receivable Reserves: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200"/>
              <w:jc w:val="center"/>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1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17,471</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1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Deductions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Inventories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tbl>
      <w:tblPr>
        <w:tblW w:w="5425" w:type="dxa"/>
        <w:jc w:val="left"/>
        <w:tblInd w:w="0" w:type="dxa"/>
        <w:tblLayout w:type="fixed"/>
        <w:tblCellMar>
          <w:top w:w="28" w:type="dxa"/>
          <w:left w:w="28" w:type="dxa"/>
          <w:bottom w:w="28" w:type="dxa"/>
          <w:right w:w="28" w:type="dxa"/>
        </w:tblCellMar>
      </w:tblPr>
      <w:tblGrid>
        <w:gridCol w:w="1596"/>
        <w:gridCol w:w="146"/>
        <w:gridCol w:w="357"/>
        <w:gridCol w:w="1143"/>
        <w:gridCol w:w="146"/>
        <w:gridCol w:w="146"/>
        <w:gridCol w:w="357"/>
        <w:gridCol w:w="1143"/>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391" w:type="dxa"/>
            <w:tcBorders/>
            <w:shd w:fill="CFF0FC" w:val="clear"/>
            <w:vAlign w:val="center"/>
          </w:tcPr>
          <w:p>
            <w:pPr>
              <w:pStyle w:val="TableContents"/>
              <w:bidi w:val="0"/>
              <w:spacing w:before="0" w:after="283"/>
              <w:jc w:val="left"/>
              <w:rPr/>
            </w:pPr>
            <w:r>
              <w:rPr/>
              <w:t> </w:t>
            </w:r>
          </w:p>
        </w:tc>
      </w:tr>
      <w:tr>
        <w:trPr/>
        <w:tc>
          <w:tcPr>
            <w:tcW w:w="1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13,815</w:t>
            </w:r>
          </w:p>
        </w:tc>
        <w:tc>
          <w:tcPr>
            <w:tcW w:w="391" w:type="dxa"/>
            <w:tcBorders/>
            <w:shd w:fill="FFFFFF" w:val="clear"/>
            <w:vAlign w:val="center"/>
          </w:tcPr>
          <w:p>
            <w:pPr>
              <w:pStyle w:val="TableContents"/>
              <w:bidi w:val="0"/>
              <w:spacing w:before="0" w:after="283"/>
              <w:jc w:val="left"/>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Work-in-process and finished goods as of December 31, 2023 and 2022 include conversion costs and exclude the cost of insulin. All insulin inventory on hand was written off and the projected loss on the purchase commitment contract to purchase future insulin was accrued as of the end of 2016. Raw materials inventory included $0.8 million of pre-launch inventory as of December 31, 2023 and 2022, which consisted of FDKP received in November 2019.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December 31, 2023 and 2022. Inventory that was forecasted to become obsolete due to expiration as well as inventory that does not meet acceptable standards is recorded in costs of goods sold in the consolidated statements of operations and a reserve for inventory in our consolidated balance sheets. As a result of this assessment there were inventory write-offs of $4.6 million and $2.2 million for the years ended December 31, 2023 and 2022,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 of the following (in thousands):</w:t>
      </w:r>
    </w:p>
    <w:p>
      <w:pPr>
        <w:pStyle w:val="TextBody"/>
        <w:bidi w:val="0"/>
        <w:spacing w:before="120" w:after="283"/>
        <w:jc w:val="left"/>
        <w:rPr/>
      </w:pPr>
      <w:r>
        <w:rPr/>
        <w:t> </w:t>
      </w:r>
    </w:p>
    <w:tbl>
      <w:tblPr>
        <w:tblW w:w="8827" w:type="dxa"/>
        <w:jc w:val="left"/>
        <w:tblInd w:w="0" w:type="dxa"/>
        <w:tblLayout w:type="fixed"/>
        <w:tblCellMar>
          <w:top w:w="28" w:type="dxa"/>
          <w:left w:w="28" w:type="dxa"/>
          <w:bottom w:w="28" w:type="dxa"/>
          <w:right w:w="28" w:type="dxa"/>
        </w:tblCellMar>
      </w:tblPr>
      <w:tblGrid>
        <w:gridCol w:w="3346"/>
        <w:gridCol w:w="146"/>
        <w:gridCol w:w="391"/>
        <w:gridCol w:w="929"/>
        <w:gridCol w:w="146"/>
        <w:gridCol w:w="146"/>
        <w:gridCol w:w="301"/>
        <w:gridCol w:w="1199"/>
        <w:gridCol w:w="166"/>
        <w:gridCol w:w="146"/>
        <w:gridCol w:w="319"/>
        <w:gridCol w:w="1181"/>
        <w:gridCol w:w="4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12"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improvements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38,952</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58,542</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143,686</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Depreciation expense related to property and equipment for the years ended December 31, 2023, 2022 and 2021 was $4.5 million, $3.3 million and $2.0 million, respectively. During the years ended December 31, 2023 and 2022, the Company retired $2.1 million and $2.4 million, respectively of manufacturing equipment, computer hardware and software, computer equipment, lab equipment, and building improvements, as it was no longer in service. The net book value for the disposed assets during the years ended December 31, 2023 and 2022 was $0.6 million and </w:t>
      </w:r>
      <w:r>
        <w:rPr>
          <w:rFonts w:ascii="Times New Roman" w:hAnsi="Times New Roman"/>
          <w:i/>
          <w:color w:val="000000"/>
          <w:sz w:val="20"/>
        </w:rPr>
        <w:t>de minimis</w:t>
      </w:r>
      <w:r>
        <w:rPr>
          <w:rFonts w:ascii="Times New Roman" w:hAnsi="Times New Roman"/>
          <w:color w:val="000000"/>
          <w:sz w:val="20"/>
        </w:rPr>
        <w:t xml:space="preserv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2021, the Company sold certain land, building and improvements located in Danbury, CT (the “Property”) to an affiliate of Creative Manufacturing Properties (the “Purchaser”) for a sales price of $102.3 million, subject to terms and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finance lease and the Property remains as a long-lived asset of the Company and is depreciated at its remaining useful life of 20 years or less. See Note 16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8. Goodwill and Other Intangible Asset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 Goodwill represents the excess of the purchase price over the identifiable tangible and intangible assets acquired plus liabilities assumed arising from business combinations. The balance of goodwill was approximately $1.9 million and $2.4 million as of December 31, 2023 and 2022, respectively, as a result of the Company's acquisition of V-Go in May 2022. Through May 2023, goodwill related to the acquisition of V-Go was adjusted for a reduction in rebate-related liabilities partially offset by a reserve for inventory obsolescence. Goodwill is tested at least annually for impairment by assessing qualitative factors in determining whether it is more likely than not that the fair value of net assets is below their carrying amounts. See Note 2 – </w:t>
      </w:r>
      <w:r>
        <w:rPr>
          <w:rFonts w:ascii="Times New Roman" w:hAnsi="Times New Roman"/>
          <w:i/>
          <w:color w:val="000000"/>
          <w:sz w:val="20"/>
        </w:rPr>
        <w:t>Summary of Significant Accounting Policies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Intangible Asset </w:t>
      </w:r>
      <w:r>
        <w:rPr>
          <w:rFonts w:ascii="Times New Roman" w:hAnsi="Times New Roman"/>
          <w:color w:val="000000"/>
          <w:sz w:val="20"/>
        </w:rPr>
        <w:t>— Other intangible asset consisted of the following (in thousands):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72"/>
        <w:gridCol w:w="146"/>
        <w:gridCol w:w="282"/>
        <w:gridCol w:w="611"/>
        <w:gridCol w:w="146"/>
        <w:gridCol w:w="146"/>
        <w:gridCol w:w="211"/>
        <w:gridCol w:w="571"/>
        <w:gridCol w:w="146"/>
        <w:gridCol w:w="146"/>
        <w:gridCol w:w="329"/>
        <w:gridCol w:w="752"/>
        <w:gridCol w:w="166"/>
        <w:gridCol w:w="146"/>
        <w:gridCol w:w="267"/>
        <w:gridCol w:w="724"/>
        <w:gridCol w:w="146"/>
        <w:gridCol w:w="146"/>
        <w:gridCol w:w="211"/>
        <w:gridCol w:w="571"/>
        <w:gridCol w:w="146"/>
        <w:gridCol w:w="146"/>
        <w:gridCol w:w="388"/>
        <w:gridCol w:w="693"/>
        <w:gridCol w:w="166"/>
        <w:gridCol w:w="146"/>
        <w:gridCol w:w="267"/>
        <w:gridCol w:w="724"/>
        <w:gridCol w:w="194"/>
      </w:tblGrid>
      <w:tr>
        <w:trPr/>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94"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Amortization expense related to the other intangible asset was $0.1 million and </w:t>
      </w:r>
      <w:r>
        <w:rPr>
          <w:rFonts w:ascii="Times New Roman" w:hAnsi="Times New Roman"/>
          <w:i/>
          <w:color w:val="000000"/>
          <w:sz w:val="20"/>
        </w:rPr>
        <w:t xml:space="preserve">de minimis </w:t>
      </w:r>
      <w:r>
        <w:rPr>
          <w:rFonts w:ascii="Times New Roman" w:hAnsi="Times New Roman"/>
          <w:color w:val="000000"/>
          <w:sz w:val="20"/>
        </w:rPr>
        <w:t>for the years ended December 31,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annual amortization expense for the other intangible asset for the years ended December 31, 2024 through 2028 will be approximately $0.1 million per year and $0.7 million, thereafter.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evaluates its other intangible asset for potential impairment when events or changes in circumstances indicate that the carrying amount of an asset or asset group may not be recoverable. </w:t>
      </w:r>
      <w:r>
        <w:rPr>
          <w:rFonts w:ascii="Times New Roman" w:hAnsi="Times New Roman"/>
          <w:i/>
          <w:color w:val="000000"/>
          <w:sz w:val="20"/>
        </w:rPr>
        <w:t>See Note 2 – Summary of Significant Accounting Policies</w:t>
      </w:r>
      <w:r>
        <w:rPr>
          <w:rFonts w:ascii="Times New Roman" w:hAnsi="Times New Roman"/>
          <w:color w:val="000000"/>
          <w:sz w:val="20"/>
        </w:rPr>
        <w:t>.</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were comprised of the following (in thousands):</w:t>
      </w:r>
    </w:p>
    <w:p>
      <w:pPr>
        <w:pStyle w:val="TextBody"/>
        <w:bidi w:val="0"/>
        <w:spacing w:before="120" w:after="283"/>
        <w:jc w:val="left"/>
        <w:rPr/>
      </w:pPr>
      <w:r>
        <w:rPr/>
        <w:t> </w:t>
      </w:r>
    </w:p>
    <w:tbl>
      <w:tblPr>
        <w:tblW w:w="8420" w:type="dxa"/>
        <w:jc w:val="left"/>
        <w:tblInd w:w="0" w:type="dxa"/>
        <w:tblLayout w:type="fixed"/>
        <w:tblCellMar>
          <w:top w:w="28" w:type="dxa"/>
          <w:left w:w="28" w:type="dxa"/>
          <w:bottom w:w="28" w:type="dxa"/>
          <w:right w:w="28" w:type="dxa"/>
        </w:tblCellMar>
      </w:tblPr>
      <w:tblGrid>
        <w:gridCol w:w="4591"/>
        <w:gridCol w:w="146"/>
        <w:gridCol w:w="357"/>
        <w:gridCol w:w="1143"/>
        <w:gridCol w:w="146"/>
        <w:gridCol w:w="146"/>
        <w:gridCol w:w="357"/>
        <w:gridCol w:w="1143"/>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related expenses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14,906</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Discounts and allowances for commercial product sales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8,504</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liability</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lease liability</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milestone rights liability</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Returns reserve for acquired product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Danbury facility buildout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for discounts and allowances for commercial product sales is reflected as a component of net revenues. The activities and ending balances consisted of the following (in thousands):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20" w:type="dxa"/>
        <w:jc w:val="left"/>
        <w:tblInd w:w="0" w:type="dxa"/>
        <w:tblLayout w:type="fixed"/>
        <w:tblCellMar>
          <w:top w:w="28" w:type="dxa"/>
          <w:left w:w="28" w:type="dxa"/>
          <w:bottom w:w="28" w:type="dxa"/>
          <w:right w:w="28" w:type="dxa"/>
        </w:tblCellMar>
      </w:tblPr>
      <w:tblGrid>
        <w:gridCol w:w="4651"/>
        <w:gridCol w:w="146"/>
        <w:gridCol w:w="334"/>
        <w:gridCol w:w="1166"/>
        <w:gridCol w:w="166"/>
        <w:gridCol w:w="146"/>
        <w:gridCol w:w="334"/>
        <w:gridCol w:w="1166"/>
        <w:gridCol w:w="6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2" w:type="dxa"/>
            <w:gridSpan w:val="6"/>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4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Discounts and allowances for commercial product sales: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ind w:left="0" w:right="0" w:firstLine="200"/>
              <w:jc w:val="center"/>
              <w:rPr/>
            </w:pPr>
            <w:r>
              <w:rPr/>
              <w:t> </w:t>
            </w:r>
          </w:p>
        </w:tc>
      </w:tr>
      <w:tr>
        <w:trPr/>
        <w:tc>
          <w:tcPr>
            <w:tcW w:w="4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6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6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Deductions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V-Go opening balance sheet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Carrying amount of the Company’s borrowings consisted of the following (in thousands):</w:t>
      </w:r>
    </w:p>
    <w:p>
      <w:pPr>
        <w:pStyle w:val="TextBody"/>
        <w:bidi w:val="0"/>
        <w:spacing w:before="120" w:after="283"/>
        <w:jc w:val="left"/>
        <w:rPr/>
      </w:pPr>
      <w:r>
        <w:rPr/>
        <w:t> </w:t>
      </w:r>
    </w:p>
    <w:tbl>
      <w:tblPr>
        <w:tblW w:w="6820" w:type="dxa"/>
        <w:jc w:val="left"/>
        <w:tblInd w:w="0" w:type="dxa"/>
        <w:tblLayout w:type="fixed"/>
        <w:tblCellMar>
          <w:top w:w="28" w:type="dxa"/>
          <w:left w:w="28" w:type="dxa"/>
          <w:bottom w:w="28" w:type="dxa"/>
          <w:right w:w="28" w:type="dxa"/>
        </w:tblCellMar>
      </w:tblPr>
      <w:tblGrid>
        <w:gridCol w:w="2991"/>
        <w:gridCol w:w="146"/>
        <w:gridCol w:w="319"/>
        <w:gridCol w:w="1181"/>
        <w:gridCol w:w="146"/>
        <w:gridCol w:w="146"/>
        <w:gridCol w:w="319"/>
        <w:gridCol w:w="1181"/>
        <w:gridCol w:w="391"/>
      </w:tblGrid>
      <w:tr>
        <w:trPr/>
        <w:tc>
          <w:tcPr>
            <w:tcW w:w="2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225,397</w:t>
            </w:r>
          </w:p>
        </w:tc>
        <w:tc>
          <w:tcPr>
            <w:tcW w:w="391" w:type="dxa"/>
            <w:tcBorders/>
            <w:shd w:fill="CFF0FC" w:val="clear"/>
            <w:vAlign w:val="center"/>
          </w:tcPr>
          <w:p>
            <w:pPr>
              <w:pStyle w:val="TableContents"/>
              <w:bidi w:val="0"/>
              <w:spacing w:before="0" w:after="283"/>
              <w:jc w:val="left"/>
              <w:rPr/>
            </w:pPr>
            <w:r>
              <w:rPr/>
              <w:t> </w:t>
            </w:r>
          </w:p>
        </w:tc>
      </w:tr>
      <w:tr>
        <w:trPr/>
        <w:tc>
          <w:tcPr>
            <w:tcW w:w="2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credit facility</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39,264</w:t>
            </w:r>
          </w:p>
        </w:tc>
        <w:tc>
          <w:tcPr>
            <w:tcW w:w="391" w:type="dxa"/>
            <w:tcBorders/>
            <w:shd w:fill="FFFFFF" w:val="clear"/>
            <w:vAlign w:val="center"/>
          </w:tcPr>
          <w:p>
            <w:pPr>
              <w:pStyle w:val="TableContents"/>
              <w:bidi w:val="0"/>
              <w:spacing w:before="0" w:after="283"/>
              <w:jc w:val="left"/>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debt – net carrying amount</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2"/>
        </w:rPr>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a summary of the Company’s principal balance of debt and key terms: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9"/>
        <w:gridCol w:w="146"/>
        <w:gridCol w:w="1471"/>
        <w:gridCol w:w="146"/>
        <w:gridCol w:w="1471"/>
        <w:gridCol w:w="146"/>
        <w:gridCol w:w="1191"/>
        <w:gridCol w:w="146"/>
        <w:gridCol w:w="256"/>
        <w:gridCol w:w="166"/>
        <w:gridCol w:w="1303"/>
        <w:gridCol w:w="146"/>
        <w:gridCol w:w="1328"/>
      </w:tblGrid>
      <w:tr>
        <w:trPr/>
        <w:tc>
          <w:tcPr>
            <w:tcW w:w="2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2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Terms</w:t>
            </w:r>
          </w:p>
        </w:tc>
      </w:tr>
      <w:tr>
        <w:trPr/>
        <w:tc>
          <w:tcPr>
            <w:tcW w:w="2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Interest</w:t>
              <w:br/>
              <w:t>   Rate</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Conversion Price</w:t>
            </w:r>
          </w:p>
        </w:tc>
      </w:tr>
      <w:tr>
        <w:trPr/>
        <w:tc>
          <w:tcPr>
            <w:tcW w:w="2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$230.0 million</w:t>
            </w:r>
          </w:p>
        </w:tc>
        <w:tc>
          <w:tcPr>
            <w:tcW w:w="146"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$230.0 million</w:t>
            </w:r>
          </w:p>
        </w:tc>
        <w:tc>
          <w:tcPr>
            <w:tcW w:w="146" w:type="dxa"/>
            <w:tcBorders/>
            <w:shd w:fill="CFF0FC" w:val="clear"/>
            <w:vAlign w:val="center"/>
          </w:tcPr>
          <w:p>
            <w:pPr>
              <w:pStyle w:val="TableContents"/>
              <w:bidi w:val="0"/>
              <w:spacing w:before="0" w:after="283"/>
              <w:jc w:val="left"/>
              <w:rPr/>
            </w:pPr>
            <w:r>
              <w:rPr/>
              <w:t> </w:t>
            </w:r>
          </w:p>
        </w:tc>
        <w:tc>
          <w:tcPr>
            <w:tcW w:w="11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4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30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2026</w:t>
            </w:r>
          </w:p>
        </w:tc>
        <w:tc>
          <w:tcPr>
            <w:tcW w:w="146" w:type="dxa"/>
            <w:tcBorders/>
            <w:shd w:fill="CFF0FC" w:val="clear"/>
            <w:vAlign w:val="center"/>
          </w:tcPr>
          <w:p>
            <w:pPr>
              <w:pStyle w:val="TableContents"/>
              <w:bidi w:val="0"/>
              <w:spacing w:before="0" w:after="283"/>
              <w:jc w:val="center"/>
              <w:rPr/>
            </w:pPr>
            <w:r>
              <w:rPr/>
              <w:t> </w:t>
            </w:r>
          </w:p>
        </w:tc>
        <w:tc>
          <w:tcPr>
            <w:tcW w:w="132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$5.21 </w:t>
              <w:br/>
              <w:t>per share</w:t>
            </w:r>
          </w:p>
        </w:tc>
      </w:tr>
      <w:tr>
        <w:trPr/>
        <w:tc>
          <w:tcPr>
            <w:tcW w:w="2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credit facility</w:t>
            </w:r>
          </w:p>
        </w:tc>
        <w:tc>
          <w:tcPr>
            <w:tcW w:w="146"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 million</w:t>
            </w:r>
          </w:p>
        </w:tc>
        <w:tc>
          <w:tcPr>
            <w:tcW w:w="146"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 million</w:t>
            </w:r>
          </w:p>
        </w:tc>
        <w:tc>
          <w:tcPr>
            <w:tcW w:w="14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one-month</w:t>
              <w:br/>
              <w:t>SOFR</w:t>
              <w:br/>
              <w:t>(1% floor)</w:t>
              <w:br/>
              <w:t>plus 6.25%;</w:t>
              <w:br/>
              <w:t>cap of 8.25%</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2025</w:t>
            </w:r>
          </w:p>
        </w:tc>
        <w:tc>
          <w:tcPr>
            <w:tcW w:w="146" w:type="dxa"/>
            <w:tcBorders/>
            <w:shd w:fill="FFFFFF" w:val="clear"/>
            <w:vAlign w:val="center"/>
          </w:tcPr>
          <w:p>
            <w:pPr>
              <w:pStyle w:val="TableContents"/>
              <w:bidi w:val="0"/>
              <w:spacing w:before="0" w:after="283"/>
              <w:jc w:val="center"/>
              <w:rPr/>
            </w:pPr>
            <w:r>
              <w:rPr/>
              <w:t> </w:t>
            </w:r>
          </w:p>
        </w:tc>
        <w:tc>
          <w:tcPr>
            <w:tcW w:w="132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2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w:t>
            </w:r>
          </w:p>
        </w:tc>
        <w:tc>
          <w:tcPr>
            <w:tcW w:w="146"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million</w:t>
            </w:r>
          </w:p>
        </w:tc>
        <w:tc>
          <w:tcPr>
            <w:tcW w:w="146"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million</w:t>
            </w:r>
          </w:p>
        </w:tc>
        <w:tc>
          <w:tcPr>
            <w:tcW w:w="146" w:type="dxa"/>
            <w:tcBorders/>
            <w:shd w:fill="CFF0FC" w:val="clear"/>
            <w:vAlign w:val="center"/>
          </w:tcPr>
          <w:p>
            <w:pPr>
              <w:pStyle w:val="TableContents"/>
              <w:bidi w:val="0"/>
              <w:spacing w:before="0" w:after="283"/>
              <w:jc w:val="left"/>
              <w:rPr/>
            </w:pPr>
            <w:r>
              <w:rPr/>
              <w:t> </w:t>
            </w:r>
          </w:p>
        </w:tc>
        <w:tc>
          <w:tcPr>
            <w:tcW w:w="11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4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30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2025</w:t>
            </w:r>
          </w:p>
        </w:tc>
        <w:tc>
          <w:tcPr>
            <w:tcW w:w="146" w:type="dxa"/>
            <w:tcBorders/>
            <w:shd w:fill="CFF0FC" w:val="clear"/>
            <w:vAlign w:val="center"/>
          </w:tcPr>
          <w:p>
            <w:pPr>
              <w:pStyle w:val="TableContents"/>
              <w:bidi w:val="0"/>
              <w:spacing w:before="0" w:after="283"/>
              <w:jc w:val="center"/>
              <w:rPr/>
            </w:pPr>
            <w:r>
              <w:rPr/>
              <w:t> </w:t>
            </w:r>
          </w:p>
        </w:tc>
        <w:tc>
          <w:tcPr>
            <w:tcW w:w="132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br/>
              <w:t>per share</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In August 2022, the Company amended the MidCap credit facility and transitioned the benchmark interest rate from LIBOR to the Secured Overnight Financing Rate (“SOFR”). The interest rate prior to the amendment was one-month LIBOR (1% floor) plus 6.25% (cap of 8.25%).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maturities of the Company’s borrowings as of December 31, 2023 are as follows (in thousands):</w:t>
      </w:r>
    </w:p>
    <w:p>
      <w:pPr>
        <w:pStyle w:val="TextBody"/>
        <w:bidi w:val="0"/>
        <w:jc w:val="left"/>
        <w:rPr/>
      </w:pPr>
      <w:r>
        <w:rPr/>
        <w:t> </w:t>
      </w:r>
    </w:p>
    <w:tbl>
      <w:tblPr>
        <w:tblW w:w="5305" w:type="dxa"/>
        <w:jc w:val="left"/>
        <w:tblInd w:w="0" w:type="dxa"/>
        <w:tblLayout w:type="fixed"/>
        <w:tblCellMar>
          <w:top w:w="28" w:type="dxa"/>
          <w:left w:w="28" w:type="dxa"/>
          <w:bottom w:w="28" w:type="dxa"/>
          <w:right w:w="28" w:type="dxa"/>
        </w:tblCellMar>
      </w:tblPr>
      <w:tblGrid>
        <w:gridCol w:w="3556"/>
        <w:gridCol w:w="346"/>
        <w:gridCol w:w="211"/>
        <w:gridCol w:w="781"/>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4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w:t>
            </w:r>
          </w:p>
        </w:tc>
        <w:tc>
          <w:tcPr>
            <w:tcW w:w="4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5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principal payments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272,163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 and prepayment fee</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268,699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 xml:space="preserve">Senior convertible notes – </w:t>
      </w:r>
      <w:r>
        <w:rPr>
          <w:rFonts w:ascii="Times New Roman" w:hAnsi="Times New Roman"/>
          <w:color w:val="000000"/>
          <w:sz w:val="20"/>
        </w:rPr>
        <w:t>In March 2021, the Company issued $230.0 million aggregate principal amount of Senior convertible notes in a private offering. The Senior convertible notes were issued pursuant to an indenture, dated March 4, 2021 (the “Indenture”), between the Company and U.S. Bank National Association, as trustee.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Senior convertible notes are general unsecured obligations of the Company and will mature on March 1, 2026, unless earlier converted, redeemed or repurchased by the Company.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the common stock or a combination of cash and shares of common stock, at the Company’s election, in the manner and subject to the terms and conditions provided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Indenture includes customary covenants and sets forth certain events of default after which the Senior convertible notes may be declared immediately due and payable.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proceeds from the March 2021 offering were approximately $222.7 million, after deducting the initial purchasers’ discounts and commissions and the estimated offering expenses payable by the Company. As of December 31, 2023 and 2022, the unamortized debt issuance cost was $3.1 million and $4.6 million, respectively.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MidCap credit facility </w:t>
      </w:r>
      <w:r>
        <w:rPr>
          <w:rFonts w:ascii="Times New Roman" w:hAnsi="Times New Roman"/>
          <w:color w:val="000000"/>
          <w:sz w:val="20"/>
        </w:rPr>
        <w:t xml:space="preserve">— In August 2019, the Company entered into the MidCap credit facility and borrowed the first advance of $40.0 million (“Tranche 1”) in August 2019 and the second advance of $10.0 million (“Tranche 2”) in December 2020. In April 2021, $10.0 million was prepaid. Under the terms of the MidCap credit facility, a third advance of $60.0 million (“Tranche 3”) became available to the Company after the Tyvaso DPI approval by the FDA through June 30, 2022 (see Note 11 – </w:t>
      </w:r>
      <w:r>
        <w:rPr>
          <w:rFonts w:ascii="Times New Roman" w:hAnsi="Times New Roman"/>
          <w:i/>
          <w:color w:val="000000"/>
          <w:sz w:val="20"/>
        </w:rPr>
        <w:t>Collaboration, Licensing and Other Arrangements</w:t>
      </w:r>
      <w:r>
        <w:rPr>
          <w:rFonts w:ascii="Times New Roman" w:hAnsi="Times New Roman"/>
          <w:color w:val="000000"/>
          <w:sz w:val="20"/>
        </w:rPr>
        <w:t>). The Company did not exercise its right to borrow Tranche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MidCap credit facility has been amended several times, including in April 2021 when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prepayment penalty of $1.0 million related to the payment of $10.0 million was capitalized and is being amortized over the remaining life of the debt. As of December 31, 2023 and 2022, the unamortized debt discount was $0.1 million and $0.2 million, respectively, and the unamortized prepayment penalty was $0.2 million and $0.5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the Company entered into the tenth amendment to the MidCap credit facility to change the benchmark interest rate from LIBOR to the Secured Overnight Financing Rate (“SOFR”).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Tranche 1 and Tranche 2 accrue interest at an annual rate equal to the lesser of (i) 8.25% and (ii) the one-month SOFR (subject to a one-month SOFR floor of 1.00%) plus 6.25%. Interest on each term loan advance is due and payable monthly in arrears. Principal on each term loan advance under Tranche 1 and Tranche 2 are payable in 24 equal monthly installments that began September 1, 2023, until paid in full on August 1, 2025. The Company has the option to prepay its existing term loans, in whole or in part, subject to early termination fees in an amount equal to 1.00% of principal prepaid.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 MidCap credit facility are secured by a security interest on substantially all of its assets, including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As of December 31, 2023, the Company was in compliance with the financial covenant.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pStyle w:val="TextBody"/>
        <w:bidi w:val="0"/>
        <w:spacing w:before="240" w:after="283"/>
        <w:jc w:val="left"/>
        <w:rPr>
          <w:rFonts w:ascii="Times New Roman" w:hAnsi="Times New Roman"/>
          <w:sz w:val="20"/>
        </w:rPr>
      </w:pPr>
      <w:r>
        <w:rPr>
          <w:rFonts w:ascii="Times New Roman" w:hAnsi="Times New Roman"/>
          <w:i/>
          <w:color w:val="000000"/>
          <w:sz w:val="20"/>
        </w:rPr>
        <w:t>Mann Group convertible note</w:t>
      </w:r>
      <w:r>
        <w:rPr>
          <w:rFonts w:ascii="Times New Roman" w:hAnsi="Times New Roman"/>
          <w:color w:val="000000"/>
          <w:sz w:val="20"/>
        </w:rPr>
        <w:t xml:space="preserve"> — In August 2019, the Company issued a $35.0 million note that is convertible into shares of the Company’s common stock at $2.50 per share (the “Mann Group convertible note”) as part of a restructuring of its then existing indebtedness to Mann Group.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Mann Group convertible note originally accrued interest at the rate of 7.00% per year on the principal amount, payable quarterly in arrears on the first day of each calendar quarter beginning October 1, 2019. In April 2021, the Company repaid the entire principal amount of $35.1 million outstanding under the Mann Group non-convertible note, together with all accrued and unpaid interest thereon. On the same date,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Company and Mann Group amended the Mann Group convertible note, pursuant to which the parties agreed to (i) reduce the interest rate from 7.0% to 2.5% effective on April 22, 2021, and (ii) extend the maturity date from November 3, 2024 to December 31,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amendment to the Mann Group convertible note resulted in a debt extinguishment with a substantial premium based on the fair value post extinguishment. The fair value in excess of the face amount of $18.4 million contributed to a loss on extinguishment of $22.1 million in the consolidated statement of operations for the year ended December 31, 2021 and resulted in a corresponding debt premium of $22.1 million which was recognized as additional paid-in capital in the consolidated balance sheet as of December 31, 2021. The accounting for the $22.1 million loss on extinguishment did not result in a change in the financial position of the Company. The Company wrote off a </w:t>
      </w:r>
      <w:r>
        <w:rPr>
          <w:rFonts w:ascii="Times New Roman" w:hAnsi="Times New Roman"/>
          <w:i/>
          <w:color w:val="000000"/>
          <w:sz w:val="20"/>
        </w:rPr>
        <w:t>de minimis</w:t>
      </w:r>
      <w:r>
        <w:rPr>
          <w:rFonts w:ascii="Times New Roman" w:hAnsi="Times New Roman"/>
          <w:color w:val="000000"/>
          <w:sz w:val="20"/>
        </w:rPr>
        <w:t xml:space="preserve"> amount of debt issuance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Mann Group convertible note, Mann Group converted $3.0 million of accrued interest and $7.0 million of principal into 1.2 million shares and 2.8 million shares, respectively, of the Company’s common stock in the fourth quarter of 2020. During the year ended December 31, 2021, Mann Group converted $0.4 million of interest and $9.6 million of principal into 4,000,000 shares of common stock. During the year ended December 31, 2022, Mann Group converted $10.0 million of principal and capitalized interest into 4,000,000 shares of common stock. In addition, the Company paid $0.3 million of interest by issuing the Mann Group 75,487 shares of common stock during the year ended December 31, 2022. During the year ended December 31, 2023, Mann Group converted $0.2 million of interest into 50,844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of the premium and accretion of debt issuance costs related to all borrowings for the years ended December 31, 2023, 2022 and 2021 are as follows (in thousands): </w:t>
      </w:r>
    </w:p>
    <w:p>
      <w:pPr>
        <w:pStyle w:val="TextBody"/>
        <w:bidi w:val="0"/>
        <w:jc w:val="left"/>
        <w:rPr/>
      </w:pPr>
      <w:r>
        <w:rPr/>
        <w:t> </w:t>
      </w:r>
    </w:p>
    <w:tbl>
      <w:tblPr>
        <w:tblW w:w="7468" w:type="dxa"/>
        <w:jc w:val="left"/>
        <w:tblInd w:w="0" w:type="dxa"/>
        <w:tblLayout w:type="fixed"/>
        <w:tblCellMar>
          <w:top w:w="28" w:type="dxa"/>
          <w:left w:w="28" w:type="dxa"/>
          <w:bottom w:w="28" w:type="dxa"/>
          <w:right w:w="28" w:type="dxa"/>
        </w:tblCellMar>
      </w:tblPr>
      <w:tblGrid>
        <w:gridCol w:w="4201"/>
        <w:gridCol w:w="146"/>
        <w:gridCol w:w="211"/>
        <w:gridCol w:w="571"/>
        <w:gridCol w:w="146"/>
        <w:gridCol w:w="146"/>
        <w:gridCol w:w="211"/>
        <w:gridCol w:w="571"/>
        <w:gridCol w:w="146"/>
        <w:gridCol w:w="146"/>
        <w:gridCol w:w="211"/>
        <w:gridCol w:w="571"/>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and prepayment fee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Collaboration, Licensing and Other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collaborations and services were as follows (in thousands): </w:t>
      </w:r>
    </w:p>
    <w:p>
      <w:pPr>
        <w:pStyle w:val="TextBody"/>
        <w:bidi w:val="0"/>
        <w:jc w:val="left"/>
        <w:rPr/>
      </w:pPr>
      <w:r>
        <w:rPr/>
        <w:t> </w:t>
      </w:r>
    </w:p>
    <w:tbl>
      <w:tblPr>
        <w:tblW w:w="7898" w:type="dxa"/>
        <w:jc w:val="left"/>
        <w:tblInd w:w="0" w:type="dxa"/>
        <w:tblLayout w:type="fixed"/>
        <w:tblCellMar>
          <w:top w:w="28" w:type="dxa"/>
          <w:left w:w="28" w:type="dxa"/>
          <w:bottom w:w="28" w:type="dxa"/>
          <w:right w:w="28" w:type="dxa"/>
        </w:tblCellMar>
      </w:tblPr>
      <w:tblGrid>
        <w:gridCol w:w="4116"/>
        <w:gridCol w:w="146"/>
        <w:gridCol w:w="211"/>
        <w:gridCol w:w="676"/>
        <w:gridCol w:w="146"/>
        <w:gridCol w:w="146"/>
        <w:gridCol w:w="211"/>
        <w:gridCol w:w="676"/>
        <w:gridCol w:w="146"/>
        <w:gridCol w:w="146"/>
        <w:gridCol w:w="211"/>
        <w:gridCol w:w="67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CSA Agreement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License Agreement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34,145</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Cipla License and Distribution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Vertice Pharma Co-Promotion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Receptor CLA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 from collaborations and 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Amounts consist of revenue recognized for Manufacturing Services and sales of product to UT for the periods presented.</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Amounts consist of revenue recognized for Next-Gen R&amp;D Services and R&amp;D Services and License for the periods presented.</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activity related to deferred revenue and the related revenue recognized for collaborations and services is as follows (in thousands):</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3731"/>
        <w:gridCol w:w="146"/>
        <w:gridCol w:w="334"/>
        <w:gridCol w:w="1166"/>
        <w:gridCol w:w="166"/>
        <w:gridCol w:w="146"/>
        <w:gridCol w:w="334"/>
        <w:gridCol w:w="1166"/>
        <w:gridCol w:w="59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200"/>
              <w:jc w:val="center"/>
              <w:rPr/>
            </w:pPr>
            <w:r>
              <w:rPr/>
              <w:t> </w:t>
            </w:r>
          </w:p>
        </w:tc>
      </w:tr>
      <w:tr>
        <w:trPr/>
        <w:tc>
          <w:tcPr>
            <w:tcW w:w="3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46,971</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Revenue — collaborations and services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United Therapeutics License Agreement</w:t>
      </w:r>
      <w:r>
        <w:rPr>
          <w:rFonts w:ascii="Times New Roman" w:hAnsi="Times New Roman"/>
          <w:color w:val="000000"/>
          <w:sz w:val="20"/>
        </w:rPr>
        <w:t xml:space="preserve"> — In September 2018, the Company and UT entered into an exclusive global license and collaboration agreement (the “UT License Agreement”), pursuant to which UT is responsible for global development, regulatory and commercial activities with respect to Tyvaso DPI. The Company is responsible for manufacturing Tyvaso DPI.</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revenue from UT was as follows (in thousands):</w:t>
      </w:r>
    </w:p>
    <w:p>
      <w:pPr>
        <w:pStyle w:val="TextBody"/>
        <w:bidi w:val="0"/>
        <w:jc w:val="left"/>
        <w:rPr/>
      </w:pPr>
      <w:r>
        <w:rPr/>
        <w:t> </w:t>
      </w:r>
    </w:p>
    <w:tbl>
      <w:tblPr>
        <w:tblW w:w="6498"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676"/>
        <w:gridCol w:w="146"/>
        <w:gridCol w:w="146"/>
        <w:gridCol w:w="211"/>
        <w:gridCol w:w="676"/>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UT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CSA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9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License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34,145</w:t>
            </w:r>
          </w:p>
        </w:tc>
        <w:tc>
          <w:tcPr>
            <w:tcW w:w="3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 Collaborations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 from UT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Amounts consist of royalties associated with the UT License Agreement. The contract assets related to the royalties is included in prepaid expense and other current assets in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2018, the Company and UT entered into the UT License Agreement for the collaboration and development of Tyvaso DPI. Pursuant to this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activities and deliverables under the CSA and UT License Agreement resulted in distinct performance obligations which include: (1) the license, supply of product to be used in clinical development, and continued development and approval support for Tyvaso DPI ("R&amp;D Services and License"); (2) development activities for the next generation of Tyvaso DPI ("Next-Gen R&amp;D Services"); and (3) a material right associated with current and future commercial manufacturing and supply of product ("Manufacturing Services and Product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various amendments to the UT License Agreement and the CSA since inception. As amended,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 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modification. The modification did not result in a change in the activities and deliverables under the CSA.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2022, the Company and UT agreed to fund an additional $39.5 million to support capital and continuous improvement activities and $2.3 million in the development of alternative manufacturing processes. The Company determined that the capital and continuous improvements should be combined with the manufacturing services performance obligation and the alternative manufacturing processes should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 combined with the Next-Gen R&amp;D Services. The total revised anticipated cash flows of $722.3 million from the transaction was allocated to the three distinct performance obligations as follows (dollars in millions).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5"/>
        <w:gridCol w:w="146"/>
        <w:gridCol w:w="227"/>
        <w:gridCol w:w="616"/>
        <w:gridCol w:w="146"/>
        <w:gridCol w:w="146"/>
        <w:gridCol w:w="354"/>
        <w:gridCol w:w="965"/>
        <w:gridCol w:w="146"/>
        <w:gridCol w:w="146"/>
        <w:gridCol w:w="1399"/>
        <w:gridCol w:w="146"/>
        <w:gridCol w:w="1205"/>
        <w:gridCol w:w="146"/>
        <w:gridCol w:w="1797"/>
        <w:gridCol w:w="195"/>
      </w:tblGrid>
      <w:tr>
        <w:trPr/>
        <w:tc>
          <w:tcPr>
            <w:tcW w:w="2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Anticipated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Allocation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Recognition Method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Progress Measure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br/>
              <w:t>Recognition</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anticipated cash flow</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Distinct Performance Obligation</w:t>
            </w:r>
          </w:p>
        </w:tc>
        <w:tc>
          <w:tcPr>
            <w:tcW w:w="146" w:type="dxa"/>
            <w:tcBorders/>
            <w:shd w:fill="CFF0FC" w:val="clear"/>
            <w:vAlign w:val="center"/>
          </w:tcPr>
          <w:p>
            <w:pPr>
              <w:pStyle w:val="TableContents"/>
              <w:bidi w:val="0"/>
              <w:spacing w:before="0" w:after="283"/>
              <w:jc w:val="lef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Services and License</w:t>
            </w:r>
          </w:p>
        </w:tc>
        <w:tc>
          <w:tcPr>
            <w:tcW w:w="1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Over time</w:t>
            </w:r>
          </w:p>
        </w:tc>
        <w:tc>
          <w:tcPr>
            <w:tcW w:w="146"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Ratably</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2021 - Oct 2021</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Next-Gen R&amp;D Services</w:t>
            </w:r>
          </w:p>
        </w:tc>
        <w:tc>
          <w:tcPr>
            <w:tcW w:w="146" w:type="dxa"/>
            <w:tcBorders/>
            <w:shd w:fill="CFF0FC" w:val="clear"/>
            <w:vAlign w:val="center"/>
          </w:tcPr>
          <w:p>
            <w:pPr>
              <w:pStyle w:val="TableContents"/>
              <w:bidi w:val="0"/>
              <w:spacing w:before="0" w:after="283"/>
              <w:jc w:val="lef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Over time</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Input</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of completion of costs</w:t>
            </w:r>
          </w:p>
        </w:tc>
        <w:tc>
          <w:tcPr>
            <w:tcW w:w="195"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Manufacturing Services and</w:t>
              <w:br/>
              <w:t>   Product Sales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Point in time</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Transfer of control</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sz w:val="24"/>
        </w:rPr>
      </w:pPr>
      <w:r>
        <w:rPr>
          <w:rFonts w:ascii="Times New Roman" w:hAnsi="Times New Roman"/>
          <w:color w:val="000000"/>
          <w:sz w:val="18"/>
        </w:rPr>
        <w:t>The total anticipated cash flow includes a transaction price of $120.0</w:t>
      </w:r>
      <w:r>
        <w:rPr>
          <w:rFonts w:ascii="Times New Roman" w:hAnsi="Times New Roman"/>
          <w:color w:val="000000"/>
          <w:sz w:val="24"/>
        </w:rPr>
        <w:t xml:space="preserve"> </w:t>
      </w:r>
      <w:r>
        <w:rPr>
          <w:rFonts w:ascii="Times New Roman" w:hAnsi="Times New Roman"/>
          <w:color w:val="000000"/>
          <w:sz w:val="18"/>
        </w:rPr>
        <w:t>million for the contractual obligations under the CSA for the Manufacturing Services and the Next-Gen R&amp;D Services performance obligations and $602.3</w:t>
      </w:r>
      <w:r>
        <w:rPr>
          <w:rFonts w:ascii="Times New Roman" w:hAnsi="Times New Roman"/>
          <w:color w:val="000000"/>
          <w:sz w:val="24"/>
        </w:rPr>
        <w:t xml:space="preserve"> </w:t>
      </w:r>
      <w:r>
        <w:rPr>
          <w:rFonts w:ascii="Times New Roman" w:hAnsi="Times New Roman"/>
          <w:color w:val="000000"/>
          <w:sz w:val="18"/>
        </w:rPr>
        <w:t>million for future supply of Tyvaso DPI over the remaining term of the CSA.</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40" w:after="283"/>
        <w:jc w:val="left"/>
        <w:rPr>
          <w:rFonts w:ascii="Times New Roman" w:hAnsi="Times New Roman"/>
          <w:sz w:val="24"/>
        </w:rPr>
      </w:pPr>
      <w:r>
        <w:rPr>
          <w:rFonts w:ascii="Times New Roman" w:hAnsi="Times New Roman"/>
          <w:color w:val="000000"/>
          <w:sz w:val="18"/>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$220.8</w:t>
      </w:r>
      <w:r>
        <w:rPr>
          <w:rFonts w:ascii="Times New Roman" w:hAnsi="Times New Roman"/>
          <w:color w:val="000000"/>
          <w:sz w:val="24"/>
        </w:rPr>
        <w:t xml:space="preserve"> </w:t>
      </w:r>
      <w:r>
        <w:rPr>
          <w:rFonts w:ascii="Times New Roman" w:hAnsi="Times New Roman"/>
          <w:color w:val="000000"/>
          <w:sz w:val="18"/>
        </w:rPr>
        <w:t>million. The Company will sell product to UT under individual purchase orders, which represent distinct performance obligations. The ultimate cash flows may vary as manufacturing purchase orders are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deferred revenue consisted of $77.5 million, of which $8.9 million was classified as current and $68.6 million was classified as long-term on the consolidated balance sheet. As of December 31, 2022, deferred revenue consisted of $37.9 million, of which $1.6 million was classified as current and $36.3 million was classified as long-term on the consolidated balance sheet. The increase in deferred revenue is primarily related to the capital improvements for the expansion of our manufacturing facility. The Company determined that the revenue recognition associated with the capital improvements should be combined with the manufacturing services performance obligation.</w:t>
      </w:r>
    </w:p>
    <w:p>
      <w:pPr>
        <w:pStyle w:val="TextBody"/>
        <w:bidi w:val="0"/>
        <w:spacing w:before="240" w:after="283"/>
        <w:jc w:val="left"/>
        <w:rPr>
          <w:rFonts w:ascii="Times New Roman" w:hAnsi="Times New Roman"/>
          <w:sz w:val="20"/>
        </w:rPr>
      </w:pPr>
      <w:r>
        <w:rPr>
          <w:rFonts w:ascii="Times New Roman" w:hAnsi="Times New Roman"/>
          <w:i/>
          <w:color w:val="000000"/>
          <w:sz w:val="20"/>
        </w:rPr>
        <w:t>Thirona Collaboration Agreement</w:t>
      </w:r>
      <w:r>
        <w:rPr>
          <w:rFonts w:ascii="Times New Roman" w:hAnsi="Times New Roman"/>
          <w:color w:val="000000"/>
          <w:sz w:val="20"/>
        </w:rPr>
        <w:t xml:space="preserve"> — In June 2021, the Company and Thirona entered into a collaboration agreement to evaluate the therapeutic potential 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w:t>
      </w:r>
      <w:r>
        <w:rPr>
          <w:rFonts w:ascii="Times New Roman" w:hAnsi="Times New Roman"/>
          <w:i/>
          <w:color w:val="000000"/>
          <w:sz w:val="20"/>
        </w:rPr>
        <w:t>Collaborative Agreements</w:t>
      </w:r>
      <w:r>
        <w:rPr>
          <w:rFonts w:ascii="Times New Roman" w:hAnsi="Times New Roman"/>
          <w:color w:val="000000"/>
          <w:sz w:val="20"/>
        </w:rPr>
        <w:t>; however, no consideration was exchanged between the parties. The costs incurred by the Company were expensed as R&amp;D in the consolidated statements of operations. On February 28, 2023, the collaboration agreement was amended to extend the term through June 2024. In accordance with the amendment, the Company agreed to fund a minimum of $1.1 million to be expended on a revised development plan prepared by Thirona, of which $0.7 million was funded during the year ended December 31, 2023.</w:t>
      </w:r>
    </w:p>
    <w:p>
      <w:pPr>
        <w:pStyle w:val="TextBody"/>
        <w:bidi w:val="0"/>
        <w:spacing w:before="240" w:after="283"/>
        <w:jc w:val="left"/>
        <w:rPr>
          <w:rFonts w:ascii="Times New Roman" w:hAnsi="Times New Roman"/>
          <w:sz w:val="20"/>
        </w:rPr>
      </w:pPr>
      <w:r>
        <w:rPr>
          <w:rFonts w:ascii="Times New Roman" w:hAnsi="Times New Roman"/>
          <w:i/>
          <w:color w:val="000000"/>
          <w:sz w:val="20"/>
        </w:rPr>
        <w:t>Biomm Supply and Distribution Agreement</w:t>
      </w:r>
      <w:r>
        <w:rPr>
          <w:rFonts w:ascii="Times New Roman" w:hAnsi="Times New Roman"/>
          <w:color w:val="000000"/>
          <w:sz w:val="20"/>
        </w:rPr>
        <w:t xml:space="preserve"> — In May 2017, the Company and Biomm S.A. (“Biomm”) entered into a supply and distribution agreement 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No shipments of product were made to Biomm during the year ended December 31, 2023, 2022 or 2021.</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Cipla License and Distribution Agreement </w:t>
      </w:r>
      <w:r>
        <w:rPr>
          <w:rFonts w:ascii="Times New Roman" w:hAnsi="Times New Roman"/>
          <w:color w:val="000000"/>
          <w:sz w:val="20"/>
        </w:rPr>
        <w:t>— In May 2018, the Company and Cipla Ltd. (“Cipla”) entered into an exclusive agreement for the marketing 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deferred revenue balance was $1.4 million, of which $0.2 million was classified as current and $1.2 million was classified as long term in the consolidated balance sheets. As of December 31, 2022, the deferred revenue balance was $1.5 million, of which $0.1 million is classified as current and $1.4 million is classified as long term in the consolidated balance sheets.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 Significant inputs to the valuation model are unobservable.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reported in the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MidCap credit facility, Mann Group convertible note, Milestone Rights liability and Financing liability are disclosed below.</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Liabilities</w:t>
      </w:r>
      <w:r>
        <w:rPr>
          <w:rFonts w:ascii="Times New Roman" w:hAnsi="Times New Roman"/>
          <w:color w:val="000000"/>
          <w:sz w:val="20"/>
        </w:rPr>
        <w:t xml:space="preserve"> — The following tables set forth the fair value of the Company’s financial instruments (Level 3 in the fair value hierarchy) (in millions):</w:t>
      </w:r>
    </w:p>
    <w:p>
      <w:pPr>
        <w:pStyle w:val="TextBody"/>
        <w:bidi w:val="0"/>
        <w:jc w:val="left"/>
        <w:rPr/>
      </w:pPr>
      <w:r>
        <w:rPr/>
        <w:t> </w:t>
      </w:r>
    </w:p>
    <w:tbl>
      <w:tblPr>
        <w:tblW w:w="6445" w:type="dxa"/>
        <w:jc w:val="left"/>
        <w:tblInd w:w="0" w:type="dxa"/>
        <w:tblLayout w:type="fixed"/>
        <w:tblCellMar>
          <w:top w:w="28" w:type="dxa"/>
          <w:left w:w="28" w:type="dxa"/>
          <w:bottom w:w="28" w:type="dxa"/>
          <w:right w:w="28" w:type="dxa"/>
        </w:tblCellMar>
      </w:tblPr>
      <w:tblGrid>
        <w:gridCol w:w="2961"/>
        <w:gridCol w:w="146"/>
        <w:gridCol w:w="380"/>
        <w:gridCol w:w="1030"/>
        <w:gridCol w:w="146"/>
        <w:gridCol w:w="146"/>
        <w:gridCol w:w="335"/>
        <w:gridCol w:w="910"/>
        <w:gridCol w:w="39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MidCap credit facility</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Mann Group convertible note</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Contingent milestone liability</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applying a discounted cash flow analysis to the straight note with a hypothetical yield of 11%, volatility of 62.7% and a Monte Carlo simulation for the value of the conversion feature. A change in yield of + or – 2% would result in a fair value of $224.1</w:t>
      </w:r>
      <w:r>
        <w:rPr>
          <w:rFonts w:ascii="Times New Roman" w:hAnsi="Times New Roman"/>
          <w:color w:val="000000"/>
          <w:sz w:val="20"/>
        </w:rPr>
        <w:t xml:space="preserve"> </w:t>
      </w:r>
      <w:r>
        <w:rPr>
          <w:rFonts w:ascii="Times New Roman" w:hAnsi="Times New Roman"/>
          <w:color w:val="000000"/>
          <w:sz w:val="18"/>
        </w:rPr>
        <w:t>million and $238.9</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12%. A change in yield of + or – 2% would result in a fair value of $35.0</w:t>
      </w:r>
      <w:r>
        <w:rPr>
          <w:rFonts w:ascii="Times New Roman" w:hAnsi="Times New Roman"/>
          <w:color w:val="000000"/>
          <w:sz w:val="20"/>
        </w:rPr>
        <w:t xml:space="preserve"> </w:t>
      </w:r>
      <w:r>
        <w:rPr>
          <w:rFonts w:ascii="Times New Roman" w:hAnsi="Times New Roman"/>
          <w:color w:val="000000"/>
          <w:sz w:val="18"/>
        </w:rPr>
        <w:t>million and $36.0</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(3)</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13% and volatility of 62.7% to the straight note and a binomial option pricing model for the value of the conversion feature. A change in yield of + or – 2% would result in a fair value of $14.2</w:t>
      </w:r>
      <w:r>
        <w:rPr>
          <w:rFonts w:ascii="Times New Roman" w:hAnsi="Times New Roman"/>
          <w:color w:val="000000"/>
          <w:sz w:val="20"/>
        </w:rPr>
        <w:t xml:space="preserve"> </w:t>
      </w:r>
      <w:r>
        <w:rPr>
          <w:rFonts w:ascii="Times New Roman" w:hAnsi="Times New Roman"/>
          <w:color w:val="000000"/>
          <w:sz w:val="18"/>
        </w:rPr>
        <w:t>million and $14.7</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(4)</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3.88%, dividend yield of 0%, volatility of 50%, period of 8</w:t>
      </w:r>
      <w:r>
        <w:rPr>
          <w:rFonts w:ascii="Times New Roman" w:hAnsi="Times New Roman"/>
          <w:color w:val="000000"/>
          <w:sz w:val="20"/>
        </w:rPr>
        <w:t xml:space="preserve"> </w:t>
      </w:r>
      <w:r>
        <w:rPr>
          <w:rFonts w:ascii="Times New Roman" w:hAnsi="Times New Roman"/>
          <w:color w:val="000000"/>
          <w:sz w:val="18"/>
        </w:rPr>
        <w:t xml:space="preserve">years and credit risk of 17%.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(5)</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4.01%, dividend yield of 0%, volatility of 43%, period of 15</w:t>
      </w:r>
      <w:r>
        <w:rPr>
          <w:rFonts w:ascii="Times New Roman" w:hAnsi="Times New Roman"/>
          <w:color w:val="000000"/>
          <w:sz w:val="20"/>
        </w:rPr>
        <w:t xml:space="preserve"> </w:t>
      </w:r>
      <w:r>
        <w:rPr>
          <w:rFonts w:ascii="Times New Roman" w:hAnsi="Times New Roman"/>
          <w:color w:val="000000"/>
          <w:sz w:val="18"/>
        </w:rPr>
        <w:t xml:space="preserve">years and credit risk of 17%.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(6)</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Fair value was determined by applying a discounted cash flow analysis with a hypothetical yield of 9.5%.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280" w:type="dxa"/>
        <w:jc w:val="left"/>
        <w:tblInd w:w="0" w:type="dxa"/>
        <w:tblLayout w:type="fixed"/>
        <w:tblCellMar>
          <w:top w:w="28" w:type="dxa"/>
          <w:left w:w="28" w:type="dxa"/>
          <w:bottom w:w="28" w:type="dxa"/>
          <w:right w:w="28" w:type="dxa"/>
        </w:tblCellMar>
      </w:tblPr>
      <w:tblGrid>
        <w:gridCol w:w="2961"/>
        <w:gridCol w:w="146"/>
        <w:gridCol w:w="336"/>
        <w:gridCol w:w="909"/>
        <w:gridCol w:w="146"/>
        <w:gridCol w:w="146"/>
        <w:gridCol w:w="335"/>
        <w:gridCol w:w="910"/>
        <w:gridCol w:w="39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MidCap credit facility</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Mann Group convertible note</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Contingent milestone liability</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applying a discounted cash flow analysis to the straight note with a hypothetical yield of 13%, volatility of 75.8% and a Monte Carlo simulation for the value of the conversion feature. A change in yield of + or – 2% would result in a fair value of $245.0</w:t>
      </w:r>
      <w:r>
        <w:rPr>
          <w:rFonts w:ascii="Times New Roman" w:hAnsi="Times New Roman"/>
          <w:color w:val="000000"/>
          <w:sz w:val="20"/>
        </w:rPr>
        <w:t xml:space="preserve"> </w:t>
      </w:r>
      <w:r>
        <w:rPr>
          <w:rFonts w:ascii="Times New Roman" w:hAnsi="Times New Roman"/>
          <w:color w:val="000000"/>
          <w:sz w:val="18"/>
        </w:rPr>
        <w:t>million and $263.4</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12%. A change in yield of + or – 2% would result in a fair value of $40.0</w:t>
      </w:r>
      <w:r>
        <w:rPr>
          <w:rFonts w:ascii="Times New Roman" w:hAnsi="Times New Roman"/>
          <w:color w:val="000000"/>
          <w:sz w:val="20"/>
        </w:rPr>
        <w:t xml:space="preserve"> </w:t>
      </w:r>
      <w:r>
        <w:rPr>
          <w:rFonts w:ascii="Times New Roman" w:hAnsi="Times New Roman"/>
          <w:color w:val="000000"/>
          <w:sz w:val="18"/>
        </w:rPr>
        <w:t>million and $42.4</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(3)</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13% and volatility of 77.8% to the straight note and a binomial option pricing model for the value of the conversion feature. A change in yield of + or – 2% would result in a fair value of $20.5</w:t>
      </w:r>
      <w:r>
        <w:rPr>
          <w:rFonts w:ascii="Times New Roman" w:hAnsi="Times New Roman"/>
          <w:color w:val="000000"/>
          <w:sz w:val="20"/>
        </w:rPr>
        <w:t xml:space="preserve"> </w:t>
      </w:r>
      <w:r>
        <w:rPr>
          <w:rFonts w:ascii="Times New Roman" w:hAnsi="Times New Roman"/>
          <w:color w:val="000000"/>
          <w:sz w:val="18"/>
        </w:rPr>
        <w:t>million and $21.2</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(4)</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3.99%, dividend yield of 0%, volatility of 50%, period of 8</w:t>
      </w:r>
      <w:r>
        <w:rPr>
          <w:rFonts w:ascii="Times New Roman" w:hAnsi="Times New Roman"/>
          <w:color w:val="000000"/>
          <w:sz w:val="20"/>
        </w:rPr>
        <w:t xml:space="preserve"> </w:t>
      </w:r>
      <w:r>
        <w:rPr>
          <w:rFonts w:ascii="Times New Roman" w:hAnsi="Times New Roman"/>
          <w:color w:val="000000"/>
          <w:sz w:val="18"/>
        </w:rPr>
        <w:t xml:space="preserve">years and credit risk of 17%.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(5)</w:t>
      </w:r>
    </w:p>
    <w:p>
      <w:pPr>
        <w:pStyle w:val="TextBody"/>
        <w:bidi w:val="0"/>
        <w:spacing w:before="40" w:after="283"/>
        <w:jc w:val="left"/>
        <w:rPr>
          <w:rFonts w:ascii="Times New Roman" w:hAnsi="Times New Roman"/>
          <w:sz w:val="20"/>
        </w:rPr>
      </w:pPr>
      <w:r>
        <w:rPr>
          <w:rFonts w:ascii="Times New Roman" w:hAnsi="Times New Roman"/>
          <w:color w:val="000000"/>
          <w:sz w:val="18"/>
        </w:rPr>
        <w:t>Fair value was determined by using the Monte Carlo simulation method for the calculation of the potential payment and the Geometric Brownian Motion forecasting model to estimate the underlying revenue. Market-based inputs and other level 3 inputs were used to forecast future revenue. The key inputs used included a risk-free rate of 4.01%, dividend yield of 0%, volatility of 43%, period of 15</w:t>
      </w:r>
      <w:r>
        <w:rPr>
          <w:rFonts w:ascii="Times New Roman" w:hAnsi="Times New Roman"/>
          <w:color w:val="000000"/>
          <w:sz w:val="20"/>
        </w:rPr>
        <w:t xml:space="preserve"> </w:t>
      </w:r>
      <w:r>
        <w:rPr>
          <w:rFonts w:ascii="Times New Roman" w:hAnsi="Times New Roman"/>
          <w:color w:val="000000"/>
          <w:sz w:val="18"/>
        </w:rPr>
        <w:t xml:space="preserve">years and credit risk of 17%.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(6)</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Fair value was determined by applying a discounted cash flow analysis with a hypothetical yield of 10%.</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Rights Liability</w:t>
      </w:r>
      <w:r>
        <w:rPr>
          <w:rFonts w:ascii="Times New Roman" w:hAnsi="Times New Roman"/>
          <w:color w:val="000000"/>
          <w:sz w:val="20"/>
        </w:rPr>
        <w:t xml:space="preserve"> — The fair value measurement of the Milestone Rights liability is sensitive to the discount rate and the timing of achievement of milestones. The Company utilized Monte-Carlo Simulation Method to simulate the Afrezza net sales under a neutral framework to estimate the payment. The Company then discounted the future expected payments at cost of debt with a term equal to the simulated time to payout based on cumulative sales. See Note 16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Contingent milestone liability</w:t>
      </w:r>
      <w:r>
        <w:rPr>
          <w:rFonts w:ascii="Times New Roman" w:hAnsi="Times New Roman"/>
          <w:color w:val="000000"/>
          <w:sz w:val="20"/>
        </w:rPr>
        <w:t xml:space="preserve"> — The acquisition of V-Go in May 2022 resulted in a contingent milestone liability which could result in obligations to the seller if certain revenue thresholds are met. The initial fair value of the contingent milestone liability was recorded as an adjustment to the purchase price. Subsequent changes in the fair value are reported in general and administrative expenses. See Note 3 – </w:t>
      </w:r>
      <w:r>
        <w:rPr>
          <w:rFonts w:ascii="Times New Roman" w:hAnsi="Times New Roman"/>
          <w:i/>
          <w:color w:val="000000"/>
          <w:sz w:val="20"/>
        </w:rPr>
        <w:t>Acquisition.</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Liability</w:t>
      </w:r>
      <w:r>
        <w:rPr>
          <w:rFonts w:ascii="Times New Roman" w:hAnsi="Times New Roman"/>
          <w:color w:val="000000"/>
          <w:sz w:val="20"/>
        </w:rPr>
        <w:t xml:space="preserve"> — The Sale-Leaseback Transaction in November 2021 resulted in a financing liability. See Note 16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13. Common and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Company’s stockholders, upon recommendation of the Company’s board of directors, approved an amendment to our Amended and Restated Certificate of Incorporation to increase the authorized number of shares of common stock from 400,000,000 shares to 800,000,000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December 31, 2023 and 2022, 270,034,495 and 263,793,305 shares of common stock, respectively, were issued and outstanding and no shares of preferred stock were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During the year ended December 31, 2023, the Company sold 1,478,090 shares of common stock at a weighted average purchase price of $4.66 per share for gross proceeds of approximately $6.9 million pursuant to the CF Sales Agreement. During the year ended December 31, 2022, the Company sold 5,059,856 shares of common stock at a weighted average purchase price of $3.91 per share for gross proceeds of approximately $19.8 million pursuant to the CF Sales Agreement. During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year ended December 31, 2021, the Company sold an aggregate of 578,063 shares of the Company’s common stock at a weighted average purchase price of $3.26 per share for aggregate gross proceeds of approximately $1.9 million pursuant to the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2021, the Company converted $5.0 million principal amount of 2024 convertible notes into 1,666,667 shares of the Company’s common stock.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2021, MidCap exercised 1,171,614 and 111,853 warrants issued in association with Tranches 1 and 2, respectively, under the MidCap credit facility, as amended, to purchase an aggregate of 1,283,467 shares of the Company’s common stock through a cashless exercise that resulted in the net issuance of 964,113 shares. See Note 10 – </w:t>
      </w:r>
      <w:r>
        <w:rPr>
          <w:rFonts w:ascii="Times New Roman" w:hAnsi="Times New Roman"/>
          <w:i/>
          <w:color w:val="000000"/>
          <w:sz w:val="20"/>
        </w:rPr>
        <w:t>Borrowings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the Mann Group converted $0.4 million of interest and $9.6 million of principal into 4.0 million shares of common stock. See Note 10 – Borrowings.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2021, the Company received $0.1 million from the market price stock purchase plan (“MPSPP”) for 25,000 shares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2022, Mann Group converted $10.0 million of principal and capitalized interest into 4,000,000 shares of common stock. In addition, the Company paid interest by issuing Mann Group 75,487 shares of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2022, the Company received $0.7 million from the MPSPP for 252,176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2023, the Company paid interest on the Mann Group convertible note by issuing 50,844 shares of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the Company received $0.2 million from the MPSPP for 36,004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December 31, 2023, the Company received $1.4 million from the MPSPP for 416,099 shares of common stock.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shares of common stock issued pursuant to the Company's 2004 employee stock purchase plan ("ESPP"), see Note 15 – </w:t>
      </w:r>
      <w:r>
        <w:rPr>
          <w:rFonts w:ascii="Times New Roman" w:hAnsi="Times New Roman"/>
          <w:i/>
          <w:color w:val="000000"/>
          <w:sz w:val="20"/>
        </w:rPr>
        <w:t>Stock Award Plans</w:t>
      </w:r>
      <w:r>
        <w:rPr>
          <w:rFonts w:ascii="Times New Roman" w:hAnsi="Times New Roman"/>
          <w:color w:val="000000"/>
          <w:sz w:val="20"/>
        </w:rPr>
        <w:t>.</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Earnings per Common Share (“EPS”)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and the if-converted method for convertible debt securities. For periods where the Company has presented a net loss, potentially dilutive securities are excluded from the computation of diluted EPS as they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components of the basic and diluted EPS computations (in thousands, except per share amounts):</w:t>
      </w:r>
    </w:p>
    <w:p>
      <w:pPr>
        <w:pStyle w:val="TextBody"/>
        <w:bidi w:val="0"/>
        <w:jc w:val="left"/>
        <w:rPr/>
      </w:pPr>
      <w:r>
        <w:rPr/>
        <w:t> </w:t>
      </w:r>
    </w:p>
    <w:tbl>
      <w:tblPr>
        <w:tblW w:w="8438" w:type="dxa"/>
        <w:jc w:val="left"/>
        <w:tblInd w:w="0" w:type="dxa"/>
        <w:tblLayout w:type="fixed"/>
        <w:tblCellMar>
          <w:top w:w="28" w:type="dxa"/>
          <w:left w:w="28" w:type="dxa"/>
          <w:bottom w:w="28" w:type="dxa"/>
          <w:right w:w="28" w:type="dxa"/>
        </w:tblCellMar>
      </w:tblPr>
      <w:tblGrid>
        <w:gridCol w:w="4281"/>
        <w:gridCol w:w="146"/>
        <w:gridCol w:w="211"/>
        <w:gridCol w:w="781"/>
        <w:gridCol w:w="166"/>
        <w:gridCol w:w="146"/>
        <w:gridCol w:w="211"/>
        <w:gridCol w:w="781"/>
        <w:gridCol w:w="166"/>
        <w:gridCol w:w="146"/>
        <w:gridCol w:w="211"/>
        <w:gridCol w:w="781"/>
        <w:gridCol w:w="41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basic and diluted:</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(numerator)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 (denominator)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Common shares issuable represents incremental shares of common stock which consist of stock options, restricted stock units, warrants, and shares that could be issued upon conversion of the Senior convertible notes and the Mann Group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Potentially dilutive securities outstanding which were considered antidilutive are summarized as follows (in shares):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18" w:type="dxa"/>
        <w:jc w:val="left"/>
        <w:tblInd w:w="0" w:type="dxa"/>
        <w:tblLayout w:type="fixed"/>
        <w:tblCellMar>
          <w:top w:w="28" w:type="dxa"/>
          <w:left w:w="28" w:type="dxa"/>
          <w:bottom w:w="28" w:type="dxa"/>
          <w:right w:w="28" w:type="dxa"/>
        </w:tblCellMar>
      </w:tblPr>
      <w:tblGrid>
        <w:gridCol w:w="2851"/>
        <w:gridCol w:w="146"/>
        <w:gridCol w:w="146"/>
        <w:gridCol w:w="1036"/>
        <w:gridCol w:w="146"/>
        <w:gridCol w:w="146"/>
        <w:gridCol w:w="146"/>
        <w:gridCol w:w="1036"/>
        <w:gridCol w:w="146"/>
        <w:gridCol w:w="146"/>
        <w:gridCol w:w="146"/>
        <w:gridCol w:w="1036"/>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44,120,463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44,120,463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44,120,463</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RSUs and Market RSUs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18,886,710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7,609,025</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PNQs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9,074,587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10,655,146</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7,370,000</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63,746,218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75,451,760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69,998,009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tbl>
      <w:tblPr>
        <w:tblW w:w="10205" w:type="dxa"/>
        <w:jc w:val="left"/>
        <w:tblInd w:w="0" w:type="dxa"/>
        <w:tblLayout w:type="fixed"/>
        <w:tblCellMar>
          <w:top w:w="28" w:type="dxa"/>
          <w:left w:w="28" w:type="dxa"/>
          <w:bottom w:w="28" w:type="dxa"/>
          <w:right w:w="28" w:type="dxa"/>
        </w:tblCellMar>
      </w:tblPr>
      <w:tblGrid>
        <w:gridCol w:w="272"/>
        <w:gridCol w:w="9933"/>
      </w:tblGrid>
      <w:tr>
        <w:trPr/>
        <w:tc>
          <w:tcPr>
            <w:tcW w:w="272"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left"/>
              <w:rPr>
                <w:sz w:val="4"/>
                <w:szCs w:val="4"/>
              </w:rPr>
            </w:pPr>
            <w:r>
              <w:rPr>
                <w:sz w:val="4"/>
                <w:szCs w:val="4"/>
              </w:rPr>
            </w:r>
          </w:p>
        </w:tc>
      </w:tr>
      <w:tr>
        <w:trPr/>
        <w:tc>
          <w:tcPr>
            <w:tcW w:w="272"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9933"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 RSUs issued in 2021, 2022, and 2023 are included at the share delivery of 0%, 140%, and 0%, respectively, in accordance with a valuation assessment obtained as of December 31, 2023.</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Stock Award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Company’s stockholders, upon recommendation of the Company’s board of directors, approved an amendment to the Company’s 2018 Equity Incentive Plan (the "2018 Plan") to increase the number of shares of common stock that may be issued under the 2018 Plan by 25,000,000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upon the approval of the 2018 Plan by the Company’s stockholders in May 2018, no additional awards have been or may be granted under the 2013 Equity Incentive Plan (the "2013 Plan"). Any Prior Plans’ (as defined below) returning shares will increase the number of shares issuable under the 2018 Plan. The Prior Plans’ returning shares are shares subject to outstanding stock awards granted under the 2013 Plan or the 2004 Equity Incentive Plan (collectively, “Prior Plans”) that, from and after the effective date of the 2018 Plan, (i) expire or terminate for any reason prior to exercise or settlement, (ii) are forfeited, cancelled or otherwise returned to the Company because of the failure to meet a contingency or condition required for the vesting of such shares, or (iii) other than with respect to outstanding stock options and stock appreciation rights granted under the Prior Plans with an exercise or strike price of at least 100% of the fair market value of the underlying common stock on the date of grant, are reacquired or withheld (or not issued) by the Company to satisfy a tax withholding obligation in connection with a stock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2018 Plan provides for the granting of stock awards including stock options and restricted stock units to employees, directors and consultants.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board of directors or its compensation committee determines eligibility, vesting schedules and criteria, and exercise prices for stock awards granted under the 2018 Plan. Options and restricted stock unit awards under the 2018 Plan, or the Prior Plans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The Company also issues PNQ awards with performance conditions. For PNQs, the Company evaluates the probability that the performance conditions will be met and estimates the service period for recognition of the associated expense. RSUs with time-based vesting generally vest at a rate of 25% per year over four years with consideration satisfied by service to the Company. Certain RSUs issued to nonemployee directors vest immediately upon grant, but the underlying shares of common stock will not be delivered until there is a separation of service such as resignation, retirement or death. The Company also issued Market RSUs. The grant date fair value and the effect of the market conditions was estimated using a Monte Carlo valuation.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RSUs issued during the year ended December 31, 2023 had a grant date fair value of $9.40 per share and will vest on July 15, 2026 provided that the closing price of the Company’s common stock on such vesting date is not less than the closing price on July 1, 2023. The fair value of the Market RSUs was determined using a share price of $4.55, risk-free interest rate of 4.19%, volatility of 74%, and a dividend yield of 0%. The number of shares delivered on the vesting date is determined by the percentile ranking of MannKind total shareholder return (TSR) over the period from July 1, 2023 until June 30, 2026 relative to the TSR of the Russell 3000 Pharmaceutical &amp; Biotechnology Index over the same period, as follows: less than 25th percentile=0% of target, 25th percentile=50% of target, 50th percentile=100% of target, 75th percentile=200% of target, 90th percentile or higher=300% maximum. Payout values will be interpolated between the percentile rankings above. The resulting stock-based compensation expense will be recognized over the service period regardless of whether the market conditions are achieved, as long as the service condition is satisfied.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about the Company’s stock-based award plans as of December 31, 2023:</w:t>
      </w:r>
    </w:p>
    <w:p>
      <w:pPr>
        <w:pStyle w:val="TextBody"/>
        <w:bidi w:val="0"/>
        <w:jc w:val="left"/>
        <w:rPr/>
      </w:pPr>
      <w:r>
        <w:rPr/>
        <w:t> </w:t>
      </w:r>
    </w:p>
    <w:tbl>
      <w:tblPr>
        <w:tblW w:w="7056" w:type="dxa"/>
        <w:jc w:val="left"/>
        <w:tblInd w:w="0" w:type="dxa"/>
        <w:tblLayout w:type="fixed"/>
        <w:tblCellMar>
          <w:top w:w="28" w:type="dxa"/>
          <w:left w:w="28" w:type="dxa"/>
          <w:bottom w:w="28" w:type="dxa"/>
          <w:right w:w="28" w:type="dxa"/>
        </w:tblCellMar>
      </w:tblPr>
      <w:tblGrid>
        <w:gridCol w:w="2356"/>
        <w:gridCol w:w="146"/>
        <w:gridCol w:w="146"/>
        <w:gridCol w:w="931"/>
        <w:gridCol w:w="146"/>
        <w:gridCol w:w="146"/>
        <w:gridCol w:w="146"/>
        <w:gridCol w:w="1036"/>
        <w:gridCol w:w="146"/>
        <w:gridCol w:w="146"/>
        <w:gridCol w:w="163"/>
        <w:gridCol w:w="1157"/>
        <w:gridCol w:w="3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Restricted</w:t>
              <w:br/>
              <w:t>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Available</w:t>
              <w:br/>
              <w:t>for Future</w:t>
              <w:br/>
              <w:t>Issuance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2013 Equity Incentive Plan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Equity Incentive Plan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12,363,934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26,374,063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8,400,611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12,363,934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26,374,063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Share-based payment transactions are recognized as compensation cost based on the fair value of the instrument on the date of grant. 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 The Company recognizes forfeitures as they occur. During the years ended December 31, 2023, 2022 and 2021, the Company recorded RSU and option-based stock compensation expense of $17.0 million, $12.8 million and $11.5 million, respectively, and employee stock purchase plan compensation of $0.6 million, $0.6 million and $0.7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stock-based compensation expense recognized in the consolidated statements of operations is included in the following categories (in thousands):</w:t>
      </w:r>
    </w:p>
    <w:p>
      <w:pPr>
        <w:pStyle w:val="TextBody"/>
        <w:bidi w:val="0"/>
        <w:jc w:val="left"/>
        <w:rPr/>
      </w:pPr>
      <w:r>
        <w:rPr/>
        <w:t> </w:t>
      </w:r>
    </w:p>
    <w:tbl>
      <w:tblPr>
        <w:tblW w:w="7668" w:type="dxa"/>
        <w:jc w:val="left"/>
        <w:tblInd w:w="0" w:type="dxa"/>
        <w:tblLayout w:type="fixed"/>
        <w:tblCellMar>
          <w:top w:w="28" w:type="dxa"/>
          <w:left w:w="28" w:type="dxa"/>
          <w:bottom w:w="28" w:type="dxa"/>
          <w:right w:w="28" w:type="dxa"/>
        </w:tblCellMar>
      </w:tblPr>
      <w:tblGrid>
        <w:gridCol w:w="3886"/>
        <w:gridCol w:w="146"/>
        <w:gridCol w:w="211"/>
        <w:gridCol w:w="676"/>
        <w:gridCol w:w="146"/>
        <w:gridCol w:w="146"/>
        <w:gridCol w:w="211"/>
        <w:gridCol w:w="676"/>
        <w:gridCol w:w="146"/>
        <w:gridCol w:w="146"/>
        <w:gridCol w:w="211"/>
        <w:gridCol w:w="676"/>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391" w:type="dxa"/>
            <w:tcBorders/>
            <w:shd w:fill="FFFFFF" w:val="cle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39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391" w:type="dxa"/>
            <w:tcBorders/>
            <w:shd w:fill="FFFFFF" w:val="cle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information relating to stock options:</w:t>
      </w:r>
    </w:p>
    <w:p>
      <w:pPr>
        <w:pStyle w:val="TextBody"/>
        <w:bidi w:val="0"/>
        <w:jc w:val="left"/>
        <w:rPr/>
      </w:pPr>
      <w:r>
        <w:rPr/>
        <w:t> </w:t>
      </w:r>
    </w:p>
    <w:tbl>
      <w:tblPr>
        <w:tblW w:w="8882"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367"/>
        <w:gridCol w:w="998"/>
        <w:gridCol w:w="146"/>
        <w:gridCol w:w="146"/>
        <w:gridCol w:w="236"/>
        <w:gridCol w:w="755"/>
        <w:gridCol w:w="146"/>
        <w:gridCol w:w="146"/>
        <w:gridCol w:w="250"/>
        <w:gridCol w:w="800"/>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Remaining </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9,074,587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29,512</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15,153</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options granted in the years ended December 31, 2023 and 2022. Total fair value of stock options vested during the years ended December 31, 2023, 2022 and 2021 was $2.8 million, $3.2 million and $2.3 million, respectively. The total intrinsic value of options exercised during the years ended December 31, 2023, 2022 and 2021 was $1.3 million, $2.4 million and $1.7 million, respectively. Intrinsic value is measured using the fair market value at the date of exercise for options exercised or as of December 31 for outstanding options, less the applicable exercise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received from the exercise of options during the years ended December 31, 2023, 2022 and 2021 was approximately $1.2 million, $3.0 million and $1.0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2022 and 2021, the Company recognized $0.3 million, $0.1 million and $0.1 million, respectively, of compensation costs related to the performance-based stock options. As of December 31, 2023 and 2022, there were zero and $0.2 million, respectively of unrecognized compensation costs related to performance-based stock options subject to performance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information relating to restricted stock units: </w:t>
      </w:r>
    </w:p>
    <w:p>
      <w:pPr>
        <w:pStyle w:val="TextBody"/>
        <w:bidi w:val="0"/>
        <w:jc w:val="left"/>
        <w:rPr/>
      </w:pPr>
      <w:r>
        <w:rPr/>
        <w:t> </w:t>
      </w:r>
    </w:p>
    <w:tbl>
      <w:tblPr>
        <w:tblW w:w="6142"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294"/>
        <w:gridCol w:w="65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11,838,329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(6,053,264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12,363,934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fair value of restricted stock units vested during the years ended December 31, 2023, 2022 and 2021 was $20.6 million, $4.4 million and $6.7 million, respectively. Intrinsic value of restricted stock units vested is measured using the closing share price on the day prior to the vest date. The total grant date fair value of restricted stock units outstanding as of December 31, 2023, 2022 and 2021 was $57.0 million, $43.2 million and $19.3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there was $0.6 million of unrecognized compensation expense related to options and PNQs and $16.4 million of unrecognized compensation expense related to restricted stock units and market-based stock units, which are expected to be recognized over the weighted average period of 0.24 to 2.11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jc w:val="left"/>
        <w:rPr>
          <w:rFonts w:cs="Times New Roman"/>
          <w:color w:val="000000"/>
          <w:szCs w:val="20"/>
        </w:rPr>
      </w:pPr>
      <w:r>
        <w:rPr>
          <w:rFonts w:cs="Times New Roman"/>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the Company’s stockholders, upon recommendation of the Company’s board of directors, approved an amendment to the Company’s ESPP to increase the number of shares of common stock authorized for issuance under the ESPP by an additional 3,000,000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issued 0.5 million, 0.7 million and 0.5 million shares of common stock pursuant to the ESPP for the years ended December 31, 2023, 2022 and 2021, respectively. There were approximately 2.9 million shares of common stock available for issuance under the ESPP as of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Commitments and Contingencies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Guarantees and Indemnifications </w:t>
      </w:r>
      <w:r>
        <w:rPr>
          <w:rFonts w:ascii="Times New Roman" w:hAnsi="Times New Roman"/>
          <w:color w:val="000000"/>
          <w:sz w:val="20"/>
        </w:rPr>
        <w:t xml:space="preserve">— 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consolidated balance sheets. The Company accrues for losses for any known contingent liability, including those that may arise from indemnification provisions, when future payment is probable and the amount can be reasonably estimated. No such losses have been recorded to date.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Litigation </w:t>
      </w:r>
      <w:r>
        <w:rPr>
          <w:rFonts w:ascii="Times New Roman" w:hAnsi="Times New Roman"/>
          <w:color w:val="000000"/>
          <w:sz w:val="20"/>
        </w:rPr>
        <w:t xml:space="preserve">— The Company is subject to legal proceedings and claims which arise in the ordinary course of its business. As of December 31, 2023, the Company was in the process of settling an ordinary course litigious matter. Although the Company disagrees with the claims asserted, the Company has accrued a settlement amount of $0.2 million, which it believes will resolve the matter. The amount is included in accrued expenses and other current liabilities in the consolidated balance sheets, and in other income (expense) in the consolidated statements of operations. The Company does not anticipate the final disposition of any additional matters will have a material adverse effect on the results of operations, financial position or cash flows of the Company and no additional accruals have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Contingencies </w:t>
      </w:r>
      <w:r>
        <w:rPr>
          <w:rFonts w:ascii="Times New Roman" w:hAnsi="Times New Roman"/>
          <w:color w:val="000000"/>
          <w:sz w:val="20"/>
        </w:rPr>
        <w:t xml:space="preserve">— </w:t>
      </w:r>
      <w:r>
        <w:rPr>
          <w:rFonts w:ascii="Times New Roman" w:hAnsi="Times New Roman"/>
          <w:i/>
          <w:color w:val="000000"/>
          <w:sz w:val="20"/>
        </w:rPr>
        <w:t xml:space="preserve">Milestone Rights </w:t>
      </w:r>
      <w:r>
        <w:rPr>
          <w:rFonts w:ascii="Times New Roman" w:hAnsi="Times New Roman"/>
          <w:color w:val="000000"/>
          <w:sz w:val="20"/>
        </w:rPr>
        <w:t xml:space="preserve">— In July 2013, the Company entered into the Milestone Rights Agreement with the Original Milestone Purchasers, pursuant to which the Company granted the Milestone Rights to receive payments up to $90.0 million upon the occurrence of specified strategic and sales milestones, of which $55.0 million remains payable to the Milestone Purchasers upon achievement of such milestones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quarters of 2023 and 2022, the Company achieved Afrezza net sales milestones as specified by the Milestone Rights and the portion of the $5.0 million payments that related to the Milestone Rights liability on our consolidated balance sheets was approximately $0.9 million and $1.1 million for the payments made in 2023 and 2022, respectively, and represented the fair value as determined in 2013 (the most recent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remaining Milestone Rights liability balance was $3.9 million and consisted of $0.8 million of current liability, which was presented as accrued expenses and other current liabilities, and $3.1 million of long-term liability, which was presented as milestone liabilities in our consolidated balance sheets. As of December 31, 2022, the remaining Milestone Rights liability balance was $4.8 million and consisted of $0.9 million of current liability and $3.9 million of long-term liability. The value of the Milestone Rights liability was based on initial fair value estimates calculated using the income approach and reduced by milestone achievement payments made. </w:t>
      </w:r>
    </w:p>
    <w:p>
      <w:pPr>
        <w:pStyle w:val="TextBody"/>
        <w:bidi w:val="0"/>
        <w:spacing w:before="240" w:after="283"/>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On December 27, 2023 (the “Inception Date”), the Company executed a Purchase and Sale Agreement (the “PSA”) with Sagard Healthcare 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LCA (the “Sagard Royalty”). Sagard will also pay the Company a milestone of $50.0 million if net sales of Tyvaso DPI meet or exceed $1.9 billion for any twelve consecutive months on or prior to December 31, 2026 (“Net Sales Threshold A”), or a milestone of $45.0 million if net Sales Threshold A is not met and net sales of Tyvaso DPI meet or exceed $2.3 billion for any twelve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(the “Commencement Date”) through December 31, 2042 (the “Termination Date”) and will automatically terminate upon payment of the final royalty owed to Sagard thereafter. Upon the Termination Date, ownership of the Sagard Royalty will revert to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Company’s continuing involvement with the generation of Tyvaso DPI revenue under the LCA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(the "Transaction Costs") are reported net of the Royalty Liability balance and amortized to interest expense in the consolidated statements of operations over the life of the PSA using the effective interest method. The Company will continue to recognize the full 10% of future royalty revenues in its consolidated statements of operations, with the Sagard Royalty being non-cash revenue for the Company. As royalty payments are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periodically assesses the forecasted royalty payments using a combination of historical results, internal projections and forecasts from external sources, which are level 3 inputs. The carrying value of the Royalty Liability approximates fair value as of December 31, 2023 and is based on current estimates of future royalties expected to be remitted to Sagard over the term of the agreement. To the extent such payments, or the timing of such payments, are materially different than original estimates, the Company will prospectively adjust the effective interest rate and amortization of the Royalty Liability. The Company’s effective annual interest rate on the Royalty Liability was approximately 11.1% during the period of the Inception Date through December 31, 2023, during which time the Company recorded $0.2 million in non-cash interest expense and </w:t>
      </w:r>
      <w:r>
        <w:rPr>
          <w:rFonts w:ascii="Times New Roman" w:hAnsi="Times New Roman"/>
          <w:i/>
          <w:color w:val="000000"/>
          <w:sz w:val="20"/>
        </w:rPr>
        <w:t>de minimis</w:t>
      </w:r>
      <w:r>
        <w:rPr>
          <w:rFonts w:ascii="Times New Roman" w:hAnsi="Times New Roman"/>
          <w:color w:val="000000"/>
          <w:sz w:val="20"/>
        </w:rPr>
        <w:t xml:space="preserve"> amortization of the Transaction Costs in the consolidated statements of operations. Non-cash revenue recognized by the Company during the period of the Commencement Date through December 31, 2023 was $2.1 million and is payable to Sagard by UT.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Sale-Leaseback Transaction </w:t>
      </w:r>
      <w:r>
        <w:rPr>
          <w:rFonts w:ascii="Times New Roman" w:hAnsi="Times New Roman"/>
          <w:color w:val="000000"/>
          <w:sz w:val="20"/>
        </w:rPr>
        <w:t xml:space="preserve">— In November 2021, the Company sold the Property to the Purchaser for a sales price of $102.3 million, subject to terms and the conditions contained in a purchase and sale agreement. See Note 7 – </w:t>
      </w:r>
      <w:r>
        <w:rPr>
          <w:rFonts w:ascii="Times New Roman" w:hAnsi="Times New Roman"/>
          <w:i/>
          <w:color w:val="000000"/>
          <w:sz w:val="20"/>
        </w:rPr>
        <w:t>Property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related financing liability was $104.1 million, which was recognized in the Company’s consolidated balance sheet and of which $94.3 million was long-term and $9.8 million was current. As of December 31, 2022, the related financing liability was $104.1 million, of which $94.5 million was long-term and $9.6 million was current. Cash paid for interest on the financing liability totaled $9.6 million during each of the years ended December 31, 2023 and 2022.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Financing liability information was as follows (dollars in thousands):</w:t>
      </w:r>
    </w:p>
    <w:p>
      <w:pPr>
        <w:pStyle w:val="TextBody"/>
        <w:bidi w:val="0"/>
        <w:spacing w:before="40" w:after="283"/>
        <w:jc w:val="left"/>
        <w:rPr/>
      </w:pPr>
      <w:r>
        <w:rPr/>
        <w:t> </w:t>
      </w:r>
    </w:p>
    <w:tbl>
      <w:tblPr>
        <w:tblW w:w="7990" w:type="dxa"/>
        <w:jc w:val="left"/>
        <w:tblInd w:w="0" w:type="dxa"/>
        <w:tblLayout w:type="fixed"/>
        <w:tblCellMar>
          <w:top w:w="28" w:type="dxa"/>
          <w:left w:w="28" w:type="dxa"/>
          <w:bottom w:w="28" w:type="dxa"/>
          <w:right w:w="28" w:type="dxa"/>
        </w:tblCellMar>
      </w:tblPr>
      <w:tblGrid>
        <w:gridCol w:w="4111"/>
        <w:gridCol w:w="146"/>
        <w:gridCol w:w="357"/>
        <w:gridCol w:w="1143"/>
        <w:gridCol w:w="271"/>
        <w:gridCol w:w="1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478"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571"/>
        <w:gridCol w:w="146"/>
        <w:gridCol w:w="146"/>
        <w:gridCol w:w="211"/>
        <w:gridCol w:w="57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remaining financing liability payments were as follows (in thousands):</w:t>
      </w:r>
    </w:p>
    <w:tbl>
      <w:tblPr>
        <w:tblW w:w="4123" w:type="dxa"/>
        <w:jc w:val="left"/>
        <w:tblInd w:w="0" w:type="dxa"/>
        <w:tblLayout w:type="fixed"/>
        <w:tblCellMar>
          <w:top w:w="28" w:type="dxa"/>
          <w:left w:w="28" w:type="dxa"/>
          <w:bottom w:w="28" w:type="dxa"/>
          <w:right w:w="28" w:type="dxa"/>
        </w:tblCellMar>
      </w:tblPr>
      <w:tblGrid>
        <w:gridCol w:w="2086"/>
        <w:gridCol w:w="146"/>
        <w:gridCol w:w="301"/>
        <w:gridCol w:w="1199"/>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10,533</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230,121</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financing liability</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i/>
          <w:color w:val="000000"/>
          <w:sz w:val="20"/>
        </w:rPr>
        <w:t xml:space="preserve">Commitments </w:t>
      </w:r>
      <w:r>
        <w:rPr>
          <w:rFonts w:ascii="Times New Roman" w:hAnsi="Times New Roman"/>
          <w:color w:val="000000"/>
          <w:sz w:val="20"/>
        </w:rPr>
        <w:t>— In July 2014, the Company entered into the Insulin Supply Agreement with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22, 2023, the Company and Amphastar amended the Insulin Supply Agreement to extend the term, restructure the annual purchase commitments and include a capacity fee for certain future periods. The Company's remaining purchase commitments and estimated capacity fee liability as of December 31, 2023, as well as pre-amendment purchase commitments as of September 30, 2023, were as follows (€ in millions):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69" w:type="dxa"/>
        <w:jc w:val="left"/>
        <w:tblInd w:w="0" w:type="dxa"/>
        <w:tblLayout w:type="fixed"/>
        <w:tblCellMar>
          <w:top w:w="28" w:type="dxa"/>
          <w:left w:w="28" w:type="dxa"/>
          <w:bottom w:w="28" w:type="dxa"/>
          <w:right w:w="28" w:type="dxa"/>
        </w:tblCellMar>
      </w:tblPr>
      <w:tblGrid>
        <w:gridCol w:w="706"/>
        <w:gridCol w:w="629"/>
        <w:gridCol w:w="2011"/>
        <w:gridCol w:w="155"/>
        <w:gridCol w:w="155"/>
        <w:gridCol w:w="542"/>
        <w:gridCol w:w="1348"/>
        <w:gridCol w:w="146"/>
        <w:gridCol w:w="146"/>
        <w:gridCol w:w="627"/>
        <w:gridCol w:w="2013"/>
        <w:gridCol w:w="191"/>
      </w:tblGrid>
      <w:tr>
        <w:trPr/>
        <w:tc>
          <w:tcPr>
            <w:tcW w:w="70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283"/>
              <w:jc w:val="left"/>
              <w:rPr/>
            </w:pPr>
            <w:r>
              <w:rPr/>
              <w:t> </w:t>
            </w:r>
          </w:p>
        </w:tc>
        <w:tc>
          <w:tcPr>
            <w:tcW w:w="4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Purchase Commitments</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Capacity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Purchase Commitments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2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20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2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w:t>
            </w:r>
            <w:r>
              <w:rPr>
                <w:rFonts w:ascii="Times New Roman" w:hAnsi="Times New Roman"/>
                <w:color w:val="000000"/>
                <w:sz w:val="13"/>
              </w:rPr>
              <w:t>(1)</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20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2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201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201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201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201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201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2033</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201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2034</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2"/>
        </w:rPr>
      </w:pPr>
      <w:r>
        <w:rPr>
          <w:rFonts w:ascii="Times New Roman" w:hAnsi="Times New Roman"/>
          <w:color w:val="000000"/>
          <w:sz w:val="12"/>
        </w:rPr>
        <w:t>__________________________</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If there is a delay in the availability of insulin with FDA approved inclusion bodies and supply does not begin in 2026 as currently expected, the Company will incur a capacity fee of </w:t>
      </w:r>
      <w:r>
        <w:rPr>
          <w:rFonts w:ascii="Times New Roman" w:hAnsi="Times New Roman"/>
          <w:color w:val="000000"/>
          <w:sz w:val="20"/>
        </w:rPr>
        <w:t>€</w:t>
      </w:r>
      <w:r>
        <w:rPr>
          <w:rFonts w:ascii="Times New Roman" w:hAnsi="Times New Roman"/>
          <w:color w:val="000000"/>
          <w:sz w:val="18"/>
        </w:rPr>
        <w:t>750,000</w:t>
      </w:r>
      <w:r>
        <w:rPr>
          <w:rFonts w:ascii="Times New Roman" w:hAnsi="Times New Roman"/>
          <w:color w:val="000000"/>
          <w:sz w:val="20"/>
        </w:rPr>
        <w:t xml:space="preserve"> </w:t>
      </w:r>
      <w:r>
        <w:rPr>
          <w:rFonts w:ascii="Times New Roman" w:hAnsi="Times New Roman"/>
          <w:color w:val="000000"/>
          <w:sz w:val="18"/>
        </w:rPr>
        <w:t xml:space="preserve">per quarter that the product is not available for purchase.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amendment, the term of the Insulin Supply Agreement expires on the later of December 31, 2034 or until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reviews the terms of the long-term Insulin Supply Agreement and assesses the need for any accrual for estimated losses, such as lower of cost or net realizable value that will not be recovered by future product sales. The recognized loss on purchase commitments of $64.8 million and $72.3 million is included in our consolidated balance sheets as of December 31, 2023 and 2022, respectively, and is reduced as inventory items are received or such liability is extinguished.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Vehicle Leases – </w:t>
      </w:r>
      <w:r>
        <w:rPr>
          <w:rFonts w:ascii="Times New Roman" w:hAnsi="Times New Roman"/>
          <w:color w:val="000000"/>
          <w:sz w:val="20"/>
        </w:rPr>
        <w:t>During the second quarter of 2018, the Company entered into a master lease agreement with Enterprise Fleet Management Inc. The monthly payment inclusive of maintenance fees, insurance and taxes is approximately $0.1 million. The lease expense is included in selling expenses in the consolidated statements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Office Leases</w:t>
      </w:r>
      <w:r>
        <w:rPr>
          <w:rFonts w:ascii="Times New Roman" w:hAnsi="Times New Roman"/>
          <w:color w:val="000000"/>
          <w:sz w:val="20"/>
        </w:rPr>
        <w:t xml:space="preserve"> — In May 2017, the Company executed an office lease with Russell Ranch Road II LLC for the Company’s corporate offices in Westlake 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is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Lease information was as follows (dollars in thousands):</w:t>
      </w:r>
    </w:p>
    <w:tbl>
      <w:tblPr>
        <w:tblW w:w="8190" w:type="dxa"/>
        <w:jc w:val="left"/>
        <w:tblInd w:w="0" w:type="dxa"/>
        <w:tblLayout w:type="fixed"/>
        <w:tblCellMar>
          <w:top w:w="28" w:type="dxa"/>
          <w:left w:w="28" w:type="dxa"/>
          <w:bottom w:w="28" w:type="dxa"/>
          <w:right w:w="28" w:type="dxa"/>
        </w:tblCellMar>
      </w:tblPr>
      <w:tblGrid>
        <w:gridCol w:w="4111"/>
        <w:gridCol w:w="246"/>
        <w:gridCol w:w="403"/>
        <w:gridCol w:w="1097"/>
        <w:gridCol w:w="271"/>
        <w:gridCol w:w="246"/>
        <w:gridCol w:w="403"/>
        <w:gridCol w:w="1097"/>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right-of-use assets</w:t>
            </w:r>
            <w:r>
              <w:rPr>
                <w:rFonts w:ascii="Times New Roman" w:hAnsi="Times New Roman"/>
                <w:color w:val="000000"/>
                <w:sz w:val="13"/>
              </w:rPr>
              <w:t>(1)</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liability-current</w:t>
            </w:r>
            <w:r>
              <w:rPr>
                <w:rFonts w:ascii="Times New Roman" w:hAnsi="Times New Roman"/>
                <w:color w:val="000000"/>
                <w:sz w:val="13"/>
              </w:rPr>
              <w:t>(2)</w:t>
            </w:r>
          </w:p>
        </w:tc>
        <w:tc>
          <w:tcPr>
            <w:tcW w:w="2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liability-long-term</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2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Operating right-of-use assets related to vehicles, offices and the manufacturing facility are included in other assets in the consolidated balance sheets.</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color w:val="000000"/>
          <w:sz w:val="18"/>
        </w:rPr>
      </w:pPr>
      <w:r>
        <w:rPr>
          <w:rFonts w:ascii="Times New Roman" w:hAnsi="Times New Roman"/>
          <w:color w:val="000000"/>
          <w:sz w:val="18"/>
        </w:rPr>
        <w:t>Operating lease liability – current are included in accrued expenses and other current liabilities in the consolidated balance sheets.</w:t>
      </w:r>
    </w:p>
    <w:p>
      <w:pPr>
        <w:pStyle w:val="TextBody"/>
        <w:bidi w:val="0"/>
        <w:jc w:val="left"/>
        <w:rPr/>
      </w:pPr>
      <w:r>
        <w:rPr/>
        <w:t> </w:t>
      </w:r>
    </w:p>
    <w:tbl>
      <w:tblPr>
        <w:tblW w:w="5098" w:type="dxa"/>
        <w:jc w:val="left"/>
        <w:tblInd w:w="0" w:type="dxa"/>
        <w:tblLayout w:type="fixed"/>
        <w:tblCellMar>
          <w:top w:w="28" w:type="dxa"/>
          <w:left w:w="28" w:type="dxa"/>
          <w:bottom w:w="28" w:type="dxa"/>
          <w:right w:w="28" w:type="dxa"/>
        </w:tblCellMar>
      </w:tblPr>
      <w:tblGrid>
        <w:gridCol w:w="1831"/>
        <w:gridCol w:w="146"/>
        <w:gridCol w:w="211"/>
        <w:gridCol w:w="571"/>
        <w:gridCol w:w="146"/>
        <w:gridCol w:w="146"/>
        <w:gridCol w:w="211"/>
        <w:gridCol w:w="571"/>
        <w:gridCol w:w="146"/>
        <w:gridCol w:w="146"/>
        <w:gridCol w:w="211"/>
        <w:gridCol w:w="57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future minimum office and vehicle lease payments were as follows (in thousands):</w:t>
      </w:r>
    </w:p>
    <w:p>
      <w:pPr>
        <w:pStyle w:val="TextBody"/>
        <w:bidi w:val="0"/>
        <w:jc w:val="left"/>
        <w:rPr/>
      </w:pPr>
      <w:r>
        <w:rPr/>
        <w:t> </w:t>
      </w:r>
    </w:p>
    <w:tbl>
      <w:tblPr>
        <w:tblW w:w="4393" w:type="dxa"/>
        <w:jc w:val="left"/>
        <w:tblInd w:w="0" w:type="dxa"/>
        <w:tblLayout w:type="fixed"/>
        <w:tblCellMar>
          <w:top w:w="28" w:type="dxa"/>
          <w:left w:w="28" w:type="dxa"/>
          <w:bottom w:w="28" w:type="dxa"/>
          <w:right w:w="28" w:type="dxa"/>
        </w:tblCellMar>
      </w:tblPr>
      <w:tblGrid>
        <w:gridCol w:w="2536"/>
        <w:gridCol w:w="146"/>
        <w:gridCol w:w="403"/>
        <w:gridCol w:w="1097"/>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1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21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1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21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w:t>
            </w:r>
          </w:p>
        </w:tc>
        <w:tc>
          <w:tcPr>
            <w:tcW w:w="21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 Employee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administers a defined contribution 401(k) savings retirement plan for its employees. The Company may make discretionary matching contributions. For the years ended December 31, 2023, 2022 and 2021, the Company matched each participant’s deferral at the rate of 50% of each participant’s deferral up to the first 10% of compensation. Participants hired after March 31, 2021 became vested in Company contributions at 100% after two years of service. Participants are vested in Company contributions at 50% after one year of service and are 100% vested after two years of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total discretionary matching contributions were $2.9 million, $1.8 million and $1.5 million for the years ended December 31, 2023, 2022 and 2021,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18.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from continuing operations before provision for income taxes for the Company’s domestic and international operations was as follows (in thousands):</w:t>
      </w:r>
    </w:p>
    <w:p>
      <w:pPr>
        <w:pStyle w:val="TextBody"/>
        <w:bidi w:val="0"/>
        <w:jc w:val="left"/>
        <w:rPr/>
      </w:pPr>
      <w:r>
        <w:rPr/>
        <w:t> </w:t>
      </w:r>
    </w:p>
    <w:tbl>
      <w:tblPr>
        <w:tblW w:w="7458" w:type="dxa"/>
        <w:jc w:val="left"/>
        <w:tblInd w:w="0" w:type="dxa"/>
        <w:tblLayout w:type="fixed"/>
        <w:tblCellMar>
          <w:top w:w="28" w:type="dxa"/>
          <w:left w:w="28" w:type="dxa"/>
          <w:bottom w:w="28" w:type="dxa"/>
          <w:right w:w="28" w:type="dxa"/>
        </w:tblCellMar>
      </w:tblPr>
      <w:tblGrid>
        <w:gridCol w:w="3456"/>
        <w:gridCol w:w="146"/>
        <w:gridCol w:w="211"/>
        <w:gridCol w:w="736"/>
        <w:gridCol w:w="166"/>
        <w:gridCol w:w="146"/>
        <w:gridCol w:w="211"/>
        <w:gridCol w:w="736"/>
        <w:gridCol w:w="166"/>
        <w:gridCol w:w="146"/>
        <w:gridCol w:w="211"/>
        <w:gridCol w:w="736"/>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(80,926</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 Company has concluded that it is more likely than not that the Company may not realize the benefit of its deferred tax assets due to its history of losses. The Company has incurred operating losses since inception. Accordingly, the net deferred tax assets have been fully reserved. The provision for income taxes consists of the following (in thousands): </w:t>
      </w:r>
    </w:p>
    <w:p>
      <w:pPr>
        <w:pStyle w:val="TextBody"/>
        <w:bidi w:val="0"/>
        <w:jc w:val="left"/>
        <w:rPr/>
      </w:pPr>
      <w:r>
        <w:rPr/>
        <w:t> </w:t>
      </w:r>
    </w:p>
    <w:tbl>
      <w:tblPr>
        <w:tblW w:w="5993" w:type="dxa"/>
        <w:jc w:val="left"/>
        <w:tblInd w:w="0" w:type="dxa"/>
        <w:tblLayout w:type="fixed"/>
        <w:tblCellMar>
          <w:top w:w="28" w:type="dxa"/>
          <w:left w:w="28" w:type="dxa"/>
          <w:bottom w:w="28" w:type="dxa"/>
          <w:right w:w="28" w:type="dxa"/>
        </w:tblCellMar>
      </w:tblPr>
      <w:tblGrid>
        <w:gridCol w:w="2001"/>
        <w:gridCol w:w="146"/>
        <w:gridCol w:w="211"/>
        <w:gridCol w:w="631"/>
        <w:gridCol w:w="166"/>
        <w:gridCol w:w="146"/>
        <w:gridCol w:w="211"/>
        <w:gridCol w:w="631"/>
        <w:gridCol w:w="166"/>
        <w:gridCol w:w="146"/>
        <w:gridCol w:w="211"/>
        <w:gridCol w:w="736"/>
        <w:gridCol w:w="5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Non-U.S.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(14,461</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Non-U.S.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(19,631</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are approximately as follows (in thousands):</w:t>
      </w:r>
    </w:p>
    <w:p>
      <w:pPr>
        <w:pStyle w:val="TextBody"/>
        <w:bidi w:val="0"/>
        <w:jc w:val="left"/>
        <w:rPr/>
      </w:pPr>
      <w:r>
        <w:rPr/>
        <w:t> </w:t>
      </w:r>
    </w:p>
    <w:tbl>
      <w:tblPr>
        <w:tblW w:w="6204" w:type="dxa"/>
        <w:jc w:val="left"/>
        <w:tblInd w:w="0" w:type="dxa"/>
        <w:tblLayout w:type="fixed"/>
        <w:tblCellMar>
          <w:top w:w="28" w:type="dxa"/>
          <w:left w:w="28" w:type="dxa"/>
          <w:bottom w:w="28" w:type="dxa"/>
          <w:right w:w="28" w:type="dxa"/>
        </w:tblCellMar>
      </w:tblPr>
      <w:tblGrid>
        <w:gridCol w:w="3231"/>
        <w:gridCol w:w="146"/>
        <w:gridCol w:w="211"/>
        <w:gridCol w:w="841"/>
        <w:gridCol w:w="166"/>
        <w:gridCol w:w="146"/>
        <w:gridCol w:w="211"/>
        <w:gridCol w:w="841"/>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542,537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Milestone Rights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purchase commitment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Non-qualified stock option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patent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limitation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product revenue and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 of future royalties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706,923</w:t>
            </w:r>
          </w:p>
        </w:tc>
        <w:tc>
          <w:tcPr>
            <w:tcW w:w="411" w:type="dxa"/>
            <w:tcBorders/>
            <w:shd w:fill="FFFFFF" w:val="clear"/>
            <w:vAlign w:val="center"/>
          </w:tcPr>
          <w:p>
            <w:pPr>
              <w:pStyle w:val="TableContents"/>
              <w:bidi w:val="0"/>
              <w:spacing w:before="0" w:after="283"/>
              <w:jc w:val="left"/>
              <w:rPr/>
            </w:pPr>
            <w:r>
              <w:rPr/>
              <w:t> </w:t>
            </w:r>
          </w:p>
        </w:tc>
      </w:tr>
      <w:tr>
        <w:trPr/>
        <w:tc>
          <w:tcPr>
            <w:tcW w:w="3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411" w:type="dxa"/>
            <w:tcBorders/>
            <w:shd w:fill="FFFFFF" w:val="clear"/>
            <w:vAlign w:val="center"/>
          </w:tcPr>
          <w:p>
            <w:pPr>
              <w:pStyle w:val="TableContents"/>
              <w:bidi w:val="0"/>
              <w:spacing w:before="0" w:after="283"/>
              <w:jc w:val="left"/>
              <w:rPr/>
            </w:pPr>
            <w:r>
              <w:rPr/>
              <w:t> </w:t>
            </w:r>
          </w:p>
        </w:tc>
      </w:tr>
      <w:tr>
        <w:trPr/>
        <w:tc>
          <w:tcPr>
            <w:tcW w:w="32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prepaids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effective tax rate differs from the statutory federal income tax rate as follows:</w:t>
      </w:r>
    </w:p>
    <w:p>
      <w:pPr>
        <w:pStyle w:val="TextBody"/>
        <w:bidi w:val="0"/>
        <w:jc w:val="left"/>
        <w:rPr/>
      </w:pPr>
      <w:r>
        <w:rPr/>
        <w:t> </w:t>
      </w:r>
    </w:p>
    <w:tbl>
      <w:tblPr>
        <w:tblW w:w="6688" w:type="dxa"/>
        <w:jc w:val="left"/>
        <w:tblInd w:w="0" w:type="dxa"/>
        <w:tblLayout w:type="fixed"/>
        <w:tblCellMar>
          <w:top w:w="28" w:type="dxa"/>
          <w:left w:w="28" w:type="dxa"/>
          <w:bottom w:w="28" w:type="dxa"/>
          <w:right w:w="28" w:type="dxa"/>
        </w:tblCellMar>
      </w:tblPr>
      <w:tblGrid>
        <w:gridCol w:w="3376"/>
        <w:gridCol w:w="146"/>
        <w:gridCol w:w="146"/>
        <w:gridCol w:w="526"/>
        <w:gridCol w:w="271"/>
        <w:gridCol w:w="146"/>
        <w:gridCol w:w="146"/>
        <w:gridCol w:w="526"/>
        <w:gridCol w:w="271"/>
        <w:gridCol w:w="146"/>
        <w:gridCol w:w="146"/>
        <w:gridCol w:w="526"/>
        <w:gridCol w:w="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tax benefit rate</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expense (net of federal benefit)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items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Officers compensation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attribute expirations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deferred adjustments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2023 and 2022, management assessed the realizability of deferred tax assets. Management evaluated the need for an amount of any valuation allowance for deferred tax assets on a jurisdictional basis. This evaluation utilizes the framework contained in ASC 740, Income Taxes, wherein management analyzes all positive and negative evidence available at the balance sheet date to determine whether all or some portion of our deferred tax assets will not be realized. Under this guidance, a valuation allowance must be established for deferred tax assets when it is more likely than not (a probability level of more than 50 percent) that they will not be realized. In assessing the realization of the Company's deferred tax assets, the Company considers all available evidence, both positive and negative.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concluding on the evaluation, management placed significant emphasis on guidance in ASC 740, which states that “a cumulative loss in recent years is a significant piece of negative evidence that is difficult to overcome.” Based upon available evidence as of December 31, 2023, it was concluded on a more-likely-than-not basis that all deferred tax assets were not realizable. Accordingly, a valuation allowance of $698.2 million has been recorded to offset these deferred tax assets. During the years ended December 31, 2023 and 2022, the change in valuation allowance was $6.8 million and $9.9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federal and state net operating loss carryforwards of approximately $2.0 billion and $1.3 billion available, respectively, to reduce future taxable income. $494.0 million of the federal losses do not expire and the remaining federal losses have started expiring, beginning in the current year through various future 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IRC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IRC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2023, to determine whether additional limitations may be placed on the net operating loss carryforwards and other tax attributes, and no additional changes in ownership that met Section 382 study ownership change threshold has been identified through December 31, 2023. There is a risk that changes in ownership may occur in tax years after December 31, 2023.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Company had $54.2 million of U.S. federal research and development credits which expire beginning in 2024, and $22.8 million of state research and development credits. The Company also had two types of credits in Connecticut of which $19.8 million do not expire and the $1.1 million of the R&amp;D credit expired at the end of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tax laws. The Company's tax years since 2018 remain subject to examination by federal, state and foreign tax authorities.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 reconciliation of beginning and ending amounts of unrecognized tax benefits was as follows (in thousands):</w:t>
      </w:r>
    </w:p>
    <w:tbl>
      <w:tblPr>
        <w:tblW w:w="8058" w:type="dxa"/>
        <w:jc w:val="left"/>
        <w:tblInd w:w="0" w:type="dxa"/>
        <w:tblLayout w:type="fixed"/>
        <w:tblCellMar>
          <w:top w:w="28" w:type="dxa"/>
          <w:left w:w="28" w:type="dxa"/>
          <w:bottom w:w="28" w:type="dxa"/>
          <w:right w:w="28" w:type="dxa"/>
        </w:tblCellMar>
      </w:tblPr>
      <w:tblGrid>
        <w:gridCol w:w="4061"/>
        <w:gridCol w:w="146"/>
        <w:gridCol w:w="211"/>
        <w:gridCol w:w="781"/>
        <w:gridCol w:w="146"/>
        <w:gridCol w:w="146"/>
        <w:gridCol w:w="211"/>
        <w:gridCol w:w="781"/>
        <w:gridCol w:w="146"/>
        <w:gridCol w:w="146"/>
        <w:gridCol w:w="211"/>
        <w:gridCol w:w="781"/>
        <w:gridCol w:w="291"/>
      </w:tblGrid>
      <w:tr>
        <w:trPr/>
        <w:tc>
          <w:tcPr>
            <w:tcW w:w="4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shd w:fill="FFFFFF" w:val="clear"/>
            <w:vAlign w:val="center"/>
          </w:tcPr>
          <w:p>
            <w:pPr>
              <w:pStyle w:val="TableContents"/>
              <w:bidi w:val="0"/>
              <w:spacing w:before="0" w:after="283"/>
              <w:jc w:val="center"/>
              <w:rPr/>
            </w:pPr>
            <w:r>
              <w:rPr/>
              <w:t> </w:t>
            </w:r>
          </w:p>
        </w:tc>
      </w:tr>
      <w:tr>
        <w:trPr/>
        <w:tc>
          <w:tcPr>
            <w:tcW w:w="40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Unrecognized Tax Benefit</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center"/>
              <w:rPr/>
            </w:pPr>
            <w:r>
              <w:rPr/>
              <w:t> </w:t>
            </w:r>
          </w:p>
        </w:tc>
      </w:tr>
      <w:tr>
        <w:trPr/>
        <w:tc>
          <w:tcPr>
            <w:tcW w:w="4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Year</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268,902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increases for tax positions of prior years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decreases for tax positions of current year</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Lapse of statute of limitations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Year</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268,902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2022 and 2021, the Company has not recognized a liability for unrecognized tax benefits. If any were recognized, it would affect the Company’s effective tax rate. The Company does not expect its unrecognized tax benefits to change significantly over the next 12 months. The Company recognizes interest and penalties accrued related to unrecognized tax benefits in income tax expense. During the years ended December 31, 2023, 2022 and 2021, the Company did not recognize any interest and/or penalties. </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4"/>
        </w:rPr>
      </w:pPr>
      <w:bookmarkStart w:id="34" w:name="mnkd-ex4_3.htm"/>
      <w:bookmarkStart w:id="35" w:name="ksmnkdex4_3"/>
      <w:bookmarkEnd w:id="34"/>
      <w:bookmarkEnd w:id="35"/>
      <w:r>
        <w:rPr>
          <w:rFonts w:ascii="Times New Roman" w:hAnsi="Times New Roman"/>
          <w:b/>
          <w:color w:val="000000"/>
          <w:sz w:val="24"/>
        </w:rPr>
        <w:t>Exhibit 4.3</w:t>
      </w:r>
      <w:r>
        <w:br w:type="page"/>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DESCRIPTION OF COMMON STOCK</w:t>
      </w:r>
    </w:p>
    <w:p>
      <w:pPr>
        <w:pStyle w:val="TextBody"/>
        <w:bidi w:val="0"/>
        <w:spacing w:before="120" w:after="120"/>
        <w:jc w:val="both"/>
        <w:rPr>
          <w:rFonts w:ascii="Times New Roman" w:hAnsi="Times New Roman"/>
          <w:b/>
          <w:color w:val="000000"/>
          <w:sz w:val="24"/>
        </w:rPr>
      </w:pPr>
      <w:r>
        <w:rPr>
          <w:rFonts w:ascii="Times New Roman" w:hAnsi="Times New Roman"/>
          <w:b/>
          <w:color w:val="000000"/>
          <w:sz w:val="24"/>
        </w:rPr>
        <w:t>General</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Our authorized capital stock consists of 800,000,000 shares of common stock, $0.01 par value, and 10,000,000 shares of preferred stock, $0.01 par value. All of our authorized preferred stock is undesignated. Our board of directors is authorized, without stockholder approval except as required by the listing standards of The Nasdaq Stock Market LLC, to issue additional shares of our capital stock. With respect to the 10,000,000 shares of preferred stock, par value $0.01 per share, all of which is undesignated, our board of directors has the authority, without further action by stockholders, to designate up to in one or more series and to fix the rights, preferences, privileges, qualifications and restrictions granted to or imposed upon the preferred stock, including dividend rights, conversion rights, voting rights, rights and terms of redemption, liquidation preference and sinking fund terms, any or all of which may be greater than the rights of our common stock. The issuance of preferred stock could adversely affect the voting power of holders of common stock and reduce the likelihood that common stockholders will receive dividend payments and payments upon liquidation. The issuance could also have the effect of decreasing the market price of the common stock. The issuance of preferred stock also could have the effect of delaying, deterring or prevent a change in control of us.</w:t>
      </w:r>
    </w:p>
    <w:p>
      <w:pPr>
        <w:pStyle w:val="TextBody"/>
        <w:bidi w:val="0"/>
        <w:spacing w:before="0" w:after="120"/>
        <w:jc w:val="both"/>
        <w:rPr>
          <w:rFonts w:ascii="Times New Roman" w:hAnsi="Times New Roman"/>
          <w:sz w:val="20"/>
        </w:rPr>
      </w:pPr>
      <w:r>
        <w:rPr>
          <w:rFonts w:ascii="Times New Roman" w:hAnsi="Times New Roman"/>
          <w:color w:val="000000"/>
          <w:sz w:val="24"/>
        </w:rPr>
        <w:t>The following summary description of our common stock is based on the provisions of our amended and restated certificate of incorporation, as amended, or our Certificate of Incorporation, and amended and restated bylaws, or our Bylaws, and the applicable provisions of the Delaware General Corporation Law, or DGCL. This information is qualified entirely by reference to the applicable provisions of our Certificate of Incorporation, Bylaws and the DGCL.</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24"/>
        </w:rPr>
      </w:pPr>
      <w:r>
        <w:rPr>
          <w:rFonts w:ascii="Times New Roman" w:hAnsi="Times New Roman"/>
          <w:b/>
          <w:color w:val="000000"/>
          <w:sz w:val="24"/>
        </w:rPr>
        <w:t>Voting Rights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Each holder of our common stock is entitled to one vote for each share on all matters submitted to a vote of our stockholders, including the election of our directors. Under our Certificate of Incorporation and Bylaws, our stockholders will not have cumulative voting rights. Accordingly, the holders of a majority of our outstanding shares of common stock entitled to vote in any election of directors can elect all of the directors standing for election, if they should so choose. In all other matters, an action by our common stockholders requires the affirmative vote of the holders of a majority of our outstanding shares of common stock entitled to vote.</w:t>
      </w:r>
    </w:p>
    <w:p>
      <w:pPr>
        <w:pStyle w:val="TextBody"/>
        <w:bidi w:val="0"/>
        <w:spacing w:before="120" w:after="120"/>
        <w:jc w:val="both"/>
        <w:rPr>
          <w:rFonts w:ascii="Times New Roman" w:hAnsi="Times New Roman"/>
          <w:b/>
          <w:color w:val="000000"/>
          <w:sz w:val="24"/>
        </w:rPr>
      </w:pPr>
      <w:r>
        <w:rPr>
          <w:rFonts w:ascii="Times New Roman" w:hAnsi="Times New Roman"/>
          <w:b/>
          <w:color w:val="000000"/>
          <w:sz w:val="24"/>
        </w:rPr>
        <w:t>Dividends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Subject to preferences that may be applicable to any outstanding shares of our preferred stock, holders of our common stock are entitled to receive ratably any dividends our board of directors declares out of funds legally available for that purpose. Any dividends on our common stock will be non-cumulative.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Liquidation, Dissolution or Winding Up</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If we liquidate, dissolve or wind up, the holders of our common stock are entitled to share ratably in all assets legally available for distribution to our stockholders after the payment of all of our debts and other liabilities and the satisfaction of any liquidation preference granted to the holders of any outstanding shares of our preferred stock.</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Rights and Preferences</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Our common stock has no preemptive, conversion or subscription rights. There are no redemption or sinking fund provisions applicable to our common stock. The rights, preferences and privileges of the holders of our common stock are subject to, and may be adversely affected by, the rights of the holders of any outstanding shares of our preferred stock, which we may designate and issue in the future.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Transfer Agent and Registrar</w:t>
      </w:r>
    </w:p>
    <w:p>
      <w:pPr>
        <w:pStyle w:val="TextBody"/>
        <w:bidi w:val="0"/>
        <w:spacing w:before="240" w:after="283"/>
        <w:jc w:val="left"/>
        <w:rPr>
          <w:rFonts w:ascii="Times New Roman" w:hAnsi="Times New Roman"/>
          <w:sz w:val="20"/>
        </w:rPr>
      </w:pPr>
      <w:r>
        <w:rPr>
          <w:rFonts w:ascii="Times New Roman" w:hAnsi="Times New Roman"/>
          <w:color w:val="000000"/>
          <w:sz w:val="24"/>
        </w:rPr>
        <w:t>The transfer agent and registrar for our common stock is Computershare Trust Company, N.A.</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Listing on The Nasdaq Global Market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Our common stock is listed on The Nasdaq Global Market under the symbol “MNKD.”</w:t>
      </w:r>
    </w:p>
    <w:p>
      <w:pPr>
        <w:pStyle w:val="TextBody"/>
        <w:bidi w:val="0"/>
        <w:spacing w:before="240" w:after="120"/>
        <w:jc w:val="both"/>
        <w:rPr>
          <w:rFonts w:ascii="Times New Roman" w:hAnsi="Times New Roman"/>
          <w:b/>
          <w:color w:val="000000"/>
          <w:sz w:val="24"/>
        </w:rPr>
      </w:pPr>
      <w:r>
        <w:rPr>
          <w:rFonts w:ascii="Times New Roman" w:hAnsi="Times New Roman"/>
          <w:b/>
          <w:color w:val="000000"/>
          <w:sz w:val="24"/>
        </w:rPr>
        <w:t>Anti-Takeover Effects of Provisions of Our Certificate of Incorporation, Our Bylaws and Delaware Law</w:t>
      </w:r>
    </w:p>
    <w:p>
      <w:pPr>
        <w:pStyle w:val="TextBody"/>
        <w:bidi w:val="0"/>
        <w:spacing w:before="120" w:after="120"/>
        <w:jc w:val="both"/>
        <w:rPr>
          <w:rFonts w:ascii="Times New Roman" w:hAnsi="Times New Roman"/>
          <w:b/>
          <w:i/>
          <w:color w:val="000000"/>
          <w:sz w:val="24"/>
        </w:rPr>
      </w:pPr>
      <w:r>
        <w:rPr>
          <w:rFonts w:ascii="Times New Roman" w:hAnsi="Times New Roman"/>
          <w:b/>
          <w:i/>
          <w:color w:val="000000"/>
          <w:sz w:val="24"/>
        </w:rPr>
        <w:t>Delaware Anti-Takeover Law</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We are subject to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prior to the date of the transaction, the board of directors of the corporation approved either the business combination or the transaction which resulted in the stockholder becoming an interested stockholder;</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on or subsequent to the consummation of the transaction,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pStyle w:val="TextBody"/>
        <w:bidi w:val="0"/>
        <w:jc w:val="left"/>
        <w:rPr/>
      </w:pPr>
      <w:r>
        <w:rPr/>
        <w:t>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Section 203 of the DGCL defines a business combination to include: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any merger or consolidation involving the corporation and the interested stockholder;</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any sale, transfer, pledge or other disposition involving the interested stockholder of 10% or more of the assets of the corporation;</w:t>
      </w:r>
    </w:p>
    <w:p>
      <w:pPr>
        <w:pStyle w:val="HorizontalLine"/>
        <w:pBdr>
          <w:bottom w:val="double" w:sz="2" w:space="0" w:color="808080"/>
        </w:pBdr>
        <w:bidi w:val="0"/>
        <w:spacing w:before="0" w:after="283"/>
        <w:jc w:val="left"/>
        <w:rPr/>
      </w:pPr>
      <w:r>
        <w:rPr/>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subject to exceptions, any transaction involving the corporation that has the effect of increasing the proportionate share of the stock of any class or series of the corporation beneficially owned by the interested stockholder;</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subject to exceptions, any transaction that results in the issuance or transfer by the corporation of any stock of the corporation to the interested stockholder; and</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the receipt by the interested stockholder of the benefit of any loans, advances, guarantees, pledges or other financial benefits provided by or through the corporation.</w:t>
      </w:r>
    </w:p>
    <w:p>
      <w:pPr>
        <w:pStyle w:val="TextBody"/>
        <w:bidi w:val="0"/>
        <w:jc w:val="left"/>
        <w:rPr/>
      </w:pPr>
      <w:r>
        <w:rPr/>
        <w:t>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120" w:after="120"/>
        <w:jc w:val="both"/>
        <w:rPr>
          <w:rFonts w:ascii="Times New Roman" w:hAnsi="Times New Roman"/>
          <w:b/>
          <w:i/>
          <w:color w:val="000000"/>
          <w:sz w:val="24"/>
        </w:rPr>
      </w:pPr>
      <w:r>
        <w:rPr>
          <w:rFonts w:ascii="Times New Roman" w:hAnsi="Times New Roman"/>
          <w:b/>
          <w:i/>
          <w:color w:val="000000"/>
          <w:sz w:val="24"/>
        </w:rPr>
        <w:t>Certificate of Incorporation and Bylaws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permit our board of directors to issue up to 10,000,000 shares of preferred stock, with any rights, preferences and privileges as they may designate;</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provide that, subject to the rights of the holders of any outstanding series of preferred stock, all vacancies, including newly created directorships, may, except as otherwise required by law, be filled by the affirmative vote of a majority of directors then in office, even if less than a quorum;</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provide that our board of directors may fix the number of directors by resolution;</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require that any action to be taken by our stockholders must be effected at a duly called annual or special meeting of stockholders and not be taken by written consent or electronic transmission;</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 xml:space="preserve">provide that stockholders seeking to present proposals before a meeting of stockholders or to nominate candidates for election as directors at a meeting of stockholders must provide </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timely notice in writing and also specify requirements as to the form and content of a stockholder’s notice;</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do not provide for cumulative voting rights (therefore allowing the holders of a majority of the shares of common stock entitled to vote in any election of directors to elect all of the directors standing for election, if they should so choose); and</w:t>
      </w:r>
    </w:p>
    <w:p>
      <w:pPr>
        <w:pStyle w:val="TextBody"/>
        <w:bidi w:val="0"/>
        <w:spacing w:before="120" w:after="120"/>
        <w:jc w:val="both"/>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provide that special meetings of our stockholders may be called only by the Chairman of our board of directors, by our Chief Executive Officer, by our board of directors upon a resolution adopted by a majority of the total number of authorized directors or, under certain limited circumstances, by the holders of at least 5% of our outstanding voting stock.</w:t>
      </w:r>
    </w:p>
    <w:p>
      <w:pPr>
        <w:pStyle w:val="HorizontalLine"/>
        <w:pBdr>
          <w:bottom w:val="double" w:sz="2" w:space="0" w:color="808080"/>
        </w:pBdr>
        <w:bidi w:val="0"/>
        <w:spacing w:before="0" w:after="283"/>
        <w:jc w:val="left"/>
        <w:rPr/>
      </w:pPr>
      <w:r>
        <w:rPr/>
      </w:r>
    </w:p>
    <w:p>
      <w:pPr>
        <w:pStyle w:val="TextBody"/>
        <w:bidi w:val="0"/>
        <w:spacing w:before="78" w:after="283"/>
        <w:jc w:val="left"/>
        <w:rPr/>
      </w:pPr>
      <w:bookmarkStart w:id="36" w:name="mnkd-ex10_4.htm"/>
      <w:bookmarkStart w:id="37" w:name="ksmnkdex10_4"/>
      <w:bookmarkEnd w:id="36"/>
      <w:bookmarkEnd w:id="37"/>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53" w:after="283"/>
        <w:jc w:val="right"/>
        <w:rPr>
          <w:rFonts w:ascii="Arial" w:hAnsi="Arial"/>
          <w:b/>
          <w:color w:val="000000"/>
          <w:sz w:val="20"/>
        </w:rPr>
      </w:pPr>
      <w:r>
        <w:rPr>
          <w:rFonts w:ascii="Arial" w:hAnsi="Arial"/>
          <w:b/>
          <w:color w:val="000000"/>
          <w:sz w:val="20"/>
        </w:rPr>
        <w:t>Exhibit 10.4</w:t>
      </w:r>
    </w:p>
    <w:p>
      <w:pPr>
        <w:pStyle w:val="TextBody"/>
        <w:bidi w:val="0"/>
        <w:spacing w:before="153" w:after="283"/>
        <w:jc w:val="left"/>
        <w:rPr/>
      </w:pPr>
      <w:r>
        <w:rPr/>
        <w:t> </w:t>
      </w:r>
    </w:p>
    <w:p>
      <w:pPr>
        <w:pStyle w:val="TextBody"/>
        <w:bidi w:val="0"/>
        <w:spacing w:before="153" w:after="283"/>
        <w:jc w:val="center"/>
        <w:rPr>
          <w:rFonts w:ascii="Arial" w:hAnsi="Arial"/>
          <w:b/>
          <w:color w:val="000000"/>
          <w:sz w:val="20"/>
          <w:u w:val="single"/>
        </w:rPr>
      </w:pPr>
      <w:r>
        <w:rPr>
          <w:rFonts w:ascii="Arial" w:hAnsi="Arial"/>
          <w:b/>
          <w:color w:val="000000"/>
          <w:sz w:val="20"/>
          <w:u w:val="single"/>
        </w:rPr>
        <w:t>Offer Letter - Sanjay Singh</w:t>
      </w:r>
    </w:p>
    <w:p>
      <w:pPr>
        <w:pStyle w:val="TextBody"/>
        <w:bidi w:val="0"/>
        <w:jc w:val="both"/>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September 19, 2022</w:t>
      </w:r>
    </w:p>
    <w:p>
      <w:pPr>
        <w:pStyle w:val="TextBody"/>
        <w:bidi w:val="0"/>
        <w:jc w:val="both"/>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Sanjay Singh</w:t>
      </w:r>
    </w:p>
    <w:p>
      <w:pPr>
        <w:pStyle w:val="TextBody"/>
        <w:bidi w:val="0"/>
        <w:spacing w:before="244"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Dear Sanjay Singh,</w:t>
      </w:r>
    </w:p>
    <w:p>
      <w:pPr>
        <w:pStyle w:val="TextBody"/>
        <w:bidi w:val="0"/>
        <w:spacing w:before="2"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Congratulations! The MannKind team has been very impressed with your background and credentials, and we are genuinely pleased to offer you full-time employment with MannKind Corporation, in the exempt position of Executive Vice President, Technical Operations, Member of Executive Leadership Team. In this position, you will report directly to Michael Castagna, Chief Executive Officer. Your position will be based out of the Danbury, CT office.</w:t>
      </w:r>
    </w:p>
    <w:p>
      <w:pPr>
        <w:pStyle w:val="TextBody"/>
        <w:bidi w:val="0"/>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We will target your employment to commence October 31, 2022. Please be advised that this offer is contingent upon satisfactory background checks and receipt of results of a satisfactory drug screening test, and execution of pre-hire documents set forth herein. In the coming days, you will receive an email with information regarding the test, contact and locate information for the laboratory as well as the hours of operation. This screening test must be completed no later than one week from the date of this letter.</w:t>
      </w:r>
    </w:p>
    <w:p>
      <w:pPr>
        <w:pStyle w:val="TextBody"/>
        <w:bidi w:val="0"/>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You will be paid on a bi-weekly basis, on a regular payroll schedule, in the amount of $15,384.62 equating to an annualized amount of $400,000.00.</w:t>
      </w:r>
    </w:p>
    <w:p>
      <w:pPr>
        <w:pStyle w:val="TextBody"/>
        <w:bidi w:val="0"/>
        <w:spacing w:before="244" w:after="283"/>
        <w:jc w:val="both"/>
        <w:rPr>
          <w:rFonts w:ascii="Century Gothic;sans-serif" w:hAnsi="Century Gothic;sans-serif"/>
          <w:color w:val="000000"/>
          <w:sz w:val="20"/>
        </w:rPr>
      </w:pPr>
      <w:r>
        <w:rPr>
          <w:rFonts w:ascii="Century Gothic;sans-serif" w:hAnsi="Century Gothic;sans-serif"/>
          <w:color w:val="000000"/>
          <w:sz w:val="20"/>
        </w:rPr>
        <w:t>You will be eligible to participate in the MannKind Employee Bonus Plan, with a target bonus opportunity of 50% of annual earnings. Bonus awards will be based upon company-wide performance and your achievement of mutually agreed-upon milestones.</w:t>
      </w:r>
    </w:p>
    <w:p>
      <w:pPr>
        <w:pStyle w:val="TextBody"/>
        <w:bidi w:val="0"/>
        <w:spacing w:before="1"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We are also providing you with our company’s relocation assistance program, which MannKind will provide to you to relocate to the Danbury, CT within a year of your date of hire. We will connect you with a rep at NEI to initiate your relocation benefits. MannKind will provide relocation assistance to you in good faith, however, should you leave the Company before one year from the date of relocation for any reason, except layoff, you will be required to repay the Company all funds paid, either to you or on your behalf, for relocation purposes.</w:t>
      </w:r>
    </w:p>
    <w:p>
      <w:pPr>
        <w:pStyle w:val="TextBody"/>
        <w:bidi w:val="0"/>
        <w:spacing w:before="245" w:after="283"/>
        <w:jc w:val="both"/>
        <w:rPr>
          <w:rFonts w:ascii="Century Gothic;sans-serif" w:hAnsi="Century Gothic;sans-serif"/>
          <w:color w:val="000000"/>
          <w:sz w:val="20"/>
        </w:rPr>
      </w:pPr>
      <w:r>
        <w:rPr>
          <w:rFonts w:ascii="Century Gothic;sans-serif" w:hAnsi="Century Gothic;sans-serif"/>
          <w:color w:val="000000"/>
          <w:sz w:val="20"/>
        </w:rPr>
        <w:t>You will be eligible to participate in MannKind's Equity Incentive Plan, under which stock options and / or restricted stock may be awarded to you at a future date, as approved by the Board of Directors. At the next quarterly Board meeting, we will recommend that you be granted an equity award of 218,500 Restricted Stock Units (time-based RSUs with four-year vesting) which is comparable to grants made for other individuals in similar level positions throughout the company. This is not a guarantee for a specific number of stock units, but is only intended to provide you with an understanding of grant guidelines for your position. If your start date is less than two weeks prior to the next quarterly Board meeting, the recommendation will be submitted in the following quarter. Grants will begin vesting based on your hire date.</w:t>
      </w:r>
    </w:p>
    <w:p>
      <w:pPr>
        <w:pStyle w:val="TextBody"/>
        <w:bidi w:val="0"/>
        <w:spacing w:before="1" w:after="283"/>
        <w:jc w:val="left"/>
        <w:rPr/>
      </w:pPr>
      <w:r>
        <w:rPr/>
        <w:t> </w:t>
      </w:r>
    </w:p>
    <w:p>
      <w:pPr>
        <w:pStyle w:val="TextBody"/>
        <w:bidi w:val="0"/>
        <w:jc w:val="both"/>
        <w:rPr>
          <w:rFonts w:ascii="Times New Roman" w:hAnsi="Times New Roman"/>
          <w:sz w:val="20"/>
        </w:rPr>
      </w:pPr>
      <w:r>
        <w:rPr>
          <w:rFonts w:ascii="Century Gothic;sans-serif" w:hAnsi="Century Gothic;sans-serif"/>
          <w:color w:val="000000"/>
          <w:sz w:val="20"/>
        </w:rPr>
        <w:t>We have a substantial list of fringe benefits, including the following: 20 days PTO annually, which accrues on a bi-weekly basis; short term and long-term disability insurance; company paid life</w:t>
      </w:r>
      <w:r>
        <w:rPr>
          <w:rFonts w:ascii="Times New Roman" w:hAnsi="Times New Roman"/>
          <w:color w:val="000000"/>
          <w:sz w:val="20"/>
        </w:rPr>
        <w:t xml:space="preserve"> </w:t>
      </w:r>
    </w:p>
    <w:p>
      <w:pPr>
        <w:pStyle w:val="TextBody"/>
        <w:bidi w:val="0"/>
        <w:jc w:val="left"/>
        <w:rPr/>
      </w:pPr>
      <w:r>
        <w:rPr/>
        <w:t> </w:t>
      </w:r>
    </w:p>
    <w:p>
      <w:pPr>
        <w:pStyle w:val="TextBody"/>
        <w:bidi w:val="0"/>
        <w:spacing w:before="19" w:after="283"/>
        <w:ind w:left="20" w:right="18" w:hanging="0"/>
        <w:jc w:val="left"/>
        <w:rPr/>
      </w:pPr>
      <w:r>
        <w:rPr/>
        <w:t> </w:t>
      </w:r>
    </w:p>
    <w:p>
      <w:pPr>
        <w:pStyle w:val="TextBody"/>
        <w:bidi w:val="0"/>
        <w:spacing w:before="19" w:after="283"/>
        <w:ind w:left="20" w:right="0" w:hanging="0"/>
        <w:jc w:val="left"/>
        <w:rPr/>
      </w:pPr>
      <w:r>
        <w:rPr/>
        <w:t> </w:t>
      </w:r>
    </w:p>
    <w:p>
      <w:pPr>
        <w:pStyle w:val="TextBody"/>
        <w:bidi w:val="0"/>
        <w:spacing w:before="1" w:after="283"/>
        <w:ind w:left="20" w:right="0" w:hanging="0"/>
        <w:jc w:val="left"/>
        <w:rPr/>
      </w:pPr>
      <w:r>
        <w:rPr/>
        <w:t> </w:t>
      </w:r>
    </w:p>
    <w:p>
      <w:pPr>
        <w:pStyle w:val="TextBody"/>
        <w:bidi w:val="0"/>
        <w:spacing w:before="19" w:after="283"/>
        <w:ind w:left="20" w:right="18" w:hanging="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insurance; a 401(k) tax sheltered savings program; flexible spending accounts; health, vision and</w:t>
      </w:r>
    </w:p>
    <w:p>
      <w:pPr>
        <w:pStyle w:val="TextBody"/>
        <w:bidi w:val="0"/>
        <w:jc w:val="left"/>
        <w:rPr/>
      </w:pPr>
      <w:r>
        <w:rPr/>
        <w:t> </w:t>
      </w:r>
    </w:p>
    <w:p>
      <w:pPr>
        <w:pStyle w:val="TextBody"/>
        <w:bidi w:val="0"/>
        <w:spacing w:before="19" w:after="283"/>
        <w:ind w:left="20" w:right="18" w:hanging="0"/>
        <w:jc w:val="left"/>
        <w:rPr/>
      </w:pPr>
      <w:r>
        <w:rPr/>
        <w:t> </w:t>
      </w:r>
    </w:p>
    <w:p>
      <w:pPr>
        <w:pStyle w:val="TextBody"/>
        <w:bidi w:val="0"/>
        <w:spacing w:before="19" w:after="283"/>
        <w:ind w:left="20" w:right="0" w:hanging="0"/>
        <w:jc w:val="left"/>
        <w:rPr/>
      </w:pPr>
      <w:r>
        <w:rPr/>
        <w:t> </w:t>
      </w:r>
    </w:p>
    <w:p>
      <w:pPr>
        <w:pStyle w:val="TextBody"/>
        <w:bidi w:val="0"/>
        <w:spacing w:before="1" w:after="283"/>
        <w:ind w:left="20" w:right="0" w:hanging="0"/>
        <w:jc w:val="left"/>
        <w:rPr/>
      </w:pPr>
      <w:r>
        <w:rPr/>
        <w:t> </w:t>
      </w:r>
    </w:p>
    <w:p>
      <w:pPr>
        <w:pStyle w:val="TextBody"/>
        <w:bidi w:val="0"/>
        <w:spacing w:before="19" w:after="283"/>
        <w:ind w:left="20" w:right="18"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8" w:after="283"/>
        <w:jc w:val="left"/>
        <w:rPr/>
      </w:pPr>
      <w:r>
        <w:rPr/>
        <w:t> </w:t>
      </w:r>
    </w:p>
    <w:p>
      <w:pPr>
        <w:pStyle w:val="TextBody"/>
        <w:bidi w:val="0"/>
        <w:spacing w:before="230"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dental insurance, and paid holidays. The holidays and other time off benefits will be prorated based on your date of hire. All benefits, policies and rules are subject to change from time to time at the Company's discretion, in accordance with plan documents. All benefits outlined in this offer letter are contingent on your continuing employment with MannKind Corporation in a benefit eligible status. Most benefits begin the first of the month following date of hire.</w:t>
      </w:r>
    </w:p>
    <w:p>
      <w:pPr>
        <w:pStyle w:val="TextBody"/>
        <w:bidi w:val="0"/>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After we receive your background results, you will receive a welcome email with a link to your personalized onboarding portal. Through this portal you will have access to most of the required MannKind policies and agreements that will require your signature prior to commencing employment, such as, the Employee Proprietary Information and Inventions Agreement, a Dispute Resolution Agreement, a Policy Against Insider Trading, Code of Business Conduct and Ethics, and an Employee Acknowledgement Form, required after reading the MannKind Employee Sourcebook. Of course, the company may require additional policies or agreements to be signed and acknowledged in the future.</w:t>
      </w:r>
    </w:p>
    <w:p>
      <w:pPr>
        <w:pStyle w:val="TextBody"/>
        <w:bidi w:val="0"/>
        <w:spacing w:before="2"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Employment at MannKind is at will, which means that either you or MannKind can end the employment relationship at any time, and for any reason or for no reason, with or without cause or notice. The employment terms in this letter supersede any other agreements or promises made to you by anyone, whether oral or written, and cannot be modified or amended except in writing by an officer of the company. As required by law, this offer is subject to satisfactory proof of your right to work in the United States. This at-will employment relationship cannot be changed except in writing as approved by the Board of Directors of MannKind.</w:t>
      </w:r>
    </w:p>
    <w:p>
      <w:pPr>
        <w:pStyle w:val="TextBody"/>
        <w:bidi w:val="0"/>
        <w:spacing w:before="244" w:after="283"/>
        <w:jc w:val="both"/>
        <w:rPr>
          <w:rFonts w:ascii="Century Gothic;sans-serif" w:hAnsi="Century Gothic;sans-serif"/>
          <w:color w:val="000000"/>
          <w:sz w:val="20"/>
        </w:rPr>
      </w:pPr>
      <w:r>
        <w:rPr>
          <w:rFonts w:ascii="Century Gothic;sans-serif" w:hAnsi="Century Gothic;sans-serif"/>
          <w:color w:val="000000"/>
          <w:sz w:val="20"/>
        </w:rPr>
        <w:t>We appreciate the energy and enthusiasm you demonstrated during our interview and selection process and we look forward to a favorable response to our offer. We have many exciting challenges ahead and believe you can make a significant contribution to MannKind.</w:t>
      </w:r>
    </w:p>
    <w:p>
      <w:pPr>
        <w:pStyle w:val="TextBody"/>
        <w:bidi w:val="0"/>
        <w:spacing w:before="1"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At your earliest convenience, please sign and date this letter and return it to me to indicate your acceptance of this written offer of employment.</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If you should have any questions, please don't hesitate to contact me. Sincerely,/s/ Karen Anderson</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Karen Anderson</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Head of Talent Acquisition</w:t>
      </w:r>
    </w:p>
    <w:p>
      <w:pPr>
        <w:pStyle w:val="TextBody"/>
        <w:bidi w:val="0"/>
        <w:jc w:val="left"/>
        <w:rPr/>
      </w:pPr>
      <w:r>
        <w:rPr/>
        <w:t> </w:t>
      </w:r>
    </w:p>
    <w:p>
      <w:pPr>
        <w:pStyle w:val="TextBody"/>
        <w:bidi w:val="0"/>
        <w:spacing w:before="1"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I have carefully read and understand all of the terms of the above letter and freely and voluntarily accept and agree to all of its terms. I represent that, in agreeing to this offer letter, I am not relying on any representations or promises of any kind other than set forth in this letter. I further represent that, as of the date hereof, I am not subject to any non-competition obligations owed to a former employer.</w:t>
      </w:r>
    </w:p>
    <w:p>
      <w:pPr>
        <w:pStyle w:val="TextBody"/>
        <w:bidi w:val="0"/>
        <w:spacing w:before="5" w:after="283"/>
        <w:jc w:val="left"/>
        <w:rPr/>
      </w:pPr>
      <w:r>
        <w:rPr/>
        <w:t> </w:t>
      </w:r>
    </w:p>
    <w:p>
      <w:pPr>
        <w:pStyle w:val="TextBody"/>
        <w:bidi w:val="0"/>
        <w:jc w:val="left"/>
        <w:rPr/>
      </w:pPr>
      <w:r>
        <w:rPr/>
        <w:t> </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/s/ Sanjay Singh</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Sanjay Singh</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9/19/2022</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spacing w:before="14" w:after="283"/>
        <w:ind w:left="20" w:right="18"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mnkd-ex10_6.htm"/>
      <w:bookmarkStart w:id="39" w:name="ksmnkdex10_6"/>
      <w:bookmarkEnd w:id="38"/>
      <w:bookmarkEnd w:id="39"/>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53" w:after="283"/>
        <w:jc w:val="right"/>
        <w:rPr>
          <w:rFonts w:ascii="Arial" w:hAnsi="Arial"/>
          <w:b/>
          <w:color w:val="000000"/>
          <w:sz w:val="20"/>
        </w:rPr>
      </w:pPr>
      <w:r>
        <w:rPr>
          <w:rFonts w:ascii="Arial" w:hAnsi="Arial"/>
          <w:b/>
          <w:color w:val="000000"/>
          <w:sz w:val="20"/>
        </w:rPr>
        <w:t>Exhibit 10.6</w:t>
      </w:r>
    </w:p>
    <w:p>
      <w:pPr>
        <w:pStyle w:val="TextBody"/>
        <w:bidi w:val="0"/>
        <w:spacing w:before="153" w:after="283"/>
        <w:jc w:val="left"/>
        <w:rPr/>
      </w:pPr>
      <w:r>
        <w:rPr/>
        <w:t> </w:t>
      </w:r>
    </w:p>
    <w:p>
      <w:pPr>
        <w:pStyle w:val="TextBody"/>
        <w:bidi w:val="0"/>
        <w:spacing w:before="153" w:after="283"/>
        <w:jc w:val="center"/>
        <w:rPr>
          <w:rFonts w:ascii="Arial" w:hAnsi="Arial"/>
          <w:b/>
          <w:color w:val="000000"/>
          <w:sz w:val="20"/>
          <w:u w:val="single"/>
        </w:rPr>
      </w:pPr>
      <w:r>
        <w:rPr>
          <w:rFonts w:ascii="Arial" w:hAnsi="Arial"/>
          <w:b/>
          <w:color w:val="000000"/>
          <w:sz w:val="20"/>
          <w:u w:val="single"/>
        </w:rPr>
        <w:t>Offer Letter - Burkhard Blank</w:t>
      </w:r>
    </w:p>
    <w:p>
      <w:pPr>
        <w:pStyle w:val="TextBody"/>
        <w:bidi w:val="0"/>
        <w:jc w:val="left"/>
        <w:rPr/>
      </w:pPr>
      <w:r>
        <w:rPr/>
        <w:t> </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May 16, 2023</w:t>
      </w:r>
    </w:p>
    <w:p>
      <w:pPr>
        <w:pStyle w:val="TextBody"/>
        <w:bidi w:val="0"/>
        <w:jc w:val="left"/>
        <w:rPr/>
      </w:pPr>
      <w:r>
        <w:rPr/>
        <w:t> </w:t>
      </w:r>
    </w:p>
    <w:p>
      <w:pPr>
        <w:pStyle w:val="TextBody"/>
        <w:bidi w:val="0"/>
        <w:spacing w:before="30" w:after="283"/>
        <w:jc w:val="left"/>
        <w:rPr/>
      </w:pPr>
      <w:r>
        <w:rPr/>
        <w:t> </w:t>
      </w:r>
    </w:p>
    <w:p>
      <w:pPr>
        <w:pStyle w:val="TextBody"/>
        <w:bidi w:val="0"/>
        <w:jc w:val="left"/>
        <w:rPr>
          <w:rFonts w:ascii="Times New Roman" w:hAnsi="Times New Roman"/>
          <w:sz w:val="20"/>
        </w:rPr>
      </w:pPr>
      <w:r>
        <w:rPr>
          <w:rFonts w:ascii="Century Gothic;sans-serif" w:hAnsi="Century Gothic;sans-serif"/>
          <w:color w:val="000000"/>
          <w:sz w:val="20"/>
        </w:rPr>
        <w:t>Burkhard Blank</w:t>
      </w:r>
      <w:r>
        <w:rPr>
          <w:rFonts w:ascii="Times New Roman" w:hAnsi="Times New Roman"/>
          <w:color w:val="000000"/>
          <w:sz w:val="20"/>
        </w:rPr>
        <w:t xml:space="preserve"> </w:t>
      </w:r>
    </w:p>
    <w:p>
      <w:pPr>
        <w:pStyle w:val="TextBody"/>
        <w:bidi w:val="0"/>
        <w:spacing w:before="243" w:after="283"/>
        <w:jc w:val="left"/>
        <w:rPr/>
      </w:pPr>
      <w:r>
        <w:rPr/>
        <w:t> </w:t>
      </w:r>
    </w:p>
    <w:p>
      <w:pPr>
        <w:pStyle w:val="TextBody"/>
        <w:bidi w:val="0"/>
        <w:spacing w:before="1" w:after="283"/>
        <w:jc w:val="left"/>
        <w:rPr>
          <w:rFonts w:ascii="Century Gothic;sans-serif" w:hAnsi="Century Gothic;sans-serif"/>
          <w:color w:val="000000"/>
          <w:sz w:val="20"/>
        </w:rPr>
      </w:pPr>
      <w:r>
        <w:rPr>
          <w:rFonts w:ascii="Century Gothic;sans-serif" w:hAnsi="Century Gothic;sans-serif"/>
          <w:color w:val="000000"/>
          <w:sz w:val="20"/>
        </w:rPr>
        <w:t>Dear Burkhard,</w:t>
      </w:r>
    </w:p>
    <w:p>
      <w:pPr>
        <w:pStyle w:val="TextBody"/>
        <w:bidi w:val="0"/>
        <w:spacing w:before="1"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Congratulations! The MannKind team has been very impressed with your background and credentials, and we are genuinely pleased to offer you full-time employment with MannKind Corporation, in the exempt position of Executive Vice President, Research &amp; Development/Chief Medical Officer. In this position, you will report directly to Michael E. Castagna, CEO. Your position will be based out of the Danbury office.</w:t>
      </w:r>
    </w:p>
    <w:p>
      <w:pPr>
        <w:pStyle w:val="TextBody"/>
        <w:bidi w:val="0"/>
        <w:jc w:val="left"/>
        <w:rPr/>
      </w:pPr>
      <w:r>
        <w:rPr/>
        <w:t> </w:t>
      </w:r>
    </w:p>
    <w:p>
      <w:pPr>
        <w:pStyle w:val="TextBody"/>
        <w:bidi w:val="0"/>
        <w:spacing w:before="1" w:after="283"/>
        <w:jc w:val="both"/>
        <w:rPr>
          <w:rFonts w:ascii="Century Gothic;sans-serif" w:hAnsi="Century Gothic;sans-serif"/>
          <w:color w:val="000000"/>
          <w:sz w:val="20"/>
        </w:rPr>
      </w:pPr>
      <w:r>
        <w:rPr>
          <w:rFonts w:ascii="Century Gothic;sans-serif" w:hAnsi="Century Gothic;sans-serif"/>
          <w:color w:val="000000"/>
          <w:sz w:val="20"/>
        </w:rPr>
        <w:t>We will target your employment to commence May 24, 2023. Please be advised that this offer is contingent upon satisfactory background checks and receipt of results of a satisfactory drug screening test, and execution of pre-hire documents set forth herein. In the coming days, you will receive an email with information regarding the test, contact and locate information for the laboratory as well as the hours of operation. This screening test must be completed no later than one week from the date of this letter.</w:t>
      </w:r>
    </w:p>
    <w:p>
      <w:pPr>
        <w:pStyle w:val="TextBody"/>
        <w:bidi w:val="0"/>
        <w:spacing w:before="244" w:after="283"/>
        <w:jc w:val="both"/>
        <w:rPr>
          <w:rFonts w:ascii="Century Gothic;sans-serif" w:hAnsi="Century Gothic;sans-serif"/>
          <w:color w:val="000000"/>
          <w:sz w:val="20"/>
        </w:rPr>
      </w:pPr>
      <w:r>
        <w:rPr>
          <w:rFonts w:ascii="Century Gothic;sans-serif" w:hAnsi="Century Gothic;sans-serif"/>
          <w:color w:val="000000"/>
          <w:sz w:val="20"/>
        </w:rPr>
        <w:t>You will be paid on a bi-weekly basis, on a regular payroll schedule, in the amount of $16,923.08 equating to an annualized amount of $440,000.00.</w:t>
      </w:r>
    </w:p>
    <w:p>
      <w:pPr>
        <w:pStyle w:val="TextBody"/>
        <w:bidi w:val="0"/>
        <w:spacing w:before="245" w:after="283"/>
        <w:jc w:val="left"/>
        <w:rPr>
          <w:rFonts w:ascii="Century Gothic;sans-serif" w:hAnsi="Century Gothic;sans-serif"/>
          <w:color w:val="000000"/>
          <w:sz w:val="20"/>
        </w:rPr>
      </w:pPr>
      <w:r>
        <w:rPr>
          <w:rFonts w:ascii="Century Gothic;sans-serif" w:hAnsi="Century Gothic;sans-serif"/>
          <w:color w:val="000000"/>
          <w:sz w:val="20"/>
        </w:rPr>
        <w:t>Additionally, you will receive a one-time sign-on bonus in the gross amount of $100,000.00, less appropriate withholdings and other payroll deductions, payable in April 2024 in conjunction with 2023 Corporate Bonus payment in order to provide a full year 2023 bonus. In the event that the employee does not receive their outstanding $100,000.00 sign-on from current employer, MannKind will pay the employee a second sign on bonus in the amount of $130,000.00. The second sign on bonus will serve as payment for portion of time worked in May and the outstanding bonus from prior employer. Mannkind will pay the sign-on bonus within sixty (60) days from the start date, if one or both payments have not been made. By accepting this offer, you agree that, in the event that you voluntarily leave the Company, or if you are terminated by the Company for “cause”, within twelve (12) months following receipt of payment, you will repay the full amount of the payment, net any withholdings within thirty (30) days after the last day of your employment. By accepting this offer, you further agree that the Company may deduct this amount from any other amounts The Company owes you should you be obligated to repay this amount.</w:t>
      </w:r>
    </w:p>
    <w:p>
      <w:pPr>
        <w:pStyle w:val="TextBody"/>
        <w:bidi w:val="0"/>
        <w:spacing w:before="1"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You will be eligible to participate in the MannKind Employee Bonus Plan, with a target bonus opportunity of 50% of annual earnings. Bonus awards will be based upon company-wide performance and your achievement of mutually agreed-upon milestones.</w:t>
      </w:r>
    </w:p>
    <w:p>
      <w:pPr>
        <w:pStyle w:val="TextBody"/>
        <w:bidi w:val="0"/>
        <w:spacing w:before="1" w:after="283"/>
        <w:jc w:val="left"/>
        <w:rPr/>
      </w:pPr>
      <w:r>
        <w:rPr/>
        <w:t> </w:t>
      </w:r>
    </w:p>
    <w:p>
      <w:pPr>
        <w:pStyle w:val="TextBody"/>
        <w:bidi w:val="0"/>
        <w:jc w:val="both"/>
        <w:rPr>
          <w:rFonts w:ascii="Times New Roman" w:hAnsi="Times New Roman"/>
          <w:sz w:val="20"/>
        </w:rPr>
      </w:pPr>
      <w:r>
        <w:rPr>
          <w:rFonts w:ascii="Century Gothic;sans-serif" w:hAnsi="Century Gothic;sans-serif"/>
          <w:color w:val="000000"/>
          <w:sz w:val="20"/>
        </w:rPr>
        <w:t>You will be eligible to participate in MannKind's Equity Incentive Plan, under which stock options and / or restricted stock may be awarded to you at a future date, as approved by the Board of Directors. At the next quarterly Board meeting, we will recommend that you be granted an equity</w:t>
      </w:r>
      <w:r>
        <w:rPr>
          <w:rFonts w:ascii="Times New Roman" w:hAnsi="Times New Roman"/>
          <w:color w:val="000000"/>
          <w:sz w:val="20"/>
        </w:rPr>
        <w:t xml:space="preserve"> </w:t>
      </w:r>
    </w:p>
    <w:p>
      <w:pPr>
        <w:pStyle w:val="TextBody"/>
        <w:bidi w:val="0"/>
        <w:jc w:val="left"/>
        <w:rPr/>
      </w:pPr>
      <w:r>
        <w:rPr/>
        <w:t> </w:t>
      </w:r>
    </w:p>
    <w:p>
      <w:pPr>
        <w:pStyle w:val="TextBody"/>
        <w:bidi w:val="0"/>
        <w:spacing w:before="19" w:after="283"/>
        <w:ind w:left="20" w:right="18" w:hanging="0"/>
        <w:jc w:val="left"/>
        <w:rPr/>
      </w:pPr>
      <w:r>
        <w:rPr/>
        <w:t> </w:t>
      </w:r>
    </w:p>
    <w:p>
      <w:pPr>
        <w:pStyle w:val="TextBody"/>
        <w:bidi w:val="0"/>
        <w:spacing w:before="19" w:after="283"/>
        <w:ind w:left="20" w:right="0" w:hanging="0"/>
        <w:jc w:val="left"/>
        <w:rPr/>
      </w:pPr>
      <w:r>
        <w:rPr/>
        <w:t> </w:t>
      </w:r>
    </w:p>
    <w:p>
      <w:pPr>
        <w:pStyle w:val="TextBody"/>
        <w:bidi w:val="0"/>
        <w:spacing w:before="3" w:after="283"/>
        <w:ind w:left="20" w:right="0" w:hanging="0"/>
        <w:jc w:val="left"/>
        <w:rPr/>
      </w:pPr>
      <w:r>
        <w:rPr/>
        <w:t> </w:t>
      </w:r>
    </w:p>
    <w:p>
      <w:pPr>
        <w:pStyle w:val="TextBody"/>
        <w:bidi w:val="0"/>
        <w:spacing w:before="19" w:after="283"/>
        <w:ind w:left="20" w:right="18"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award of 210,000 Restricted Stock Units (time-based RSUs with four which is comparable to grants made for other individuals in similar level positions throughout the company. This is not a guarantee</w:t>
      </w:r>
    </w:p>
    <w:p>
      <w:pPr>
        <w:pStyle w:val="TextBody"/>
        <w:bidi w:val="0"/>
        <w:jc w:val="left"/>
        <w:rPr/>
      </w:pPr>
      <w:r>
        <w:rPr/>
        <w:t> </w:t>
      </w:r>
    </w:p>
    <w:p>
      <w:pPr>
        <w:pStyle w:val="TextBody"/>
        <w:bidi w:val="0"/>
        <w:spacing w:before="19" w:after="283"/>
        <w:ind w:left="20" w:right="18" w:hanging="0"/>
        <w:jc w:val="left"/>
        <w:rPr/>
      </w:pPr>
      <w:r>
        <w:rPr/>
        <w:t> </w:t>
      </w:r>
    </w:p>
    <w:p>
      <w:pPr>
        <w:pStyle w:val="TextBody"/>
        <w:bidi w:val="0"/>
        <w:spacing w:before="19" w:after="283"/>
        <w:ind w:left="20" w:right="0" w:hanging="0"/>
        <w:jc w:val="left"/>
        <w:rPr/>
      </w:pPr>
      <w:r>
        <w:rPr/>
        <w:t> </w:t>
      </w:r>
    </w:p>
    <w:p>
      <w:pPr>
        <w:pStyle w:val="TextBody"/>
        <w:bidi w:val="0"/>
        <w:spacing w:before="3" w:after="283"/>
        <w:ind w:left="20" w:right="0" w:hanging="0"/>
        <w:jc w:val="left"/>
        <w:rPr/>
      </w:pPr>
      <w:r>
        <w:rPr/>
        <w:t> </w:t>
      </w:r>
    </w:p>
    <w:p>
      <w:pPr>
        <w:pStyle w:val="TextBody"/>
        <w:bidi w:val="0"/>
        <w:spacing w:before="19" w:after="283"/>
        <w:ind w:left="20" w:right="18"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19" w:after="283"/>
        <w:ind w:left="20" w:right="0" w:hanging="0"/>
        <w:jc w:val="left"/>
        <w:rPr/>
      </w:pPr>
      <w:r>
        <w:rPr/>
        <w:t> </w:t>
      </w:r>
    </w:p>
    <w:p>
      <w:pPr>
        <w:pStyle w:val="TextBody"/>
        <w:bidi w:val="0"/>
        <w:spacing w:before="19" w:after="283"/>
        <w:ind w:left="20" w:right="0" w:hanging="0"/>
        <w:jc w:val="left"/>
        <w:rPr>
          <w:rFonts w:ascii="Century Gothic;sans-serif" w:hAnsi="Century Gothic;sans-serif"/>
          <w:b/>
          <w:color w:val="000000"/>
          <w:sz w:val="20"/>
        </w:rPr>
      </w:pPr>
      <w:r>
        <w:rPr>
          <w:rFonts w:ascii="Century Gothic;sans-serif" w:hAnsi="Century Gothic;sans-serif"/>
          <w:b/>
          <w:color w:val="000000"/>
          <w:sz w:val="20"/>
        </w:rPr>
        <w:t>2</w:t>
      </w:r>
    </w:p>
    <w:p>
      <w:pPr>
        <w:pStyle w:val="TextBody"/>
        <w:bidi w:val="0"/>
        <w:spacing w:before="229"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for a specific number of stock units, but is only intended to provide you with an understanding of grant guidelines for your position. If your start date is less than two weeks prior to the next quarterly Board meeting, the recommendation will be submitted in the following quarter. Grants will begin vesting based on your hire date.</w:t>
      </w:r>
    </w:p>
    <w:p>
      <w:pPr>
        <w:pStyle w:val="TextBody"/>
        <w:bidi w:val="0"/>
        <w:spacing w:before="1"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We have a substantial list of fringe benefits, including the following: 20 days PTO annually, which accrues on a bi-weekly basis; short term and long-term disability insurance; company paid life insurance; a 401(k) tax sheltered savings program; flexible spending accounts; health, vision and dental insurance, and paid holidays. The holidays and other time off benefits will be prorated based on your date of hire. All benefits, policies and rules are subject to change from time to time at the Company's discretion, in accordance with plan documents. All benefits outlined in this offer letter are contingent on your continuing employment with MannKind Corporation in a benefit eligible status. Most benefits begin the first of the month following date of hire.</w:t>
      </w:r>
    </w:p>
    <w:p>
      <w:pPr>
        <w:pStyle w:val="TextBody"/>
        <w:bidi w:val="0"/>
        <w:spacing w:before="1"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After we receive your background results, you will receive a welcome email with a link to your personalized onboarding portal. Through this portal you will have access to most of the required MannKind policies and agreements that will require your signature prior to commencing employment, such as, the Employee Proprietary Information and Inventions Agreement, a Dispute Resolution Agreement, a Policy Against Insider Trading, Code of Business Conduct and Ethics, and an Employee Acknowledgement Form, required after reading the MannKind Employee Sourcebook. Of course, the company may require additional policies or agreements to be signed and acknowledged in the future.</w:t>
      </w:r>
    </w:p>
    <w:p>
      <w:pPr>
        <w:pStyle w:val="TextBody"/>
        <w:bidi w:val="0"/>
        <w:spacing w:before="244" w:after="283"/>
        <w:jc w:val="both"/>
        <w:rPr>
          <w:rFonts w:ascii="Century Gothic;sans-serif" w:hAnsi="Century Gothic;sans-serif"/>
          <w:color w:val="000000"/>
          <w:sz w:val="20"/>
        </w:rPr>
      </w:pPr>
      <w:r>
        <w:rPr>
          <w:rFonts w:ascii="Century Gothic;sans-serif" w:hAnsi="Century Gothic;sans-serif"/>
          <w:color w:val="000000"/>
          <w:sz w:val="20"/>
        </w:rPr>
        <w:t>Employment at MannKind is at will, which means that either you or MannKind can end the employment relationship at any time, and for any reason or for no reason, with or without cause or notice. The employment terms in this letter supersede any other agreements or promises made to you by anyone, whether oral or written, and cannot be modified or amended except in writing by an officer of the company. As required by law, this offer is subject to satisfactory proof of your right to work in the United States. This at-will employment relationship cannot be changed except in writing as approved by the Board of Directors of MannKind.</w:t>
      </w:r>
    </w:p>
    <w:p>
      <w:pPr>
        <w:pStyle w:val="TextBody"/>
        <w:bidi w:val="0"/>
        <w:spacing w:before="2" w:after="283"/>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We appreciate the energy and enthusiasm you demonstrated during our interview and selection process and we look forward to a favorable response to our offer. We have many exciting challenges ahead and believe you can make a significant contribution to MannKind.</w:t>
      </w:r>
    </w:p>
    <w:p>
      <w:pPr>
        <w:pStyle w:val="TextBody"/>
        <w:bidi w:val="0"/>
        <w:spacing w:before="244" w:after="283"/>
        <w:jc w:val="both"/>
        <w:rPr>
          <w:rFonts w:ascii="Century Gothic;sans-serif" w:hAnsi="Century Gothic;sans-serif"/>
          <w:color w:val="000000"/>
          <w:sz w:val="20"/>
        </w:rPr>
      </w:pPr>
      <w:r>
        <w:rPr>
          <w:rFonts w:ascii="Century Gothic;sans-serif" w:hAnsi="Century Gothic;sans-serif"/>
          <w:color w:val="000000"/>
          <w:sz w:val="20"/>
        </w:rPr>
        <w:t>Please sign and date this letter by May 19, 2023 and return it to me to indicate your acceptance of this written offer of employment.</w:t>
      </w:r>
    </w:p>
    <w:p>
      <w:pPr>
        <w:pStyle w:val="TextBody"/>
        <w:bidi w:val="0"/>
        <w:spacing w:before="1" w:after="283"/>
        <w:jc w:val="left"/>
        <w:rPr/>
      </w:pPr>
      <w:r>
        <w:rPr/>
        <w:t> </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If you should have any questions, please don't hesitate to contact me.</w:t>
      </w:r>
    </w:p>
    <w:p>
      <w:pPr>
        <w:pStyle w:val="TextBody"/>
        <w:bidi w:val="0"/>
        <w:jc w:val="left"/>
        <w:rPr>
          <w:rFonts w:ascii="Times New Roman" w:hAnsi="Times New Roman"/>
          <w:sz w:val="20"/>
        </w:rPr>
      </w:pPr>
      <w:r>
        <w:rPr>
          <w:rFonts w:ascii="Century Gothic;sans-serif" w:hAnsi="Century Gothic;sans-serif"/>
          <w:color w:val="000000"/>
          <w:sz w:val="22"/>
        </w:rPr>
        <w:t>Sincerely</w:t>
      </w:r>
      <w:r>
        <w:rPr>
          <w:rFonts w:ascii="Century Gothic;sans-serif" w:hAnsi="Century Gothic;sans-serif"/>
          <w:color w:val="000000"/>
          <w:sz w:val="12"/>
        </w:rPr>
        <w:t>,</w:t>
      </w:r>
      <w:r>
        <w:rPr>
          <w:rFonts w:ascii="Century Gothic;sans-serif" w:hAnsi="Century Gothic;sans-serif"/>
          <w:color w:val="000000"/>
          <w:sz w:val="20"/>
        </w:rPr>
        <w:t>/s/ Karen Anderson</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pPr>
      <w:r>
        <w:rPr/>
        <w:t> </w:t>
      </w:r>
    </w:p>
    <w:p>
      <w:pPr>
        <w:pStyle w:val="TextBody"/>
        <w:bidi w:val="0"/>
        <w:spacing w:before="3" w:after="283"/>
        <w:ind w:left="20" w:right="0" w:hanging="0"/>
        <w:jc w:val="left"/>
        <w:rPr/>
      </w:pPr>
      <w:r>
        <w:rPr/>
        <w:t> </w:t>
      </w:r>
    </w:p>
    <w:p>
      <w:pPr>
        <w:pStyle w:val="TextBody"/>
        <w:bidi w:val="0"/>
        <w:spacing w:before="14" w:after="283"/>
        <w:ind w:left="20" w:right="18"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19" w:after="283"/>
        <w:ind w:left="20" w:right="0" w:hanging="0"/>
        <w:jc w:val="left"/>
        <w:rPr/>
      </w:pPr>
      <w:r>
        <w:rPr/>
        <w:t> </w:t>
      </w:r>
    </w:p>
    <w:p>
      <w:pPr>
        <w:pStyle w:val="TextBody"/>
        <w:bidi w:val="0"/>
        <w:spacing w:before="19" w:after="283"/>
        <w:ind w:left="20" w:right="0" w:hanging="0"/>
        <w:jc w:val="left"/>
        <w:rPr>
          <w:rFonts w:ascii="Century Gothic;sans-serif" w:hAnsi="Century Gothic;sans-serif"/>
          <w:b/>
          <w:color w:val="000000"/>
          <w:sz w:val="20"/>
        </w:rPr>
      </w:pPr>
      <w:r>
        <w:rPr>
          <w:rFonts w:ascii="Century Gothic;sans-serif" w:hAnsi="Century Gothic;sans-serif"/>
          <w:b/>
          <w:color w:val="000000"/>
          <w:sz w:val="20"/>
        </w:rPr>
        <w:t>3</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Karen Anderson</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Head of Talent Acquisition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Century Gothic;sans-serif" w:hAnsi="Century Gothic;sans-serif"/>
          <w:color w:val="000000"/>
          <w:sz w:val="20"/>
        </w:rPr>
      </w:pPr>
      <w:r>
        <w:rPr>
          <w:rFonts w:ascii="Century Gothic;sans-serif" w:hAnsi="Century Gothic;sans-serif"/>
          <w:color w:val="000000"/>
          <w:sz w:val="20"/>
        </w:rPr>
        <w:t>I have carefully read and understand all of the terms of the above letter and freely and voluntarily accept and agree to all of its terms. I represent that, in agreeing to this offer letter, I am not relying on any representations or promises of any kind other than set forth in this letter. I further represent that, as of the date hereof, I am not subject to any non-competition obligations owed to a former employer.</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/s/ Burkhard BlankBurkhard Blank</w:t>
      </w:r>
    </w:p>
    <w:p>
      <w:pPr>
        <w:pStyle w:val="TextBody"/>
        <w:bidi w:val="0"/>
        <w:jc w:val="left"/>
        <w:rPr>
          <w:rFonts w:ascii="Century Gothic;sans-serif" w:hAnsi="Century Gothic;sans-serif"/>
          <w:color w:val="000000"/>
          <w:sz w:val="20"/>
        </w:rPr>
      </w:pPr>
      <w:r>
        <w:rPr>
          <w:rFonts w:ascii="Century Gothic;sans-serif" w:hAnsi="Century Gothic;sans-serif"/>
          <w:color w:val="000000"/>
          <w:sz w:val="20"/>
        </w:rPr>
        <w:t>5/23/2023</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pPr>
      <w:r>
        <w:rPr/>
        <w:t> </w:t>
      </w:r>
    </w:p>
    <w:p>
      <w:pPr>
        <w:pStyle w:val="TextBody"/>
        <w:bidi w:val="0"/>
        <w:spacing w:before="3" w:after="283"/>
        <w:ind w:left="20" w:right="0" w:hanging="0"/>
        <w:jc w:val="left"/>
        <w:rPr/>
      </w:pPr>
      <w:r>
        <w:rPr/>
        <w:t> </w:t>
      </w:r>
    </w:p>
    <w:p>
      <w:pPr>
        <w:pStyle w:val="TextBody"/>
        <w:bidi w:val="0"/>
        <w:spacing w:before="14" w:after="283"/>
        <w:ind w:left="20" w:right="18"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bookmarkStart w:id="40" w:name="mnkd-ex10_29.htm"/>
      <w:bookmarkStart w:id="41" w:name="ksmnkdex10_29"/>
      <w:bookmarkEnd w:id="40"/>
      <w:bookmarkEnd w:id="41"/>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r>
        <w:br w:type="page"/>
      </w:r>
    </w:p>
    <w:p>
      <w:pPr>
        <w:pStyle w:val="TextBody"/>
        <w:bidi w:val="0"/>
        <w:spacing w:before="120" w:after="280"/>
        <w:jc w:val="right"/>
        <w:rPr>
          <w:rFonts w:ascii="Times New Roman" w:hAnsi="Times New Roman"/>
          <w:b/>
          <w:color w:val="000000"/>
          <w:sz w:val="24"/>
        </w:rPr>
      </w:pPr>
      <w:bookmarkStart w:id="42" w:name="ole_link2"/>
      <w:bookmarkEnd w:id="42"/>
      <w:r>
        <w:rPr>
          <w:rFonts w:ascii="Times New Roman" w:hAnsi="Times New Roman"/>
          <w:b/>
          <w:color w:val="000000"/>
          <w:sz w:val="24"/>
        </w:rPr>
        <w:t>Exhibit 10.29</w:t>
      </w:r>
      <w:bookmarkStart w:id="43" w:name="ole_link1"/>
      <w:bookmarkEnd w:id="43"/>
    </w:p>
    <w:p>
      <w:pPr>
        <w:pStyle w:val="TextBody"/>
        <w:bidi w:val="0"/>
        <w:spacing w:before="120" w:after="280"/>
        <w:jc w:val="center"/>
        <w:rPr>
          <w:rFonts w:ascii="Times New Roman" w:hAnsi="Times New Roman"/>
          <w:b/>
          <w:color w:val="000000"/>
          <w:sz w:val="24"/>
        </w:rPr>
      </w:pPr>
      <w:r>
        <w:rPr>
          <w:rFonts w:ascii="Times New Roman" w:hAnsi="Times New Roman"/>
          <w:b/>
          <w:color w:val="000000"/>
          <w:sz w:val="24"/>
        </w:rPr>
        <w:t>LICENSE AND COLLABORATION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 xml:space="preserve">License and Collaboration Agreement </w:t>
      </w:r>
      <w:r>
        <w:rPr>
          <w:rFonts w:ascii="Times New Roman" w:hAnsi="Times New Roman"/>
          <w:color w:val="000000"/>
          <w:sz w:val="24"/>
        </w:rPr>
        <w:t>(the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as of September 3, 2018 (the “</w:t>
      </w:r>
      <w:r>
        <w:rPr>
          <w:rFonts w:ascii="Times New Roman" w:hAnsi="Times New Roman"/>
          <w:b/>
          <w:i/>
          <w:color w:val="000000"/>
          <w:sz w:val="24"/>
        </w:rPr>
        <w:t>Execution Date</w:t>
      </w:r>
      <w:r>
        <w:rPr>
          <w:rFonts w:ascii="Times New Roman" w:hAnsi="Times New Roman"/>
          <w:color w:val="000000"/>
          <w:sz w:val="20"/>
        </w:rPr>
        <w:t>”</w:t>
      </w:r>
      <w:r>
        <w:rPr>
          <w:rFonts w:ascii="Times New Roman" w:hAnsi="Times New Roman"/>
          <w:color w:val="000000"/>
          <w:sz w:val="24"/>
        </w:rPr>
        <w:t xml:space="preserve">) between </w:t>
      </w:r>
      <w:r>
        <w:rPr>
          <w:rFonts w:ascii="Times New Roman" w:hAnsi="Times New Roman"/>
          <w:b/>
          <w:smallCaps/>
          <w:color w:val="000000"/>
          <w:sz w:val="24"/>
        </w:rPr>
        <w:t>MannKind Corporation</w:t>
      </w:r>
      <w:r>
        <w:rPr>
          <w:rFonts w:ascii="Times New Roman" w:hAnsi="Times New Roman"/>
          <w:color w:val="000000"/>
          <w:sz w:val="24"/>
        </w:rPr>
        <w:t>, a Delaware corporation (“</w:t>
      </w:r>
      <w:r>
        <w:rPr>
          <w:rFonts w:ascii="Times New Roman" w:hAnsi="Times New Roman"/>
          <w:b/>
          <w:i/>
          <w:color w:val="000000"/>
          <w:sz w:val="24"/>
        </w:rPr>
        <w:t>MannKind</w:t>
      </w:r>
      <w:r>
        <w:rPr>
          <w:rFonts w:ascii="Times New Roman" w:hAnsi="Times New Roman"/>
          <w:color w:val="000000"/>
          <w:sz w:val="20"/>
        </w:rPr>
        <w:t>”</w:t>
      </w:r>
      <w:r>
        <w:rPr>
          <w:rFonts w:ascii="Times New Roman" w:hAnsi="Times New Roman"/>
          <w:color w:val="000000"/>
          <w:sz w:val="24"/>
        </w:rPr>
        <w:t xml:space="preserve">), having a principal place of business at 30930 Russell Ranch Road, Suite 301, Westlake Village, California 91362, and </w:t>
      </w:r>
      <w:r>
        <w:rPr>
          <w:rFonts w:ascii="Times New Roman" w:hAnsi="Times New Roman"/>
          <w:b/>
          <w:smallCaps/>
          <w:color w:val="000000"/>
          <w:sz w:val="24"/>
        </w:rPr>
        <w:t>United Therapeutics Corporation</w:t>
      </w:r>
      <w:r>
        <w:rPr>
          <w:rFonts w:ascii="Times New Roman" w:hAnsi="Times New Roman"/>
          <w:color w:val="000000"/>
          <w:sz w:val="24"/>
        </w:rPr>
        <w:t>, a Delaware corporation (“</w:t>
      </w:r>
      <w:r>
        <w:rPr>
          <w:rFonts w:ascii="Times New Roman" w:hAnsi="Times New Roman"/>
          <w:b/>
          <w:i/>
          <w:color w:val="000000"/>
          <w:sz w:val="24"/>
        </w:rPr>
        <w:t>United Therapeutics</w:t>
      </w:r>
      <w:r>
        <w:rPr>
          <w:rFonts w:ascii="Times New Roman" w:hAnsi="Times New Roman"/>
          <w:color w:val="000000"/>
          <w:sz w:val="20"/>
        </w:rPr>
        <w:t>”</w:t>
      </w:r>
      <w:r>
        <w:rPr>
          <w:rFonts w:ascii="Times New Roman" w:hAnsi="Times New Roman"/>
          <w:color w:val="000000"/>
          <w:sz w:val="24"/>
        </w:rPr>
        <w:t>), having a principal place of business at 1040 Spring Street, Silver Spring, Maryland 20910.</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b/>
          <w:color w:val="000000"/>
          <w:sz w:val="24"/>
        </w:rPr>
        <w:t xml:space="preserve">, </w:t>
      </w:r>
      <w:r>
        <w:rPr>
          <w:rFonts w:ascii="Times New Roman" w:hAnsi="Times New Roman"/>
          <w:color w:val="000000"/>
          <w:sz w:val="24"/>
        </w:rPr>
        <w:t>MannKind is developing Product (as defined below) in the Territory (as defined below) for the treatment of pulmonary arterial hypertension and owns or controls certain patents, know-how and other intellectual property related to Product;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United Therapeutics is engaged in the development and commercialization of pharmaceutical products; and</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b/>
          <w:color w:val="000000"/>
          <w:sz w:val="24"/>
        </w:rPr>
        <w:t xml:space="preserve">, </w:t>
      </w:r>
      <w:r>
        <w:rPr>
          <w:rFonts w:ascii="Times New Roman" w:hAnsi="Times New Roman"/>
          <w:color w:val="000000"/>
          <w:sz w:val="24"/>
        </w:rPr>
        <w:t>United Therapeutics desires to obtain from MannKind, and MannKind desires to grant to United Therapeutics, certain exclusive rights and licenses to develop Product in the Territory in collaboration with MannKind and to commercialize Product in the Territory subject to the terms and conditions of this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0"/>
        </w:rPr>
        <w:t xml:space="preserve"> </w:t>
      </w:r>
      <w:r>
        <w:rPr>
          <w:rFonts w:ascii="Times New Roman" w:hAnsi="Times New Roman"/>
          <w:color w:val="000000"/>
          <w:sz w:val="24"/>
        </w:rPr>
        <w:t>in consideration of the foregoing premises and the mutual covenants herein contained, and for other good and valuable consideration, the receipt and sufficiency of which are hereby acknowledged, MannKind and United Therapeutics hereby agree as follows: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jc w:val="center"/>
        <w:rPr/>
      </w:pPr>
      <w:r>
        <w:rPr>
          <w:rFonts w:ascii="Times New Roman" w:hAnsi="Times New Roman"/>
          <w:b/>
          <w:caps/>
          <w:color w:val="000000"/>
          <w:sz w:val="24"/>
          <w:u w:val="single"/>
        </w:rPr>
        <w:br/>
        <w:br/>
      </w:r>
      <w:r>
        <w:rPr>
          <w:rFonts w:ascii="Times New Roman" w:hAnsi="Times New Roman"/>
          <w:b/>
          <w:caps/>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Agreement, the following terms shall have the meanings set out in this Article I unless otherwise specifically provided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color w:val="000000"/>
        </w:rPr>
        <w:t>“</w:t>
      </w:r>
      <w:r>
        <w:rPr>
          <w:rFonts w:ascii="Times New Roman" w:hAnsi="Times New Roman"/>
          <w:b/>
          <w:i/>
          <w:color w:val="000000"/>
          <w:sz w:val="24"/>
        </w:rPr>
        <w:t>Accessory Apparatus</w:t>
      </w:r>
      <w:r>
        <w:rPr>
          <w:color w:val="000000"/>
        </w:rPr>
        <w:t xml:space="preserve">” </w:t>
      </w:r>
      <w:r>
        <w:rPr>
          <w:rFonts w:ascii="Times New Roman" w:hAnsi="Times New Roman"/>
          <w:color w:val="000000"/>
          <w:sz w:val="24"/>
        </w:rPr>
        <w:t>shall mean an interactive apparatus that contains one or more sensors for real-time profiling ([***], etc.) through a Device, such as the Bluhale</w:t>
      </w:r>
      <w:r>
        <w:rPr>
          <w:rFonts w:ascii="Times New Roman" w:hAnsi="Times New Roman"/>
          <w:color w:val="000000"/>
          <w:sz w:val="16"/>
        </w:rPr>
        <w:t>®</w:t>
      </w:r>
      <w:r>
        <w:rPr>
          <w:color w:val="000000"/>
        </w:rPr>
        <w:t xml:space="preserve"> </w:t>
      </w:r>
      <w:r>
        <w:rPr>
          <w:rFonts w:ascii="Times New Roman" w:hAnsi="Times New Roman"/>
          <w:color w:val="000000"/>
          <w:sz w:val="24"/>
        </w:rPr>
        <w:t xml:space="preserve">apparatus.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of a Person shall mean any Person that, directly or indirectly, through one or more intermediaries, controls, is controlled by, or is under common control with such Person, as the case may be</w:t>
      </w:r>
      <w:bookmarkStart w:id="44" w:name="ole_link4"/>
      <w:bookmarkEnd w:id="44"/>
      <w:r>
        <w:rPr>
          <w:rFonts w:ascii="Times New Roman" w:hAnsi="Times New Roman"/>
          <w:color w:val="000000"/>
          <w:sz w:val="24"/>
        </w:rPr>
        <w:t>, but for only so long as such control exists. As used in this Section 1.2, “control” shall mean direct or indirect beneficial ownership of at least 50% (or such lesser percentage which is the maximum allowed to be owned by a foreign corporation in a particular jurisdiction) of the voting share capital or other equity interest in such Person.</w:t>
      </w:r>
      <w:bookmarkStart w:id="45" w:name="ole_link39"/>
      <w:bookmarkEnd w:id="4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sz w:val="20"/>
        </w:rPr>
      </w:pPr>
      <w:r>
        <w:rPr>
          <w:rFonts w:ascii="Times New Roman" w:hAnsi="Times New Roman"/>
          <w:color w:val="000000"/>
          <w:sz w:val="24"/>
        </w:rPr>
        <w:t>1</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color w:val="000000"/>
        </w:rPr>
        <w:t>“</w:t>
      </w:r>
      <w:r>
        <w:rPr>
          <w:rFonts w:ascii="Times New Roman" w:hAnsi="Times New Roman"/>
          <w:b/>
          <w:i/>
          <w:color w:val="000000"/>
          <w:sz w:val="24"/>
        </w:rPr>
        <w:t>Antitrust Laws</w:t>
      </w:r>
      <w:r>
        <w:rPr>
          <w:color w:val="000000"/>
        </w:rPr>
        <w:t xml:space="preserve">” </w:t>
      </w:r>
      <w:r>
        <w:rPr>
          <w:rFonts w:ascii="Times New Roman" w:hAnsi="Times New Roman"/>
          <w:color w:val="000000"/>
          <w:sz w:val="24"/>
        </w:rPr>
        <w:t>shall mean the Clayton Act, as amended, the HSR Act, and all other applicable laws and regulations issued by a Governmental Authority, whether domestic or foreign, that are designed or intended to prohibit, restrict or regulate actions having the purpose or effect of monopolization or restraint of trade or lessening of competition.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color w:val="000000"/>
        </w:rPr>
        <w:t>“</w:t>
      </w:r>
      <w:r>
        <w:rPr>
          <w:rFonts w:ascii="Times New Roman" w:hAnsi="Times New Roman"/>
          <w:b/>
          <w:i/>
          <w:color w:val="000000"/>
          <w:sz w:val="24"/>
        </w:rPr>
        <w:t>API</w:t>
      </w:r>
      <w:r>
        <w:rPr>
          <w:color w:val="000000"/>
        </w:rPr>
        <w:t xml:space="preserve">” </w:t>
      </w:r>
      <w:r>
        <w:rPr>
          <w:rFonts w:ascii="Times New Roman" w:hAnsi="Times New Roman"/>
          <w:color w:val="000000"/>
          <w:sz w:val="24"/>
        </w:rPr>
        <w:t xml:space="preserve">shall mean treprostinil.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color w:val="000000"/>
        </w:rPr>
        <w:t>“</w:t>
      </w:r>
      <w:r>
        <w:rPr>
          <w:rFonts w:ascii="Times New Roman" w:hAnsi="Times New Roman"/>
          <w:b/>
          <w:i/>
          <w:color w:val="000000"/>
          <w:sz w:val="24"/>
        </w:rPr>
        <w:t>Applicable Laws</w:t>
      </w:r>
      <w:r>
        <w:rPr>
          <w:color w:val="000000"/>
        </w:rPr>
        <w:t xml:space="preserve">” </w:t>
      </w:r>
      <w:r>
        <w:rPr>
          <w:rFonts w:ascii="Times New Roman" w:hAnsi="Times New Roman"/>
          <w:color w:val="000000"/>
          <w:sz w:val="24"/>
        </w:rPr>
        <w:t>shall mean the applicable provisions of any and all national, supranational, regional, territorial, provincial, state and local laws, treaties, statutes, rules, regulations, administrative codes, guidance, ordinances, judgments, decrees, directives, injunctions, orders, permits (including Marketing Approvals) of or from any court, arbitrator, Regulatory Authority or governmental agency or authority having jurisdiction over or related to the subject item.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color w:val="000000"/>
        </w:rPr>
        <w:t>“</w:t>
      </w:r>
      <w:r>
        <w:rPr>
          <w:rFonts w:ascii="Times New Roman" w:hAnsi="Times New Roman"/>
          <w:b/>
          <w:i/>
          <w:color w:val="000000"/>
          <w:sz w:val="24"/>
        </w:rPr>
        <w:t>Approved Suppliers</w:t>
      </w:r>
      <w:r>
        <w:rPr>
          <w:color w:val="000000"/>
        </w:rPr>
        <w:t xml:space="preserve">” </w:t>
      </w:r>
      <w:r>
        <w:rPr>
          <w:rFonts w:ascii="Times New Roman" w:hAnsi="Times New Roman"/>
          <w:color w:val="000000"/>
          <w:sz w:val="24"/>
        </w:rPr>
        <w:t xml:space="preserve">shall have the meaning provided in Section 4.6.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color w:val="000000"/>
        </w:rPr>
        <w:t>“</w:t>
      </w:r>
      <w:r>
        <w:rPr>
          <w:rFonts w:ascii="Times New Roman" w:hAnsi="Times New Roman"/>
          <w:b/>
          <w:i/>
          <w:color w:val="000000"/>
          <w:sz w:val="24"/>
        </w:rPr>
        <w:t>Auditor</w:t>
      </w:r>
      <w:r>
        <w:rPr>
          <w:color w:val="000000"/>
        </w:rPr>
        <w:t xml:space="preserve">” </w:t>
      </w:r>
      <w:r>
        <w:rPr>
          <w:rFonts w:ascii="Times New Roman" w:hAnsi="Times New Roman"/>
          <w:color w:val="000000"/>
          <w:sz w:val="24"/>
        </w:rPr>
        <w:t xml:space="preserve">shall have the meaning set forth in Section 7.6.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46" w:name="ole_link5"/>
      <w:bookmarkEnd w:id="46"/>
      <w:r>
        <w:rPr>
          <w:color w:val="000000"/>
        </w:rPr>
        <w:t>“</w:t>
      </w:r>
      <w:r>
        <w:rPr>
          <w:rFonts w:ascii="Times New Roman" w:hAnsi="Times New Roman"/>
          <w:b/>
          <w:i/>
          <w:color w:val="000000"/>
          <w:sz w:val="24"/>
        </w:rPr>
        <w:t>Bankruptcy Laws</w:t>
      </w:r>
      <w:r>
        <w:rPr>
          <w:color w:val="000000"/>
        </w:rPr>
        <w:t xml:space="preserve">” </w:t>
      </w:r>
      <w:r>
        <w:rPr>
          <w:rFonts w:ascii="Times New Roman" w:hAnsi="Times New Roman"/>
          <w:color w:val="000000"/>
          <w:sz w:val="24"/>
        </w:rPr>
        <w:t xml:space="preserve">shall have the meaning set forth in Section 13.4.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color w:val="000000"/>
        </w:rPr>
        <w:t>“</w:t>
      </w:r>
      <w:r>
        <w:rPr>
          <w:rFonts w:ascii="Times New Roman" w:hAnsi="Times New Roman"/>
          <w:b/>
          <w:i/>
          <w:color w:val="000000"/>
          <w:sz w:val="24"/>
        </w:rPr>
        <w:t>Budget</w:t>
      </w:r>
      <w:r>
        <w:rPr>
          <w:color w:val="000000"/>
        </w:rPr>
        <w:t xml:space="preserve">” </w:t>
      </w:r>
      <w:r>
        <w:rPr>
          <w:rFonts w:ascii="Times New Roman" w:hAnsi="Times New Roman"/>
          <w:color w:val="000000"/>
          <w:sz w:val="24"/>
        </w:rPr>
        <w:t xml:space="preserve">shall mean with respect to a particular Development Plan, the budget included in such Development Plan setting forth the maximum amount of reimbursement that MannKind is eligible to receive with respect to the Development Expenses it has incurred in performance of the various activities it is required to perform under such Development Plan and for which United Therapeutics has expressly agreed to provide reimbursement under such Development Plan.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w:t>
      </w:r>
    </w:p>
    <w:p>
      <w:pPr>
        <w:pStyle w:val="TextBody"/>
        <w:bidi w:val="0"/>
        <w:spacing w:before="0" w:after="240"/>
        <w:jc w:val="both"/>
        <w:rPr/>
      </w:pPr>
      <w:r>
        <w:rPr>
          <w:color w:val="000000"/>
        </w:rPr>
        <w:t>“</w:t>
      </w:r>
      <w:r>
        <w:rPr>
          <w:rFonts w:ascii="Times New Roman" w:hAnsi="Times New Roman"/>
          <w:b/>
          <w:i/>
          <w:color w:val="000000"/>
          <w:sz w:val="24"/>
        </w:rPr>
        <w:t>Bulk FDKP</w:t>
      </w:r>
      <w:r>
        <w:rPr>
          <w:color w:val="000000"/>
        </w:rPr>
        <w:t xml:space="preserve">” </w:t>
      </w:r>
      <w:r>
        <w:rPr>
          <w:rFonts w:ascii="Times New Roman" w:hAnsi="Times New Roman"/>
          <w:color w:val="000000"/>
          <w:sz w:val="24"/>
        </w:rPr>
        <w:t xml:space="preserve">means fumaryl diketopiperazine in bulk form.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color w:val="000000"/>
        </w:rPr>
        <w:t>“</w:t>
      </w:r>
      <w:r>
        <w:rPr>
          <w:rFonts w:ascii="Times New Roman" w:hAnsi="Times New Roman"/>
          <w:b/>
          <w:i/>
          <w:color w:val="000000"/>
          <w:sz w:val="24"/>
        </w:rPr>
        <w:t>Business Day</w:t>
      </w:r>
      <w:r>
        <w:rPr>
          <w:color w:val="000000"/>
        </w:rPr>
        <w:t xml:space="preserve">” </w:t>
      </w:r>
      <w:r>
        <w:rPr>
          <w:rFonts w:ascii="Times New Roman" w:hAnsi="Times New Roman"/>
          <w:color w:val="000000"/>
          <w:sz w:val="24"/>
        </w:rPr>
        <w:t xml:space="preserve">shall mean a day other than a Saturday or Sunday or any public holiday in the United States.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color w:val="000000"/>
        </w:rPr>
        <w:t>“</w:t>
      </w:r>
      <w:r>
        <w:rPr>
          <w:rFonts w:ascii="Times New Roman" w:hAnsi="Times New Roman"/>
          <w:b/>
          <w:i/>
          <w:color w:val="000000"/>
          <w:sz w:val="24"/>
        </w:rPr>
        <w:t>Calendar Quarter</w:t>
      </w:r>
      <w:r>
        <w:rPr>
          <w:color w:val="000000"/>
        </w:rPr>
        <w:t xml:space="preserve">” </w:t>
      </w:r>
      <w:r>
        <w:rPr>
          <w:rFonts w:ascii="Times New Roman" w:hAnsi="Times New Roman"/>
          <w:color w:val="000000"/>
          <w:sz w:val="24"/>
        </w:rPr>
        <w:t>shall mean a period of three consecutive months during a Calendar Year beginning on and including January 1</w:t>
      </w:r>
      <w:r>
        <w:rPr>
          <w:rFonts w:ascii="Times New Roman" w:hAnsi="Times New Roman"/>
          <w:color w:val="000000"/>
          <w:sz w:val="16"/>
        </w:rPr>
        <w:t>st</w:t>
      </w:r>
      <w:r>
        <w:rPr>
          <w:rFonts w:ascii="Times New Roman" w:hAnsi="Times New Roman"/>
          <w:color w:val="000000"/>
          <w:sz w:val="24"/>
        </w:rPr>
        <w:t>, April 1</w:t>
      </w:r>
      <w:r>
        <w:rPr>
          <w:rFonts w:ascii="Times New Roman" w:hAnsi="Times New Roman"/>
          <w:color w:val="000000"/>
          <w:sz w:val="16"/>
        </w:rPr>
        <w:t>st</w:t>
      </w:r>
      <w:r>
        <w:rPr>
          <w:rFonts w:ascii="Times New Roman" w:hAnsi="Times New Roman"/>
          <w:color w:val="000000"/>
          <w:sz w:val="24"/>
        </w:rPr>
        <w:t>, July 1</w:t>
      </w:r>
      <w:r>
        <w:rPr>
          <w:rFonts w:ascii="Times New Roman" w:hAnsi="Times New Roman"/>
          <w:color w:val="000000"/>
          <w:sz w:val="16"/>
        </w:rPr>
        <w:t>st</w:t>
      </w:r>
      <w:r>
        <w:rPr>
          <w:color w:val="000000"/>
        </w:rPr>
        <w:t xml:space="preserve"> </w:t>
      </w:r>
      <w:r>
        <w:rPr>
          <w:rFonts w:ascii="Times New Roman" w:hAnsi="Times New Roman"/>
          <w:color w:val="000000"/>
          <w:sz w:val="24"/>
        </w:rPr>
        <w:t>or October 1</w:t>
      </w:r>
      <w:r>
        <w:rPr>
          <w:rFonts w:ascii="Times New Roman" w:hAnsi="Times New Roman"/>
          <w:color w:val="000000"/>
          <w:sz w:val="16"/>
        </w:rPr>
        <w:t>st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color w:val="000000"/>
        </w:rPr>
        <w:t>“</w:t>
      </w:r>
      <w:r>
        <w:rPr>
          <w:rFonts w:ascii="Times New Roman" w:hAnsi="Times New Roman"/>
          <w:b/>
          <w:i/>
          <w:color w:val="000000"/>
          <w:sz w:val="24"/>
        </w:rPr>
        <w:t>Calendar Year</w:t>
      </w:r>
      <w:r>
        <w:rPr>
          <w:color w:val="000000"/>
        </w:rPr>
        <w:t xml:space="preserve">” </w:t>
      </w:r>
      <w:r>
        <w:rPr>
          <w:rFonts w:ascii="Times New Roman" w:hAnsi="Times New Roman"/>
          <w:color w:val="000000"/>
          <w:sz w:val="24"/>
        </w:rPr>
        <w:t>shall mean a period of 12 consecutive months beginning on and including January 1</w:t>
      </w:r>
      <w:r>
        <w:rPr>
          <w:rFonts w:ascii="Times New Roman" w:hAnsi="Times New Roman"/>
          <w:color w:val="000000"/>
          <w:sz w:val="16"/>
        </w:rPr>
        <w:t>st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color w:val="000000"/>
        </w:rPr>
        <w:t>“</w:t>
      </w:r>
      <w:r>
        <w:rPr>
          <w:rFonts w:ascii="Times New Roman" w:hAnsi="Times New Roman"/>
          <w:b/>
          <w:i/>
          <w:color w:val="000000"/>
          <w:sz w:val="24"/>
        </w:rPr>
        <w:t>CMC</w:t>
      </w:r>
      <w:r>
        <w:rPr>
          <w:color w:val="000000"/>
        </w:rPr>
        <w:t xml:space="preserve">” </w:t>
      </w:r>
      <w:r>
        <w:rPr>
          <w:rFonts w:ascii="Times New Roman" w:hAnsi="Times New Roman"/>
          <w:color w:val="000000"/>
          <w:sz w:val="24"/>
        </w:rPr>
        <w:t>shall mean chemistry, manufacturing and controls.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color w:val="000000"/>
        </w:rPr>
        <w:t>“</w:t>
      </w:r>
      <w:r>
        <w:rPr>
          <w:rFonts w:ascii="Times New Roman" w:hAnsi="Times New Roman"/>
          <w:b/>
          <w:i/>
          <w:color w:val="000000"/>
          <w:sz w:val="24"/>
        </w:rPr>
        <w:t>Commercialization Plan</w:t>
      </w:r>
      <w:r>
        <w:rPr>
          <w:color w:val="000000"/>
        </w:rPr>
        <w:t xml:space="preserve">” </w:t>
      </w:r>
      <w:r>
        <w:rPr>
          <w:rFonts w:ascii="Times New Roman" w:hAnsi="Times New Roman"/>
          <w:color w:val="000000"/>
          <w:sz w:val="24"/>
        </w:rPr>
        <w:t>shall have the meaning set forth in Section 5.1(b).</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3</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0" w:after="240"/>
        <w:jc w:val="both"/>
        <w:rPr/>
      </w:pPr>
      <w:r>
        <w:rPr>
          <w:color w:val="000000"/>
        </w:rPr>
        <w:t>“</w:t>
      </w:r>
      <w:r>
        <w:rPr>
          <w:rFonts w:ascii="Times New Roman" w:hAnsi="Times New Roman"/>
          <w:b/>
          <w:i/>
          <w:color w:val="000000"/>
          <w:sz w:val="24"/>
        </w:rPr>
        <w:t>Commercial Strategy</w:t>
      </w:r>
      <w:r>
        <w:rPr>
          <w:color w:val="000000"/>
        </w:rPr>
        <w:t xml:space="preserve">” </w:t>
      </w:r>
      <w:r>
        <w:rPr>
          <w:rFonts w:ascii="Times New Roman" w:hAnsi="Times New Roman"/>
          <w:color w:val="000000"/>
          <w:sz w:val="24"/>
        </w:rPr>
        <w:t>shall have the meaning set forth in Section 5.1(a).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240"/>
        <w:jc w:val="both"/>
        <w:rPr/>
      </w:pPr>
      <w:r>
        <w:rPr>
          <w:color w:val="000000"/>
        </w:rPr>
        <w:t>“</w:t>
      </w:r>
      <w:r>
        <w:rPr>
          <w:rFonts w:ascii="Times New Roman" w:hAnsi="Times New Roman"/>
          <w:b/>
          <w:i/>
          <w:color w:val="000000"/>
          <w:sz w:val="24"/>
        </w:rPr>
        <w:t>Competing Product</w:t>
      </w:r>
      <w:r>
        <w:rPr>
          <w:color w:val="000000"/>
        </w:rPr>
        <w:t xml:space="preserve">” </w:t>
      </w:r>
      <w:r>
        <w:rPr>
          <w:rFonts w:ascii="Times New Roman" w:hAnsi="Times New Roman"/>
          <w:color w:val="000000"/>
          <w:sz w:val="24"/>
        </w:rPr>
        <w:t xml:space="preserve">shall mean a product other than Product that (a) contains a Prostacyclin as an active ingredient or (b) contains an active ingredient other than a Prostacyclin and that is indicated for use (or being developed for use) in the treatment of Pulmonary Hypertension (or is being developed with the objective of seeking approval for the treatment of Pulmonary Hypertension).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0" w:after="240"/>
        <w:jc w:val="both"/>
        <w:rPr/>
      </w:pPr>
      <w:r>
        <w:rPr>
          <w:color w:val="000000"/>
        </w:rPr>
        <w:t>“</w:t>
      </w:r>
      <w:r>
        <w:rPr>
          <w:rFonts w:ascii="Times New Roman" w:hAnsi="Times New Roman"/>
          <w:b/>
          <w:i/>
          <w:color w:val="000000"/>
          <w:sz w:val="24"/>
        </w:rPr>
        <w:t>Component Parts</w:t>
      </w:r>
      <w:r>
        <w:rPr>
          <w:color w:val="000000"/>
        </w:rPr>
        <w:t xml:space="preserve">” </w:t>
      </w:r>
      <w:r>
        <w:rPr>
          <w:rFonts w:ascii="Times New Roman" w:hAnsi="Times New Roman"/>
          <w:color w:val="000000"/>
          <w:sz w:val="24"/>
        </w:rPr>
        <w:t>means injection-molded component parts for the Device (including cartridges).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w:t>
      </w:r>
    </w:p>
    <w:p>
      <w:pPr>
        <w:pStyle w:val="TextBody"/>
        <w:bidi w:val="0"/>
        <w:spacing w:before="0" w:after="240"/>
        <w:jc w:val="both"/>
        <w:rPr/>
      </w:pPr>
      <w:r>
        <w:rPr>
          <w:color w:val="000000"/>
        </w:rPr>
        <w:t>“</w:t>
      </w:r>
      <w:r>
        <w:rPr>
          <w:rFonts w:ascii="Times New Roman" w:hAnsi="Times New Roman"/>
          <w:b/>
          <w:i/>
          <w:color w:val="000000"/>
          <w:sz w:val="24"/>
        </w:rPr>
        <w:t>Confidential Information</w:t>
      </w:r>
      <w:r>
        <w:rPr>
          <w:color w:val="000000"/>
        </w:rPr>
        <w:t xml:space="preserve">” </w:t>
      </w:r>
      <w:r>
        <w:rPr>
          <w:rFonts w:ascii="Times New Roman" w:hAnsi="Times New Roman"/>
          <w:color w:val="000000"/>
          <w:sz w:val="24"/>
        </w:rPr>
        <w:t xml:space="preserve">shall have the meaning set forth in Section 8.1.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color w:val="000000"/>
        </w:rPr>
        <w:t>“</w:t>
      </w:r>
      <w:r>
        <w:rPr>
          <w:rFonts w:ascii="Times New Roman" w:hAnsi="Times New Roman"/>
          <w:b/>
          <w:i/>
          <w:color w:val="000000"/>
          <w:sz w:val="24"/>
        </w:rPr>
        <w:t>Confidentiality Agreement</w:t>
      </w:r>
      <w:r>
        <w:rPr>
          <w:color w:val="000000"/>
        </w:rPr>
        <w:t xml:space="preserve">” </w:t>
      </w:r>
      <w:r>
        <w:rPr>
          <w:rFonts w:ascii="Times New Roman" w:hAnsi="Times New Roman"/>
          <w:color w:val="000000"/>
          <w:sz w:val="24"/>
        </w:rPr>
        <w:t>shall mean that certain confidentiality agreement, dated July 27, 2018, between MannKind and United Therapeutics.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color w:val="000000"/>
        </w:rPr>
        <w:t>“</w:t>
      </w:r>
      <w:r>
        <w:rPr>
          <w:rFonts w:ascii="Times New Roman" w:hAnsi="Times New Roman"/>
          <w:b/>
          <w:i/>
          <w:color w:val="000000"/>
          <w:sz w:val="24"/>
        </w:rPr>
        <w:t>Control</w:t>
      </w:r>
      <w:r>
        <w:rPr>
          <w:color w:val="000000"/>
        </w:rPr>
        <w:t xml:space="preserve">” </w:t>
      </w:r>
      <w:r>
        <w:rPr>
          <w:rFonts w:ascii="Times New Roman" w:hAnsi="Times New Roman"/>
          <w:color w:val="000000"/>
          <w:sz w:val="24"/>
        </w:rPr>
        <w:t>(including any variations such as “</w:t>
      </w:r>
      <w:r>
        <w:rPr>
          <w:rFonts w:ascii="Times New Roman" w:hAnsi="Times New Roman"/>
          <w:b/>
          <w:i/>
          <w:color w:val="000000"/>
          <w:sz w:val="24"/>
        </w:rPr>
        <w:t>Controlled</w:t>
      </w:r>
      <w:r>
        <w:rPr>
          <w:color w:val="000000"/>
        </w:rPr>
        <w:t xml:space="preserve">” </w:t>
      </w:r>
      <w:r>
        <w:rPr>
          <w:rFonts w:ascii="Times New Roman" w:hAnsi="Times New Roman"/>
          <w:color w:val="000000"/>
          <w:sz w:val="24"/>
        </w:rPr>
        <w:t>and “</w:t>
      </w:r>
      <w:r>
        <w:rPr>
          <w:rFonts w:ascii="Times New Roman" w:hAnsi="Times New Roman"/>
          <w:b/>
          <w:i/>
          <w:color w:val="000000"/>
          <w:sz w:val="24"/>
        </w:rPr>
        <w:t>Controlling</w:t>
      </w:r>
      <w:r>
        <w:rPr>
          <w:color w:val="000000"/>
        </w:rPr>
        <w:t>”</w:t>
      </w:r>
      <w:r>
        <w:rPr>
          <w:rFonts w:ascii="Times New Roman" w:hAnsi="Times New Roman"/>
          <w:color w:val="000000"/>
          <w:sz w:val="24"/>
        </w:rPr>
        <w:t>), in the context of intellectual property rights and Information, shall mean possession by a party (whether by ownership or license, other than pursuant to this Agreement) of the ability to grant the applicable license or right to use under this Agreement, without violating the terms of an agreement with a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color w:val="000000"/>
        </w:rPr>
        <w:t>“</w:t>
      </w:r>
      <w:r>
        <w:rPr>
          <w:rFonts w:ascii="Times New Roman" w:hAnsi="Times New Roman"/>
          <w:b/>
          <w:i/>
          <w:color w:val="000000"/>
          <w:sz w:val="24"/>
        </w:rPr>
        <w:t>Data</w:t>
      </w:r>
      <w:r>
        <w:rPr>
          <w:color w:val="000000"/>
        </w:rPr>
        <w:t xml:space="preserve">” </w:t>
      </w:r>
      <w:r>
        <w:rPr>
          <w:rFonts w:ascii="Times New Roman" w:hAnsi="Times New Roman"/>
          <w:color w:val="000000"/>
          <w:sz w:val="24"/>
        </w:rPr>
        <w:t xml:space="preserve">shall mean any and all raw scientific, technical or test data pertaining to Product that is generated by or on behalf of a Party, its Affiliates (and to the extent Controlled by a Party or its Affiliates, the licensees or sublicensees of a Party or its Affiliates), including research data, clinical pharmacology data, CMC data (including analytical and quality control data and stability data), pre-clinical data, clinical data and pharmacoeconomic data and all data in publications, presentations or submissions made in association with a Regulatory Filing with respect to Product. Data presented in graphical format should be accompanied by the tables used to generate such graphics. All Data should be accompanied by the methodology used to derive such Data.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color w:val="000000"/>
        </w:rPr>
        <w:t>“</w:t>
      </w:r>
      <w:r>
        <w:rPr>
          <w:rFonts w:ascii="Times New Roman" w:hAnsi="Times New Roman"/>
          <w:b/>
          <w:i/>
          <w:color w:val="000000"/>
          <w:sz w:val="24"/>
        </w:rPr>
        <w:t>Deerfield</w:t>
      </w:r>
      <w:r>
        <w:rPr>
          <w:color w:val="000000"/>
        </w:rPr>
        <w:t xml:space="preserve">” </w:t>
      </w:r>
      <w:r>
        <w:rPr>
          <w:rFonts w:ascii="Times New Roman" w:hAnsi="Times New Roman"/>
          <w:color w:val="000000"/>
          <w:sz w:val="24"/>
        </w:rPr>
        <w:t>shall mean Deerfield Private Design Fund II, L.P., Deerfield Private Design International II, L.P. and Horizon Santé FLML, SARL.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color w:val="000000"/>
        </w:rPr>
        <w:t>“</w:t>
      </w:r>
      <w:r>
        <w:rPr>
          <w:rFonts w:ascii="Times New Roman" w:hAnsi="Times New Roman"/>
          <w:b/>
          <w:i/>
          <w:color w:val="000000"/>
          <w:sz w:val="24"/>
        </w:rPr>
        <w:t>Development Expenses</w:t>
      </w:r>
      <w:r>
        <w:rPr>
          <w:color w:val="000000"/>
        </w:rPr>
        <w:t xml:space="preserve">” </w:t>
      </w:r>
      <w:r>
        <w:rPr>
          <w:rFonts w:ascii="Times New Roman" w:hAnsi="Times New Roman"/>
          <w:color w:val="000000"/>
          <w:sz w:val="24"/>
        </w:rPr>
        <w:t>shall mean out-of-pocket costs incurred by MannKind or any of its Affiliates in conducting or performing its activities under a Development Plan. For clarity, Development Expenses shall not include labor costs incurred by MannKind in performing its obligations under the Initial Development Plan, which costs shall be the sole responsibility of MannKind.</w:t>
      </w:r>
    </w:p>
    <w:p>
      <w:pPr>
        <w:pStyle w:val="TextBody"/>
        <w:bidi w:val="0"/>
        <w:jc w:val="left"/>
        <w:rPr>
          <w:rFonts w:ascii="Times New Roman" w:hAnsi="Times New Roman"/>
          <w:sz w:val="20"/>
        </w:rPr>
      </w:pPr>
      <w:r>
        <w:rPr>
          <w:rFonts w:ascii="Times New Roman" w:hAnsi="Times New Roman"/>
          <w:color w:val="000000"/>
          <w:sz w:val="24"/>
        </w:rPr>
        <w:t>4</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color w:val="000000"/>
        </w:rPr>
        <w:t>“</w:t>
      </w:r>
      <w:r>
        <w:rPr>
          <w:rFonts w:ascii="Times New Roman" w:hAnsi="Times New Roman"/>
          <w:b/>
          <w:i/>
          <w:color w:val="000000"/>
          <w:sz w:val="24"/>
        </w:rPr>
        <w:t>Development Plan</w:t>
      </w:r>
      <w:r>
        <w:rPr>
          <w:color w:val="000000"/>
        </w:rPr>
        <w:t xml:space="preserve">” </w:t>
      </w:r>
      <w:r>
        <w:rPr>
          <w:rFonts w:ascii="Times New Roman" w:hAnsi="Times New Roman"/>
          <w:color w:val="000000"/>
          <w:sz w:val="24"/>
        </w:rPr>
        <w:t>shall mean the Initial Development Plan, as the same may be subsequently amended from time to time in accordance with this Agreement, as well as any additional written plan mutually agreed by the Parties setting forth studies and other activities outside the scope of the Initial Development Plan that United Therapeutics requests that MannKind undertake in connection with United Therapeutics’ development of Products other than the Initial Product in the Field in the Territory (each such plan, an “</w:t>
      </w:r>
      <w:r>
        <w:rPr>
          <w:rFonts w:ascii="Times New Roman" w:hAnsi="Times New Roman"/>
          <w:b/>
          <w:i/>
          <w:color w:val="000000"/>
          <w:sz w:val="24"/>
        </w:rPr>
        <w:t>Additional Development Plan</w:t>
      </w:r>
      <w:r>
        <w:rPr>
          <w:color w:val="000000"/>
        </w:rPr>
        <w:t>”</w:t>
      </w:r>
      <w:r>
        <w:rPr>
          <w:rFonts w:ascii="Times New Roman" w:hAnsi="Times New Roman"/>
          <w:color w:val="000000"/>
          <w:sz w:val="24"/>
        </w:rPr>
        <w:t>). For example, in the event that United Therapeutics elects to develop a Product configuration that utilizes a Cricket inhaler and desires MannKind’s assistance in such undertaking, the Parties would need to prepare an Additional Development Plan that outlines the various development activities with respect to which MannKind’s assistance was needed and establishes a mutually agreeable budget for such activities. Once the Parties have agreed on an Additional Development Plan, any changes to such Development Plan shall require the written approval of the ESC.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color w:val="000000"/>
        </w:rPr>
        <w:t>“</w:t>
      </w:r>
      <w:r>
        <w:rPr>
          <w:rFonts w:ascii="Times New Roman" w:hAnsi="Times New Roman"/>
          <w:b/>
          <w:i/>
          <w:color w:val="000000"/>
          <w:sz w:val="24"/>
        </w:rPr>
        <w:t>Development Term</w:t>
      </w:r>
      <w:r>
        <w:rPr>
          <w:color w:val="000000"/>
        </w:rPr>
        <w:t xml:space="preserve">” </w:t>
      </w:r>
      <w:r>
        <w:rPr>
          <w:rFonts w:ascii="Times New Roman" w:hAnsi="Times New Roman"/>
          <w:color w:val="000000"/>
          <w:sz w:val="24"/>
        </w:rPr>
        <w:t xml:space="preserve">shall mean the period during which MannKind is conducting activities under the Development Plan, commencing on the Effective Date and ending upon the completion of all activities specified in the Development Plan or earlier termination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0" w:after="240"/>
        <w:jc w:val="both"/>
        <w:rPr/>
      </w:pPr>
      <w:r>
        <w:rPr>
          <w:color w:val="000000"/>
        </w:rPr>
        <w:t>“</w:t>
      </w:r>
      <w:r>
        <w:rPr>
          <w:rFonts w:ascii="Times New Roman" w:hAnsi="Times New Roman"/>
          <w:b/>
          <w:i/>
          <w:color w:val="000000"/>
          <w:sz w:val="24"/>
        </w:rPr>
        <w:t>Device</w:t>
      </w:r>
      <w:r>
        <w:rPr>
          <w:color w:val="000000"/>
        </w:rPr>
        <w:t xml:space="preserve">” </w:t>
      </w:r>
      <w:r>
        <w:rPr>
          <w:rFonts w:ascii="Times New Roman" w:hAnsi="Times New Roman"/>
          <w:color w:val="000000"/>
          <w:sz w:val="24"/>
        </w:rPr>
        <w:t>shall mean any device Controlled by MannKind through which a Formulation may be administered by inhalation, such as the Dreamboat</w:t>
      </w:r>
      <w:r>
        <w:rPr>
          <w:rFonts w:ascii="Times New Roman" w:hAnsi="Times New Roman"/>
          <w:color w:val="000000"/>
          <w:sz w:val="16"/>
        </w:rPr>
        <w:t>®</w:t>
      </w:r>
      <w:r>
        <w:rPr>
          <w:color w:val="000000"/>
        </w:rPr>
        <w:t xml:space="preserve"> </w:t>
      </w:r>
      <w:r>
        <w:rPr>
          <w:rFonts w:ascii="Times New Roman" w:hAnsi="Times New Roman"/>
          <w:color w:val="000000"/>
          <w:sz w:val="24"/>
        </w:rPr>
        <w:t>inhaler and Cricket</w:t>
      </w:r>
      <w:r>
        <w:rPr>
          <w:rFonts w:ascii="Times New Roman" w:hAnsi="Times New Roman"/>
          <w:color w:val="000000"/>
          <w:sz w:val="16"/>
        </w:rPr>
        <w:t xml:space="preserve">® </w:t>
      </w:r>
      <w:r>
        <w:rPr>
          <w:rFonts w:ascii="Times New Roman" w:hAnsi="Times New Roman"/>
          <w:color w:val="000000"/>
          <w:sz w:val="24"/>
        </w:rPr>
        <w:t>inhaler.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1.29</w:t>
      </w:r>
    </w:p>
    <w:p>
      <w:pPr>
        <w:pStyle w:val="TextBody"/>
        <w:bidi w:val="0"/>
        <w:spacing w:before="0" w:after="240"/>
        <w:jc w:val="both"/>
        <w:rPr/>
      </w:pPr>
      <w:r>
        <w:rPr>
          <w:color w:val="000000"/>
        </w:rPr>
        <w:t>“</w:t>
      </w:r>
      <w:r>
        <w:rPr>
          <w:rFonts w:ascii="Times New Roman" w:hAnsi="Times New Roman"/>
          <w:b/>
          <w:i/>
          <w:color w:val="000000"/>
          <w:sz w:val="24"/>
        </w:rPr>
        <w:t>Disclosing Party</w:t>
      </w:r>
      <w:r>
        <w:rPr>
          <w:color w:val="000000"/>
        </w:rPr>
        <w:t xml:space="preserve">” </w:t>
      </w:r>
      <w:r>
        <w:rPr>
          <w:rFonts w:ascii="Times New Roman" w:hAnsi="Times New Roman"/>
          <w:color w:val="000000"/>
          <w:sz w:val="24"/>
        </w:rPr>
        <w:t xml:space="preserve">shall have the meaning set forth in Section 8.1.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1.30</w:t>
      </w:r>
    </w:p>
    <w:p>
      <w:pPr>
        <w:pStyle w:val="TextBody"/>
        <w:bidi w:val="0"/>
        <w:spacing w:before="0" w:after="240"/>
        <w:jc w:val="both"/>
        <w:rPr/>
      </w:pPr>
      <w:r>
        <w:rPr>
          <w:color w:val="000000"/>
        </w:rPr>
        <w:t>“</w:t>
      </w:r>
      <w:r>
        <w:rPr>
          <w:rFonts w:ascii="Times New Roman" w:hAnsi="Times New Roman"/>
          <w:b/>
          <w:i/>
          <w:color w:val="000000"/>
          <w:sz w:val="24"/>
        </w:rPr>
        <w:t>DMF</w:t>
      </w:r>
      <w:r>
        <w:rPr>
          <w:color w:val="000000"/>
        </w:rPr>
        <w:t xml:space="preserve">” </w:t>
      </w:r>
      <w:r>
        <w:rPr>
          <w:rFonts w:ascii="Times New Roman" w:hAnsi="Times New Roman"/>
          <w:color w:val="000000"/>
          <w:sz w:val="24"/>
        </w:rPr>
        <w:t>shall mean the Drug Master File 028677 (including any amendments thereto) and any other drug master file filed by MannKind with the FDA to provide confidential detailed information about facilities, processes, analytical methods, or articles used in the manufacturing, processing, packaging and storing of one or more human drugs, or design and manufacture of any devices, including Product and/or Device. The term “DMF” shall also include within its meaning throughout this agreement any device master file or MAF filed by MannKind for the same purpose.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color w:val="000000"/>
        </w:rPr>
        <w:t>“</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shall have the meaning set forth in Section 15.16.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color w:val="000000"/>
        </w:rPr>
        <w:t>“</w:t>
      </w:r>
      <w:r>
        <w:rPr>
          <w:rFonts w:ascii="Times New Roman" w:hAnsi="Times New Roman"/>
          <w:b/>
          <w:i/>
          <w:color w:val="000000"/>
          <w:sz w:val="24"/>
        </w:rPr>
        <w:t>ESC</w:t>
      </w:r>
      <w:r>
        <w:rPr>
          <w:color w:val="000000"/>
        </w:rPr>
        <w:t xml:space="preserve">” </w:t>
      </w:r>
      <w:r>
        <w:rPr>
          <w:rFonts w:ascii="Times New Roman" w:hAnsi="Times New Roman"/>
          <w:color w:val="000000"/>
          <w:sz w:val="24"/>
        </w:rPr>
        <w:t>shall have the meaning set forth in Section 3.1(a).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i/>
          <w:color w:val="000000"/>
          <w:sz w:val="24"/>
        </w:rPr>
        <w:t>Export Control Laws</w:t>
      </w:r>
      <w:r>
        <w:rPr>
          <w:color w:val="000000"/>
        </w:rPr>
        <w:t xml:space="preserve">” </w:t>
      </w:r>
      <w:r>
        <w:rPr>
          <w:rFonts w:ascii="Times New Roman" w:hAnsi="Times New Roman"/>
          <w:color w:val="000000"/>
          <w:sz w:val="24"/>
        </w:rPr>
        <w:t>shall mean all applicable U.S. laws and regulations relating to (a) sanctions and embargoes imposed by the Office of Foreign Assets Control of the U.S. Department of Treasury or (b) the export or re-export of commodities, technologies, or services, including, but not limited to, the Export Administration Act of 1979, 24 U.S.C. §§ 2401-2420, the International Emergency Economic Powers Act, 50 U.S.C. §§ 1701-1706, the Trading with the Enemy Act, 50 U.S.C. §§ 1 et. seq., the Arms Export Control Act, 22 U.S.C. §§ 2778 and 2779, and the International Boycott Provisions of Section 999 of the U.S. Internal Revenue Code of 1986 (as amended).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sz w:val="20"/>
        </w:rPr>
      </w:pPr>
      <w:r>
        <w:rPr>
          <w:rFonts w:ascii="Times New Roman" w:hAnsi="Times New Roman"/>
          <w:color w:val="000000"/>
          <w:sz w:val="24"/>
        </w:rPr>
        <w:t>5</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color w:val="000000"/>
        </w:rPr>
        <w:t>“</w:t>
      </w:r>
      <w:r>
        <w:rPr>
          <w:rFonts w:ascii="Times New Roman" w:hAnsi="Times New Roman"/>
          <w:b/>
          <w:i/>
          <w:color w:val="000000"/>
          <w:sz w:val="24"/>
        </w:rPr>
        <w:t>FCPA</w:t>
      </w:r>
      <w:r>
        <w:rPr>
          <w:color w:val="000000"/>
        </w:rPr>
        <w:t xml:space="preserve">” </w:t>
      </w:r>
      <w:r>
        <w:rPr>
          <w:rFonts w:ascii="Times New Roman" w:hAnsi="Times New Roman"/>
          <w:color w:val="000000"/>
          <w:sz w:val="24"/>
        </w:rPr>
        <w:t>shall mean the U.S. Foreign Corrupt Practices Act (15 U.S.C. Section 78dd-1, et. seq.)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pPr>
      <w:r>
        <w:rPr>
          <w:color w:val="000000"/>
        </w:rPr>
        <w:t>“</w:t>
      </w:r>
      <w:r>
        <w:rPr>
          <w:rFonts w:ascii="Times New Roman" w:hAnsi="Times New Roman"/>
          <w:b/>
          <w:i/>
          <w:color w:val="000000"/>
          <w:sz w:val="24"/>
        </w:rPr>
        <w:t>FDA</w:t>
      </w:r>
      <w:r>
        <w:rPr>
          <w:color w:val="000000"/>
        </w:rPr>
        <w:t xml:space="preserve">” </w:t>
      </w:r>
      <w:r>
        <w:rPr>
          <w:rFonts w:ascii="Times New Roman" w:hAnsi="Times New Roman"/>
          <w:color w:val="000000"/>
          <w:sz w:val="24"/>
        </w:rPr>
        <w:t>shall mean the United States Food and Drug Administration, or any agency that is responsible for approving the sale of medical devices and/or pharmaceutical products in the United States.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color w:val="000000"/>
        </w:rPr>
        <w:t>“</w:t>
      </w:r>
      <w:r>
        <w:rPr>
          <w:rFonts w:ascii="Times New Roman" w:hAnsi="Times New Roman"/>
          <w:b/>
          <w:i/>
          <w:color w:val="000000"/>
          <w:sz w:val="24"/>
        </w:rPr>
        <w:t>Field</w:t>
      </w:r>
      <w:r>
        <w:rPr>
          <w:color w:val="000000"/>
        </w:rPr>
        <w:t xml:space="preserve">” </w:t>
      </w:r>
      <w:r>
        <w:rPr>
          <w:rFonts w:ascii="Times New Roman" w:hAnsi="Times New Roman"/>
          <w:color w:val="000000"/>
          <w:sz w:val="24"/>
        </w:rPr>
        <w:t xml:space="preserve">shall mean, with respect to a Prostacyclin, the administration to human beings for the prevention or treatment of diseases and other conditions in all indications and, with respect to any Other Agent, the administration to human beings for the prevention or treatment of Pulmonary Hypertension.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color w:val="000000"/>
        </w:rPr>
        <w:t>“</w:t>
      </w:r>
      <w:r>
        <w:rPr>
          <w:rFonts w:ascii="Times New Roman" w:hAnsi="Times New Roman"/>
          <w:b/>
          <w:i/>
          <w:color w:val="000000"/>
          <w:sz w:val="24"/>
        </w:rPr>
        <w:t>Filings</w:t>
      </w:r>
      <w:r>
        <w:rPr>
          <w:color w:val="000000"/>
        </w:rPr>
        <w:t xml:space="preserve">” </w:t>
      </w:r>
      <w:r>
        <w:rPr>
          <w:rFonts w:ascii="Times New Roman" w:hAnsi="Times New Roman"/>
          <w:color w:val="000000"/>
          <w:sz w:val="24"/>
        </w:rPr>
        <w:t>shall have the meaning set forth in Section 15.16.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0" w:after="240"/>
        <w:jc w:val="both"/>
        <w:rPr/>
      </w:pPr>
      <w:r>
        <w:rPr>
          <w:color w:val="000000"/>
        </w:rPr>
        <w:t>“</w:t>
      </w:r>
      <w:r>
        <w:rPr>
          <w:rFonts w:ascii="Times New Roman" w:hAnsi="Times New Roman"/>
          <w:b/>
          <w:i/>
          <w:color w:val="000000"/>
          <w:sz w:val="24"/>
        </w:rPr>
        <w:t>First Commercial Sale</w:t>
      </w:r>
      <w:r>
        <w:rPr>
          <w:color w:val="000000"/>
        </w:rPr>
        <w:t xml:space="preserve">” </w:t>
      </w:r>
      <w:r>
        <w:rPr>
          <w:rFonts w:ascii="Times New Roman" w:hAnsi="Times New Roman"/>
          <w:color w:val="000000"/>
          <w:sz w:val="24"/>
        </w:rPr>
        <w:t xml:space="preserve">shall mean the first </w:t>
      </w:r>
      <w:r>
        <w:rPr>
          <w:rFonts w:ascii="Times New Roman" w:hAnsi="Times New Roman"/>
          <w:i/>
          <w:color w:val="000000"/>
          <w:sz w:val="24"/>
        </w:rPr>
        <w:t>bona fide</w:t>
      </w:r>
      <w:r>
        <w:rPr>
          <w:rFonts w:ascii="Times New Roman" w:hAnsi="Times New Roman"/>
          <w:color w:val="000000"/>
          <w:sz w:val="24"/>
        </w:rPr>
        <w:t>, arm’s length sale of Product in a country following receipt of Marketing Approval in such country. Sales of Product for registration samples, compassionate use, named patient use and inter-company transfers to Affiliates of a Party will not constitute a First Commercial Sale.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1.39</w:t>
      </w:r>
    </w:p>
    <w:p>
      <w:pPr>
        <w:pStyle w:val="TextBody"/>
        <w:bidi w:val="0"/>
        <w:spacing w:before="0" w:after="240"/>
        <w:jc w:val="both"/>
        <w:rPr/>
      </w:pPr>
      <w:r>
        <w:rPr>
          <w:color w:val="000000"/>
        </w:rPr>
        <w:t>“</w:t>
      </w:r>
      <w:r>
        <w:rPr>
          <w:rFonts w:ascii="Times New Roman" w:hAnsi="Times New Roman"/>
          <w:b/>
          <w:i/>
          <w:color w:val="000000"/>
          <w:sz w:val="24"/>
        </w:rPr>
        <w:t>Formulation</w:t>
      </w:r>
      <w:r>
        <w:rPr>
          <w:color w:val="000000"/>
        </w:rPr>
        <w:t xml:space="preserve">” </w:t>
      </w:r>
      <w:r>
        <w:rPr>
          <w:rFonts w:ascii="Times New Roman" w:hAnsi="Times New Roman"/>
          <w:color w:val="000000"/>
          <w:sz w:val="24"/>
        </w:rPr>
        <w:t xml:space="preserve">shall mean a formulation of an active pharmaceutical ingredient suitable for pulmonary administration based upon or incorporating the drug delivery technology Controlled by MannKind involving diketopiperazine as a carrier.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1.40</w:t>
      </w:r>
    </w:p>
    <w:p>
      <w:pPr>
        <w:pStyle w:val="TextBody"/>
        <w:bidi w:val="0"/>
        <w:spacing w:before="0" w:after="240"/>
        <w:jc w:val="both"/>
        <w:rPr/>
      </w:pPr>
      <w:r>
        <w:rPr>
          <w:color w:val="000000"/>
        </w:rPr>
        <w:t>“</w:t>
      </w:r>
      <w:r>
        <w:rPr>
          <w:rFonts w:ascii="Times New Roman" w:hAnsi="Times New Roman"/>
          <w:b/>
          <w:i/>
          <w:color w:val="000000"/>
          <w:sz w:val="24"/>
        </w:rPr>
        <w:t>GAAP</w:t>
      </w:r>
      <w:r>
        <w:rPr>
          <w:color w:val="000000"/>
        </w:rPr>
        <w:t xml:space="preserve">” </w:t>
      </w:r>
      <w:r>
        <w:rPr>
          <w:rFonts w:ascii="Times New Roman" w:hAnsi="Times New Roman"/>
          <w:color w:val="000000"/>
          <w:sz w:val="24"/>
        </w:rPr>
        <w:t xml:space="preserve">shall mean generally accepted accounting principles in the United States, or internationally, as appropriate, consistently applied.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color w:val="000000"/>
        </w:rPr>
        <w:t>“</w:t>
      </w:r>
      <w:r>
        <w:rPr>
          <w:rFonts w:ascii="Times New Roman" w:hAnsi="Times New Roman"/>
          <w:b/>
          <w:i/>
          <w:color w:val="000000"/>
          <w:sz w:val="24"/>
        </w:rPr>
        <w:t>Governing Body</w:t>
      </w:r>
      <w:r>
        <w:rPr>
          <w:color w:val="000000"/>
        </w:rPr>
        <w:t xml:space="preserve">” </w:t>
      </w:r>
      <w:r>
        <w:rPr>
          <w:rFonts w:ascii="Times New Roman" w:hAnsi="Times New Roman"/>
          <w:color w:val="000000"/>
          <w:sz w:val="24"/>
        </w:rPr>
        <w:t>shall mean the ESC or any working group of the ESC.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color w:val="000000"/>
        </w:rPr>
        <w:t>“</w:t>
      </w:r>
      <w:r>
        <w:rPr>
          <w:rFonts w:ascii="Times New Roman" w:hAnsi="Times New Roman"/>
          <w:b/>
          <w:i/>
          <w:color w:val="000000"/>
          <w:sz w:val="24"/>
        </w:rPr>
        <w:t>Governmental Authority</w:t>
      </w:r>
      <w:r>
        <w:rPr>
          <w:color w:val="000000"/>
        </w:rPr>
        <w:t xml:space="preserve">” </w:t>
      </w:r>
      <w:r>
        <w:rPr>
          <w:rFonts w:ascii="Times New Roman" w:hAnsi="Times New Roman"/>
          <w:color w:val="000000"/>
          <w:sz w:val="24"/>
        </w:rPr>
        <w:t xml:space="preserve">shall mean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color w:val="000000"/>
        </w:rPr>
        <w:t>“</w:t>
      </w:r>
      <w:r>
        <w:rPr>
          <w:rFonts w:ascii="Times New Roman" w:hAnsi="Times New Roman"/>
          <w:b/>
          <w:i/>
          <w:color w:val="000000"/>
          <w:sz w:val="24"/>
        </w:rPr>
        <w:t>Government Health Care Program</w:t>
      </w:r>
      <w:r>
        <w:rPr>
          <w:color w:val="000000"/>
        </w:rPr>
        <w:t xml:space="preserve">” </w:t>
      </w:r>
      <w:r>
        <w:rPr>
          <w:rFonts w:ascii="Times New Roman" w:hAnsi="Times New Roman"/>
          <w:color w:val="000000"/>
          <w:sz w:val="24"/>
        </w:rPr>
        <w:t xml:space="preserve">shall mean the Medicare program (Title XVIII of the Social Security Act), the Medicaid program (Title XIX of the Social Security Act), the Department of Veterans Affairs FSS Program, TRICARE, and the Public Health Service 340B Program, and any similar federal, state, and local governmental health care plans and programs.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color w:val="000000"/>
        </w:rPr>
        <w:t>“</w:t>
      </w:r>
      <w:r>
        <w:rPr>
          <w:rFonts w:ascii="Times New Roman" w:hAnsi="Times New Roman"/>
          <w:b/>
          <w:i/>
          <w:color w:val="000000"/>
          <w:sz w:val="24"/>
        </w:rPr>
        <w:t>Government Health Care Program Contract</w:t>
      </w:r>
      <w:r>
        <w:rPr>
          <w:color w:val="000000"/>
        </w:rPr>
        <w:t xml:space="preserve">’ </w:t>
      </w:r>
      <w:r>
        <w:rPr>
          <w:rFonts w:ascii="Times New Roman" w:hAnsi="Times New Roman"/>
          <w:color w:val="000000"/>
          <w:sz w:val="24"/>
        </w:rPr>
        <w:t xml:space="preserve">shall mean, with respect to Product, any agreements that are necessary to give effect to any Government Health Care Program (whether or not such agreements constitute “government contracts” as such term is used in connection with government procurement, e.g. 340B Pharmaceutical Pricing Agreements and Medicaid Drug Rebate Agreements).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0" w:after="240"/>
        <w:jc w:val="both"/>
        <w:rPr/>
      </w:pPr>
      <w:r>
        <w:rPr>
          <w:color w:val="000000"/>
        </w:rPr>
        <w:t>“</w:t>
      </w:r>
      <w:r>
        <w:rPr>
          <w:rFonts w:ascii="Times New Roman" w:hAnsi="Times New Roman"/>
          <w:b/>
          <w:i/>
          <w:color w:val="000000"/>
          <w:sz w:val="24"/>
        </w:rPr>
        <w:t>HIPAA</w:t>
      </w:r>
      <w:r>
        <w:rPr>
          <w:color w:val="000000"/>
        </w:rPr>
        <w:t xml:space="preserve">” </w:t>
      </w:r>
      <w:r>
        <w:rPr>
          <w:rFonts w:ascii="Times New Roman" w:hAnsi="Times New Roman"/>
          <w:color w:val="000000"/>
          <w:sz w:val="24"/>
        </w:rPr>
        <w:t>shall have the meaning set forth in Section 16.4.</w:t>
      </w:r>
    </w:p>
    <w:p>
      <w:pPr>
        <w:pStyle w:val="TextBody"/>
        <w:bidi w:val="0"/>
        <w:jc w:val="left"/>
        <w:rPr>
          <w:rFonts w:ascii="Times New Roman" w:hAnsi="Times New Roman"/>
          <w:sz w:val="20"/>
        </w:rPr>
      </w:pPr>
      <w:r>
        <w:rPr>
          <w:rFonts w:ascii="Times New Roman" w:hAnsi="Times New Roman"/>
          <w:color w:val="000000"/>
          <w:sz w:val="24"/>
        </w:rPr>
        <w:t>6</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w:t>
      </w:r>
    </w:p>
    <w:p>
      <w:pPr>
        <w:pStyle w:val="TextBody"/>
        <w:bidi w:val="0"/>
        <w:spacing w:before="0" w:after="240"/>
        <w:jc w:val="both"/>
        <w:rPr/>
      </w:pPr>
      <w:r>
        <w:rPr>
          <w:color w:val="000000"/>
        </w:rPr>
        <w:t>“</w:t>
      </w:r>
      <w:r>
        <w:rPr>
          <w:rFonts w:ascii="Times New Roman" w:hAnsi="Times New Roman"/>
          <w:b/>
          <w:i/>
          <w:color w:val="000000"/>
          <w:sz w:val="24"/>
        </w:rPr>
        <w:t>HSR Act</w:t>
      </w:r>
      <w:r>
        <w:rPr>
          <w:color w:val="000000"/>
        </w:rPr>
        <w:t xml:space="preserve">” </w:t>
      </w:r>
      <w:r>
        <w:rPr>
          <w:rFonts w:ascii="Times New Roman" w:hAnsi="Times New Roman"/>
          <w:color w:val="000000"/>
          <w:sz w:val="24"/>
        </w:rPr>
        <w:t>shall have the meaning set forth in Section 15.16.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0" w:after="240"/>
        <w:jc w:val="both"/>
        <w:rPr/>
      </w:pPr>
      <w:r>
        <w:rPr>
          <w:color w:val="000000"/>
        </w:rPr>
        <w:t>“</w:t>
      </w:r>
      <w:r>
        <w:rPr>
          <w:rFonts w:ascii="Times New Roman" w:hAnsi="Times New Roman"/>
          <w:b/>
          <w:i/>
          <w:color w:val="000000"/>
          <w:sz w:val="24"/>
        </w:rPr>
        <w:t>HSR Filing Date</w:t>
      </w:r>
      <w:r>
        <w:rPr>
          <w:color w:val="000000"/>
        </w:rPr>
        <w:t xml:space="preserve">” </w:t>
      </w:r>
      <w:r>
        <w:rPr>
          <w:rFonts w:ascii="Times New Roman" w:hAnsi="Times New Roman"/>
          <w:color w:val="000000"/>
          <w:sz w:val="24"/>
        </w:rPr>
        <w:t>shall have the meaning set forth in Section 15.16.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1.48</w:t>
      </w:r>
    </w:p>
    <w:p>
      <w:pPr>
        <w:pStyle w:val="TextBody"/>
        <w:bidi w:val="0"/>
        <w:spacing w:before="0" w:after="240"/>
        <w:jc w:val="both"/>
        <w:rPr/>
      </w:pPr>
      <w:r>
        <w:rPr>
          <w:color w:val="000000"/>
        </w:rPr>
        <w:t>“</w:t>
      </w:r>
      <w:r>
        <w:rPr>
          <w:rFonts w:ascii="Times New Roman" w:hAnsi="Times New Roman"/>
          <w:b/>
          <w:i/>
          <w:color w:val="000000"/>
          <w:sz w:val="24"/>
        </w:rPr>
        <w:t>IND</w:t>
      </w:r>
      <w:r>
        <w:rPr>
          <w:color w:val="000000"/>
        </w:rPr>
        <w:t xml:space="preserve">” </w:t>
      </w:r>
      <w:r>
        <w:rPr>
          <w:rFonts w:ascii="Times New Roman" w:hAnsi="Times New Roman"/>
          <w:color w:val="000000"/>
          <w:sz w:val="24"/>
        </w:rPr>
        <w:t xml:space="preserve">shall mean the Investigational New Drug Application 134582 (including any amendments thereto) filed by MannKind with the FDA before commencement of clinical trials of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w:t>
      </w:r>
    </w:p>
    <w:p>
      <w:pPr>
        <w:pStyle w:val="TextBody"/>
        <w:bidi w:val="0"/>
        <w:spacing w:before="0" w:after="240"/>
        <w:jc w:val="both"/>
        <w:rPr/>
      </w:pPr>
      <w:r>
        <w:rPr>
          <w:color w:val="000000"/>
        </w:rPr>
        <w:t>“</w:t>
      </w:r>
      <w:r>
        <w:rPr>
          <w:rFonts w:ascii="Times New Roman" w:hAnsi="Times New Roman"/>
          <w:b/>
          <w:i/>
          <w:color w:val="000000"/>
          <w:sz w:val="24"/>
        </w:rPr>
        <w:t>Indemnitee</w:t>
      </w:r>
      <w:r>
        <w:rPr>
          <w:color w:val="000000"/>
        </w:rPr>
        <w:t xml:space="preserve">” </w:t>
      </w:r>
      <w:r>
        <w:rPr>
          <w:rFonts w:ascii="Times New Roman" w:hAnsi="Times New Roman"/>
          <w:color w:val="000000"/>
          <w:sz w:val="24"/>
        </w:rPr>
        <w:t xml:space="preserve">shall have the meaning set forth in Section 11.3.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1.50</w:t>
      </w:r>
    </w:p>
    <w:p>
      <w:pPr>
        <w:pStyle w:val="TextBody"/>
        <w:bidi w:val="0"/>
        <w:spacing w:before="0" w:after="240"/>
        <w:jc w:val="both"/>
        <w:rPr/>
      </w:pPr>
      <w:r>
        <w:rPr>
          <w:color w:val="000000"/>
        </w:rPr>
        <w:t>“</w:t>
      </w:r>
      <w:r>
        <w:rPr>
          <w:rFonts w:ascii="Times New Roman" w:hAnsi="Times New Roman"/>
          <w:b/>
          <w:i/>
          <w:color w:val="000000"/>
          <w:sz w:val="24"/>
        </w:rPr>
        <w:t>Indemnitor</w:t>
      </w:r>
      <w:r>
        <w:rPr>
          <w:color w:val="000000"/>
        </w:rPr>
        <w:t xml:space="preserve">” </w:t>
      </w:r>
      <w:r>
        <w:rPr>
          <w:rFonts w:ascii="Times New Roman" w:hAnsi="Times New Roman"/>
          <w:color w:val="000000"/>
          <w:sz w:val="24"/>
        </w:rPr>
        <w:t>shall have the meaning set forth in Section 11.3.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0" w:after="240"/>
        <w:jc w:val="both"/>
        <w:rPr/>
      </w:pPr>
      <w:r>
        <w:rPr>
          <w:color w:val="000000"/>
        </w:rPr>
        <w:t>“</w:t>
      </w:r>
      <w:r>
        <w:rPr>
          <w:rFonts w:ascii="Times New Roman" w:hAnsi="Times New Roman"/>
          <w:b/>
          <w:i/>
          <w:color w:val="000000"/>
          <w:sz w:val="24"/>
        </w:rPr>
        <w:t>Information</w:t>
      </w:r>
      <w:r>
        <w:rPr>
          <w:color w:val="000000"/>
        </w:rPr>
        <w:t xml:space="preserve">” </w:t>
      </w:r>
      <w:r>
        <w:rPr>
          <w:rFonts w:ascii="Times New Roman" w:hAnsi="Times New Roman"/>
          <w:color w:val="000000"/>
          <w:sz w:val="24"/>
        </w:rPr>
        <w:t xml:space="preserve">shall mean all technical, scientific, marketing, financial, commercial and other know-how and information, trade secrets, knowledge, technology, means, methods, processes, practices, formulae, instructions, skills, techniques, procedures, experiences, ideas, discoveries, inventions, technical assistance, designs, drawings, assembly procedures, computer programs, apparatuses, prototypes, specifications, data, results, customer lists, marketing materials, and other material, including: drug discovery and development technology; biological, chemical, pharmacological, toxicological, pharmaceutical, physical and analytical, pre-clinical, clinical, safety, manufacturing and quality control data and information, including study designs and protocols; assays and biological methodology; manufacturing and quality control procedures and data, including test procedures; and synthesis, purification and isolation techniques, in each case (whether or not confidential, proprietary, patented or patentable, of commercial advantage or not) in written, electronic or any other form now known or hereafter developed.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1.52</w:t>
      </w:r>
    </w:p>
    <w:p>
      <w:pPr>
        <w:pStyle w:val="TextBody"/>
        <w:bidi w:val="0"/>
        <w:spacing w:before="0" w:after="240"/>
        <w:jc w:val="both"/>
        <w:rPr/>
      </w:pPr>
      <w:r>
        <w:rPr>
          <w:color w:val="000000"/>
        </w:rPr>
        <w:t>“</w:t>
      </w:r>
      <w:r>
        <w:rPr>
          <w:rFonts w:ascii="Times New Roman" w:hAnsi="Times New Roman"/>
          <w:b/>
          <w:i/>
          <w:color w:val="000000"/>
          <w:sz w:val="24"/>
        </w:rPr>
        <w:t>Initial Device</w:t>
      </w:r>
      <w:r>
        <w:rPr>
          <w:color w:val="000000"/>
        </w:rPr>
        <w:t xml:space="preserve">” </w:t>
      </w:r>
      <w:r>
        <w:rPr>
          <w:rFonts w:ascii="Times New Roman" w:hAnsi="Times New Roman"/>
          <w:color w:val="000000"/>
          <w:sz w:val="24"/>
        </w:rPr>
        <w:t>shall mean the reusable Dreamboat</w:t>
      </w:r>
      <w:r>
        <w:rPr>
          <w:rFonts w:ascii="Times New Roman" w:hAnsi="Times New Roman"/>
          <w:color w:val="000000"/>
          <w:sz w:val="16"/>
        </w:rPr>
        <w:t>®</w:t>
      </w:r>
      <w:r>
        <w:rPr>
          <w:color w:val="000000"/>
        </w:rPr>
        <w:t xml:space="preserve"> </w:t>
      </w:r>
      <w:r>
        <w:rPr>
          <w:rFonts w:ascii="Times New Roman" w:hAnsi="Times New Roman"/>
          <w:color w:val="000000"/>
          <w:sz w:val="24"/>
        </w:rPr>
        <w:t>inhaler and associated cartridges that is intended to be the utilized in the Initial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1.53</w:t>
      </w:r>
    </w:p>
    <w:p>
      <w:pPr>
        <w:pStyle w:val="TextBody"/>
        <w:bidi w:val="0"/>
        <w:spacing w:before="0" w:after="240"/>
        <w:jc w:val="both"/>
        <w:rPr/>
      </w:pPr>
      <w:r>
        <w:rPr>
          <w:color w:val="000000"/>
        </w:rPr>
        <w:t>“</w:t>
      </w:r>
      <w:r>
        <w:rPr>
          <w:rFonts w:ascii="Times New Roman" w:hAnsi="Times New Roman"/>
          <w:b/>
          <w:i/>
          <w:color w:val="000000"/>
          <w:sz w:val="24"/>
        </w:rPr>
        <w:t>Initial Development Plan</w:t>
      </w:r>
      <w:r>
        <w:rPr>
          <w:color w:val="000000"/>
        </w:rPr>
        <w:t xml:space="preserve">” </w:t>
      </w:r>
      <w:r>
        <w:rPr>
          <w:rFonts w:ascii="Times New Roman" w:hAnsi="Times New Roman"/>
          <w:color w:val="000000"/>
          <w:sz w:val="24"/>
        </w:rPr>
        <w:t xml:space="preserve">shall mean the written plan attached to a separate letter delivered by MannKind to United Therapeutics and agreed to in writing by United Therapeutics on the Execution Date setting forth the activities to be performed by MannKind (or by the Parties jointly) with respect to the CMC development of the Initial Product and the Accessory Apparatus as well as the transfer to United Therapeutics of the manufacturing technology required to manufacture the Initial Product. The Initial Development Plan shall be subject to the terms and conditions of this Agreement. To the extent any terms or provisions of the Initial Development Plan conflict with the terms and provisions of this Agreement, the terms and provisions of this Agreement shall control.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w:t>
      </w:r>
    </w:p>
    <w:p>
      <w:pPr>
        <w:pStyle w:val="TextBody"/>
        <w:bidi w:val="0"/>
        <w:spacing w:before="0" w:after="240"/>
        <w:jc w:val="both"/>
        <w:rPr/>
      </w:pPr>
      <w:r>
        <w:rPr>
          <w:color w:val="000000"/>
        </w:rPr>
        <w:t>“</w:t>
      </w:r>
      <w:r>
        <w:rPr>
          <w:rFonts w:ascii="Times New Roman" w:hAnsi="Times New Roman"/>
          <w:b/>
          <w:i/>
          <w:color w:val="000000"/>
          <w:sz w:val="24"/>
        </w:rPr>
        <w:t>Initial Product</w:t>
      </w:r>
      <w:r>
        <w:rPr>
          <w:color w:val="000000"/>
        </w:rPr>
        <w:t xml:space="preserve">” </w:t>
      </w:r>
      <w:r>
        <w:rPr>
          <w:rFonts w:ascii="Times New Roman" w:hAnsi="Times New Roman"/>
          <w:color w:val="000000"/>
          <w:sz w:val="24"/>
        </w:rPr>
        <w:t>shall mean the Product (which shall utilize the Initial Device) that is intended to be the subject of the initial Regulatory Approval of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1.55</w:t>
      </w:r>
    </w:p>
    <w:p>
      <w:pPr>
        <w:pStyle w:val="TextBody"/>
        <w:bidi w:val="0"/>
        <w:spacing w:before="0" w:after="240"/>
        <w:jc w:val="both"/>
        <w:rPr/>
      </w:pPr>
      <w:r>
        <w:rPr>
          <w:color w:val="000000"/>
        </w:rPr>
        <w:t>“</w:t>
      </w:r>
      <w:r>
        <w:rPr>
          <w:rFonts w:ascii="Times New Roman" w:hAnsi="Times New Roman"/>
          <w:b/>
          <w:i/>
          <w:color w:val="000000"/>
          <w:sz w:val="24"/>
        </w:rPr>
        <w:t>Intervening Event</w:t>
      </w:r>
      <w:r>
        <w:rPr>
          <w:color w:val="000000"/>
        </w:rPr>
        <w:t xml:space="preserve">” </w:t>
      </w:r>
      <w:r>
        <w:rPr>
          <w:rFonts w:ascii="Times New Roman" w:hAnsi="Times New Roman"/>
          <w:color w:val="000000"/>
          <w:sz w:val="24"/>
        </w:rPr>
        <w:t xml:space="preserve">shall have the meaning set forth in Section 15.1.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1.56</w:t>
      </w:r>
    </w:p>
    <w:p>
      <w:pPr>
        <w:pStyle w:val="TextBody"/>
        <w:bidi w:val="0"/>
        <w:spacing w:before="0" w:after="240"/>
        <w:jc w:val="both"/>
        <w:rPr/>
      </w:pPr>
      <w:r>
        <w:rPr>
          <w:color w:val="000000"/>
        </w:rPr>
        <w:t>“</w:t>
      </w:r>
      <w:r>
        <w:rPr>
          <w:rFonts w:ascii="Times New Roman" w:hAnsi="Times New Roman"/>
          <w:b/>
          <w:i/>
          <w:color w:val="000000"/>
          <w:sz w:val="24"/>
        </w:rPr>
        <w:t>Inventions</w:t>
      </w:r>
      <w:r>
        <w:rPr>
          <w:color w:val="000000"/>
        </w:rPr>
        <w:t xml:space="preserve">” </w:t>
      </w:r>
      <w:r>
        <w:rPr>
          <w:rFonts w:ascii="Times New Roman" w:hAnsi="Times New Roman"/>
          <w:color w:val="000000"/>
          <w:sz w:val="24"/>
        </w:rPr>
        <w:t>shall have the meaning set forth in Section 9.1(b).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1.57</w:t>
      </w:r>
    </w:p>
    <w:p>
      <w:pPr>
        <w:pStyle w:val="TextBody"/>
        <w:bidi w:val="0"/>
        <w:spacing w:before="0" w:after="240"/>
        <w:jc w:val="both"/>
        <w:rPr/>
      </w:pPr>
      <w:r>
        <w:rPr>
          <w:color w:val="000000"/>
        </w:rPr>
        <w:t>“</w:t>
      </w:r>
      <w:r>
        <w:rPr>
          <w:rFonts w:ascii="Times New Roman" w:hAnsi="Times New Roman"/>
          <w:b/>
          <w:i/>
          <w:color w:val="000000"/>
          <w:sz w:val="24"/>
        </w:rPr>
        <w:t>Joint Inventions</w:t>
      </w:r>
      <w:r>
        <w:rPr>
          <w:color w:val="000000"/>
        </w:rPr>
        <w:t xml:space="preserve">” </w:t>
      </w:r>
      <w:r>
        <w:rPr>
          <w:rFonts w:ascii="Times New Roman" w:hAnsi="Times New Roman"/>
          <w:color w:val="000000"/>
          <w:sz w:val="24"/>
        </w:rPr>
        <w:t xml:space="preserve">shall have the meaning set forth in Section 9.1(b). </w:t>
      </w:r>
    </w:p>
    <w:p>
      <w:pPr>
        <w:pStyle w:val="TextBody"/>
        <w:bidi w:val="0"/>
        <w:jc w:val="left"/>
        <w:rPr>
          <w:rFonts w:ascii="Times New Roman" w:hAnsi="Times New Roman"/>
          <w:sz w:val="20"/>
        </w:rPr>
      </w:pPr>
      <w:r>
        <w:rPr>
          <w:rFonts w:ascii="Times New Roman" w:hAnsi="Times New Roman"/>
          <w:color w:val="000000"/>
          <w:sz w:val="24"/>
        </w:rPr>
        <w:t>7</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1.58</w:t>
      </w:r>
    </w:p>
    <w:p>
      <w:pPr>
        <w:pStyle w:val="TextBody"/>
        <w:bidi w:val="0"/>
        <w:spacing w:before="0" w:after="240"/>
        <w:jc w:val="both"/>
        <w:rPr/>
      </w:pPr>
      <w:r>
        <w:rPr>
          <w:color w:val="000000"/>
        </w:rPr>
        <w:t>“</w:t>
      </w:r>
      <w:r>
        <w:rPr>
          <w:rFonts w:ascii="Times New Roman" w:hAnsi="Times New Roman"/>
          <w:b/>
          <w:i/>
          <w:color w:val="000000"/>
          <w:sz w:val="24"/>
        </w:rPr>
        <w:t>Joint Patents</w:t>
      </w:r>
      <w:r>
        <w:rPr>
          <w:color w:val="000000"/>
        </w:rPr>
        <w:t xml:space="preserve">” </w:t>
      </w:r>
      <w:r>
        <w:rPr>
          <w:rFonts w:ascii="Times New Roman" w:hAnsi="Times New Roman"/>
          <w:color w:val="000000"/>
          <w:sz w:val="24"/>
        </w:rPr>
        <w:t xml:space="preserve">shall mean all Patents claiming any Joint Invention.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1.59</w:t>
      </w:r>
    </w:p>
    <w:p>
      <w:pPr>
        <w:pStyle w:val="TextBody"/>
        <w:bidi w:val="0"/>
        <w:spacing w:before="0" w:after="240"/>
        <w:jc w:val="both"/>
        <w:rPr/>
      </w:pPr>
      <w:r>
        <w:rPr>
          <w:color w:val="000000"/>
        </w:rPr>
        <w:t>“</w:t>
      </w:r>
      <w:r>
        <w:rPr>
          <w:rFonts w:ascii="Times New Roman" w:hAnsi="Times New Roman"/>
          <w:b/>
          <w:i/>
          <w:color w:val="000000"/>
          <w:sz w:val="24"/>
        </w:rPr>
        <w:t>Loss of Market Exclusivity</w:t>
      </w:r>
      <w:r>
        <w:rPr>
          <w:color w:val="000000"/>
        </w:rPr>
        <w:t xml:space="preserve">” </w:t>
      </w:r>
      <w:r>
        <w:rPr>
          <w:rFonts w:ascii="Times New Roman" w:hAnsi="Times New Roman"/>
          <w:color w:val="000000"/>
          <w:sz w:val="24"/>
        </w:rPr>
        <w:t>shall mean with respect to a specified country in the Territory, the reduction by [***]% or more in any 12-month period in Net Sales of Product due to the sale in such country of any interchangeable pharmaceutical product containing a fumaryl diketopiperazine-based formulation of the same active ingredient as Product, which are marketed by any entity or entities other than United Therapeutics or any of its Affiliates or sublicensees in such country, as compared with the 12-month period immediately prior to the 12-month period in which the sale of any such pharmaceutical product first occurred (as measured by reputable published data, e.g. by reference to market share data collected by IMS).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1.60</w:t>
      </w:r>
    </w:p>
    <w:p>
      <w:pPr>
        <w:pStyle w:val="TextBody"/>
        <w:bidi w:val="0"/>
        <w:spacing w:before="0" w:after="240"/>
        <w:jc w:val="both"/>
        <w:rPr/>
      </w:pPr>
      <w:r>
        <w:rPr>
          <w:color w:val="000000"/>
        </w:rPr>
        <w:t>“</w:t>
      </w:r>
      <w:r>
        <w:rPr>
          <w:rFonts w:ascii="Times New Roman" w:hAnsi="Times New Roman"/>
          <w:b/>
          <w:i/>
          <w:color w:val="000000"/>
          <w:sz w:val="24"/>
        </w:rPr>
        <w:t>Losses</w:t>
      </w:r>
      <w:r>
        <w:rPr>
          <w:color w:val="000000"/>
        </w:rPr>
        <w:t xml:space="preserve">” </w:t>
      </w:r>
      <w:r>
        <w:rPr>
          <w:rFonts w:ascii="Times New Roman" w:hAnsi="Times New Roman"/>
          <w:color w:val="000000"/>
          <w:sz w:val="24"/>
        </w:rPr>
        <w:t xml:space="preserve">shall have the meaning set forth in Section 11.1.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1.61</w:t>
      </w:r>
    </w:p>
    <w:p>
      <w:pPr>
        <w:pStyle w:val="TextBody"/>
        <w:bidi w:val="0"/>
        <w:spacing w:before="0" w:after="240"/>
        <w:jc w:val="both"/>
        <w:rPr/>
      </w:pPr>
      <w:r>
        <w:rPr>
          <w:color w:val="000000"/>
        </w:rPr>
        <w:t>“</w:t>
      </w:r>
      <w:r>
        <w:rPr>
          <w:rFonts w:ascii="Times New Roman" w:hAnsi="Times New Roman"/>
          <w:b/>
          <w:i/>
          <w:color w:val="000000"/>
          <w:sz w:val="24"/>
        </w:rPr>
        <w:t>Major Market Country</w:t>
      </w:r>
      <w:r>
        <w:rPr>
          <w:color w:val="000000"/>
        </w:rPr>
        <w:t xml:space="preserve">” </w:t>
      </w:r>
      <w:r>
        <w:rPr>
          <w:rFonts w:ascii="Times New Roman" w:hAnsi="Times New Roman"/>
          <w:color w:val="000000"/>
          <w:sz w:val="24"/>
        </w:rPr>
        <w:t>shall mean each of</w:t>
      </w:r>
      <w:r>
        <w:rPr>
          <w:color w:val="000000"/>
        </w:rPr>
        <w:t xml:space="preserve"> </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1.62</w:t>
      </w:r>
    </w:p>
    <w:p>
      <w:pPr>
        <w:pStyle w:val="TextBody"/>
        <w:bidi w:val="0"/>
        <w:spacing w:before="0" w:after="240"/>
        <w:jc w:val="both"/>
        <w:rPr/>
      </w:pPr>
      <w:r>
        <w:rPr>
          <w:color w:val="000000"/>
        </w:rPr>
        <w:t>“</w:t>
      </w:r>
      <w:r>
        <w:rPr>
          <w:rFonts w:ascii="Times New Roman" w:hAnsi="Times New Roman"/>
          <w:b/>
          <w:i/>
          <w:color w:val="000000"/>
          <w:sz w:val="24"/>
        </w:rPr>
        <w:t>MannKind Indemnitees</w:t>
      </w:r>
      <w:r>
        <w:rPr>
          <w:color w:val="000000"/>
        </w:rPr>
        <w:t xml:space="preserve">” </w:t>
      </w:r>
      <w:r>
        <w:rPr>
          <w:rFonts w:ascii="Times New Roman" w:hAnsi="Times New Roman"/>
          <w:color w:val="000000"/>
          <w:sz w:val="24"/>
        </w:rPr>
        <w:t>shall have the meaning set forth in Section 11.1.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1.63</w:t>
      </w:r>
    </w:p>
    <w:p>
      <w:pPr>
        <w:pStyle w:val="TextBody"/>
        <w:bidi w:val="0"/>
        <w:spacing w:before="0" w:after="240"/>
        <w:jc w:val="both"/>
        <w:rPr/>
      </w:pPr>
      <w:r>
        <w:rPr>
          <w:color w:val="000000"/>
        </w:rPr>
        <w:t>“</w:t>
      </w:r>
      <w:r>
        <w:rPr>
          <w:rFonts w:ascii="Times New Roman" w:hAnsi="Times New Roman"/>
          <w:b/>
          <w:i/>
          <w:color w:val="000000"/>
          <w:sz w:val="24"/>
        </w:rPr>
        <w:t>MannKind Know-How</w:t>
      </w:r>
      <w:r>
        <w:rPr>
          <w:color w:val="000000"/>
        </w:rPr>
        <w:t xml:space="preserve">” </w:t>
      </w:r>
      <w:r>
        <w:rPr>
          <w:rFonts w:ascii="Times New Roman" w:hAnsi="Times New Roman"/>
          <w:color w:val="000000"/>
          <w:sz w:val="24"/>
        </w:rPr>
        <w:t>shall mean all Information not included in the MannKind Patents that is Controlled by MannKind or any of its Affiliates (subject to Section 15.9) as of the Effective Date or during the Term that is necessary or reasonably useful for the development, manufacture, use, import, offer for sale or sale of Product in the Field, including all such Information related to the design and utility of the Device and to the creation of a Formulation, and any replication or any part of such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1.64</w:t>
      </w:r>
    </w:p>
    <w:p>
      <w:pPr>
        <w:pStyle w:val="TextBody"/>
        <w:bidi w:val="0"/>
        <w:spacing w:before="0" w:after="240"/>
        <w:jc w:val="both"/>
        <w:rPr/>
      </w:pPr>
      <w:r>
        <w:rPr>
          <w:color w:val="000000"/>
        </w:rPr>
        <w:t>“</w:t>
      </w:r>
      <w:r>
        <w:rPr>
          <w:rFonts w:ascii="Times New Roman" w:hAnsi="Times New Roman"/>
          <w:b/>
          <w:i/>
          <w:color w:val="000000"/>
          <w:sz w:val="24"/>
        </w:rPr>
        <w:t>MannKind Patents</w:t>
      </w:r>
      <w:r>
        <w:rPr>
          <w:color w:val="000000"/>
        </w:rPr>
        <w:t xml:space="preserve">” </w:t>
      </w:r>
      <w:r>
        <w:rPr>
          <w:rFonts w:ascii="Times New Roman" w:hAnsi="Times New Roman"/>
          <w:color w:val="000000"/>
          <w:sz w:val="24"/>
        </w:rPr>
        <w:t>shall mean all Patents Controlled by MannKind or any of its Affiliates (subject to Section 15.9) as of the Effective Date or during the Term that claim or disclose Product or its components, or are necessary or reasonably useful for the development, manufacture, use, import, offer for sale, or sale of Product in the Field in the Territory, including all such Patents claiming or covering the design or utility of a Device or a Formulation, but excluding any Joint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1.65</w:t>
      </w:r>
    </w:p>
    <w:p>
      <w:pPr>
        <w:pStyle w:val="TextBody"/>
        <w:bidi w:val="0"/>
        <w:spacing w:before="0" w:after="240"/>
        <w:jc w:val="both"/>
        <w:rPr/>
      </w:pPr>
      <w:r>
        <w:rPr>
          <w:color w:val="000000"/>
        </w:rPr>
        <w:t>“</w:t>
      </w:r>
      <w:r>
        <w:rPr>
          <w:rFonts w:ascii="Times New Roman" w:hAnsi="Times New Roman"/>
          <w:b/>
          <w:i/>
          <w:color w:val="000000"/>
          <w:sz w:val="24"/>
        </w:rPr>
        <w:t>MannKind Technology</w:t>
      </w:r>
      <w:r>
        <w:rPr>
          <w:color w:val="000000"/>
        </w:rPr>
        <w:t xml:space="preserve">” </w:t>
      </w:r>
      <w:r>
        <w:rPr>
          <w:rFonts w:ascii="Times New Roman" w:hAnsi="Times New Roman"/>
          <w:color w:val="000000"/>
          <w:sz w:val="24"/>
        </w:rPr>
        <w:t>shall mean all MannKind Know-How, MannKind Patents and MannKind’s or its Affiliate’s interest in Joint Patents and Joint Inventions.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1.66</w:t>
      </w:r>
    </w:p>
    <w:p>
      <w:pPr>
        <w:pStyle w:val="TextBody"/>
        <w:bidi w:val="0"/>
        <w:spacing w:before="0" w:after="240"/>
        <w:jc w:val="both"/>
        <w:rPr/>
      </w:pPr>
      <w:r>
        <w:rPr>
          <w:color w:val="000000"/>
        </w:rPr>
        <w:t>“</w:t>
      </w:r>
      <w:r>
        <w:rPr>
          <w:rFonts w:ascii="Times New Roman" w:hAnsi="Times New Roman"/>
          <w:b/>
          <w:i/>
          <w:color w:val="000000"/>
          <w:sz w:val="24"/>
        </w:rPr>
        <w:t>Manufacturing Information</w:t>
      </w:r>
      <w:r>
        <w:rPr>
          <w:color w:val="000000"/>
        </w:rPr>
        <w:t xml:space="preserve">” </w:t>
      </w:r>
      <w:r>
        <w:rPr>
          <w:rFonts w:ascii="Times New Roman" w:hAnsi="Times New Roman"/>
          <w:color w:val="000000"/>
          <w:sz w:val="24"/>
        </w:rPr>
        <w:t>shall mean all Information within the MannKind Know-How and MannKind Patents</w:t>
      </w:r>
      <w:r>
        <w:rPr>
          <w:color w:val="000000"/>
        </w:rPr>
        <w:t xml:space="preserve"> </w:t>
      </w:r>
      <w:r>
        <w:rPr>
          <w:rFonts w:ascii="Times New Roman" w:hAnsi="Times New Roman"/>
          <w:color w:val="000000"/>
          <w:sz w:val="24"/>
        </w:rPr>
        <w:t xml:space="preserve">that is necessary or useful for the manufacture, assembly, test, operation and service of Product, including (a) such Information contained in the CMC section of any applicable Regulatory Filing, (b) any Information that MannKind has provided to its Approved Suppliers in relation to the Component Parts and Bulk FDKP supplied by them, (c) all processes and procedures for the manufacture of the Processed FDKP, and all necessary or useful specifications for any specialized equipment used in MannKind’s facility to so manufacture the Processed FDKP, (d) all assembly procedures for Devices and all necessary or useful specifications for any specialized equipment used in the Danbury facility to assemble Devices, and (e) all batch record procedures for manufacture of Product. </w:t>
      </w:r>
    </w:p>
    <w:p>
      <w:pPr>
        <w:pStyle w:val="TextBody"/>
        <w:bidi w:val="0"/>
        <w:jc w:val="left"/>
        <w:rPr>
          <w:rFonts w:ascii="Times New Roman" w:hAnsi="Times New Roman"/>
          <w:sz w:val="20"/>
        </w:rPr>
      </w:pPr>
      <w:r>
        <w:rPr>
          <w:rFonts w:ascii="Times New Roman" w:hAnsi="Times New Roman"/>
          <w:color w:val="000000"/>
          <w:sz w:val="24"/>
        </w:rPr>
        <w:t>8</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1.67</w:t>
      </w:r>
    </w:p>
    <w:p>
      <w:pPr>
        <w:pStyle w:val="TextBody"/>
        <w:bidi w:val="0"/>
        <w:spacing w:before="0" w:after="240"/>
        <w:jc w:val="both"/>
        <w:rPr/>
      </w:pPr>
      <w:r>
        <w:rPr>
          <w:color w:val="000000"/>
        </w:rPr>
        <w:t>“</w:t>
      </w:r>
      <w:r>
        <w:rPr>
          <w:rFonts w:ascii="Times New Roman" w:hAnsi="Times New Roman"/>
          <w:b/>
          <w:i/>
          <w:color w:val="000000"/>
          <w:sz w:val="24"/>
        </w:rPr>
        <w:t>Marketing Approval</w:t>
      </w:r>
      <w:r>
        <w:rPr>
          <w:color w:val="000000"/>
        </w:rPr>
        <w:t xml:space="preserve">” </w:t>
      </w:r>
      <w:r>
        <w:rPr>
          <w:rFonts w:ascii="Times New Roman" w:hAnsi="Times New Roman"/>
          <w:color w:val="000000"/>
          <w:sz w:val="24"/>
        </w:rPr>
        <w:t>shall mean all clearances, approvals, licenses, registrations or authorizations of Regulatory Authorities in a country necessary for the manufacture, use, storage, import, export, distribution, promotion, marketing, offer for sale and sale of a pharmaceutical product and/or medical device in such country. For countries where governmental approval is required for pricing or reimbursement for a pharmaceutical product to be reimbursed by national health insurance (or its local equivalent), “Marketing Approval” shall not be deemed to occur until such pricing or reimbursement approval is obtained.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1.68</w:t>
      </w:r>
    </w:p>
    <w:p>
      <w:pPr>
        <w:pStyle w:val="TextBody"/>
        <w:bidi w:val="0"/>
        <w:spacing w:before="0" w:after="240"/>
        <w:jc w:val="both"/>
        <w:rPr/>
      </w:pPr>
      <w:r>
        <w:rPr>
          <w:color w:val="000000"/>
        </w:rPr>
        <w:t>“</w:t>
      </w:r>
      <w:r>
        <w:rPr>
          <w:rFonts w:ascii="Times New Roman" w:hAnsi="Times New Roman"/>
          <w:b/>
          <w:i/>
          <w:color w:val="000000"/>
          <w:sz w:val="24"/>
        </w:rPr>
        <w:t>NDC</w:t>
      </w:r>
      <w:r>
        <w:rPr>
          <w:color w:val="000000"/>
        </w:rPr>
        <w:t xml:space="preserve">” </w:t>
      </w:r>
      <w:r>
        <w:rPr>
          <w:rFonts w:ascii="Times New Roman" w:hAnsi="Times New Roman"/>
          <w:color w:val="000000"/>
          <w:sz w:val="24"/>
        </w:rPr>
        <w:t>shall have the meaning set forth in Section 13.2(c).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1.69</w:t>
      </w:r>
    </w:p>
    <w:p>
      <w:pPr>
        <w:pStyle w:val="TextBody"/>
        <w:bidi w:val="0"/>
        <w:spacing w:before="0" w:after="240"/>
        <w:jc w:val="both"/>
        <w:rPr/>
      </w:pPr>
      <w:r>
        <w:rPr>
          <w:color w:val="000000"/>
        </w:rPr>
        <w:t>“</w:t>
      </w:r>
      <w:r>
        <w:rPr>
          <w:rFonts w:ascii="Times New Roman" w:hAnsi="Times New Roman"/>
          <w:b/>
          <w:i/>
          <w:color w:val="000000"/>
          <w:sz w:val="24"/>
        </w:rPr>
        <w:t>Net Sales</w:t>
      </w:r>
      <w:r>
        <w:rPr>
          <w:color w:val="000000"/>
        </w:rPr>
        <w:t xml:space="preserve">” </w:t>
      </w:r>
      <w:r>
        <w:rPr>
          <w:rFonts w:ascii="Times New Roman" w:hAnsi="Times New Roman"/>
          <w:color w:val="000000"/>
          <w:sz w:val="24"/>
        </w:rPr>
        <w:t xml:space="preserve">shall mean the net sales recorded by United Therapeutics or its Affiliates or sublicensees for the sale or disposition of Product to Third Parties (other than sublicensees) in </w:t>
      </w:r>
      <w:r>
        <w:rPr>
          <w:rFonts w:ascii="Times New Roman" w:hAnsi="Times New Roman"/>
          <w:i/>
          <w:color w:val="000000"/>
          <w:sz w:val="24"/>
        </w:rPr>
        <w:t>bona fide</w:t>
      </w:r>
      <w:r>
        <w:rPr>
          <w:color w:val="000000"/>
        </w:rPr>
        <w:t xml:space="preserve"> </w:t>
      </w:r>
      <w:r>
        <w:rPr>
          <w:rFonts w:ascii="Times New Roman" w:hAnsi="Times New Roman"/>
          <w:color w:val="000000"/>
          <w:sz w:val="24"/>
        </w:rPr>
        <w:t xml:space="preserve">arm’s length transactions, as determined in accordance with GAAP and as reported in United Therapeutics’ audited financial statements. The recorded net sales shall be equal to gross sales minus appropriate deductions, each to the extent actually incurred, allowed, taken or paid and not otherwise recovered, which shall be booked on an accrual basis by United Therapeutics and its Affiliates and sublicensees under GAAP, such as: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trade, quantity and cash discounts;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rebates, chargebacks, reimbursements, fees or similar payments to wholesalers and other distributors, pharmacies and other retailers, buying groups (including group purchasing organizations), health care insurance carriers, pharmacy benefit management companies, health maintenance organizations, Governmental Authorities, or other institutions or health care organizations, including Medicare, Medicaid, Managed Healthcare and similar types of rebates;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amounts repaid or credited by reasons of defects, rejections, recalls or returns of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amounts provided or credited to customers through coupons and other discount programs;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costs of freight, insurance, import/export, and other transportation charges directly related to the distribution of Product, to the extent included in gross sales;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portion of the annual fee on prescription drug manufacturers imposed by the Patient Protection and Affordable Care Act, Pub. L. No. 111-148 (as amended) and reasonably allocable to sales of the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bad debts and uncollectable invoiced amounts, provided that any such amounts subsequently collected will be included in Net Sales;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taxes, duties or other governmental charges (including any tax such as a value added or similar tax or government charge other than an income tax) levied on or measured by the billing amount for Product, as adjusted for rebates and refunds;</w:t>
      </w:r>
    </w:p>
    <w:p>
      <w:pPr>
        <w:pStyle w:val="TextBody"/>
        <w:bidi w:val="0"/>
        <w:jc w:val="left"/>
        <w:rPr>
          <w:rFonts w:ascii="Times New Roman" w:hAnsi="Times New Roman"/>
          <w:sz w:val="20"/>
        </w:rPr>
      </w:pPr>
      <w:r>
        <w:rPr>
          <w:rFonts w:ascii="Times New Roman" w:hAnsi="Times New Roman"/>
          <w:color w:val="000000"/>
          <w:sz w:val="24"/>
        </w:rPr>
        <w:t>9</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delayed ship order credits, discounts or payments related to the impact of price increases between purchase and shipping dates;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customary deductions that are consistent with GAAP, but which may not be duplicative of the deductions specified in (a) – (i) above.</w:t>
      </w:r>
    </w:p>
    <w:p>
      <w:pPr>
        <w:pStyle w:val="TextBody"/>
        <w:bidi w:val="0"/>
        <w:spacing w:before="0" w:after="240"/>
        <w:jc w:val="both"/>
        <w:rPr>
          <w:rFonts w:ascii="Times New Roman" w:hAnsi="Times New Roman"/>
          <w:sz w:val="20"/>
        </w:rPr>
      </w:pPr>
      <w:r>
        <w:rPr>
          <w:rFonts w:ascii="Times New Roman" w:hAnsi="Times New Roman"/>
          <w:color w:val="000000"/>
          <w:sz w:val="24"/>
        </w:rPr>
        <w:t>In no event will any particular amount identified above be deducted more than once in calculating Net Sales (i.e., no “double counting” of reductions). Sales of Product between United Therapeutics and its Affiliates and sublicensees for resale shall be excluded from the computation of Net Sales, but the subsequent resale of such Product to a Third Party (other than a sublicensee) shall be included within the computation of Net Sales. Neither United Therapeutics nor any of its Affiliates or sublicensees shall sell any Product for any non-monetary consideration. Notwithstanding anything to the contrary herein, disposal or use of Product for, marketing, regulatory or development purposes, such as clinical trials, compassionate use or indigent patient programs, without direct or indirect consideration, shall not be deemed a sale for purposes of this Net Sales definition.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1.70</w:t>
      </w:r>
    </w:p>
    <w:p>
      <w:pPr>
        <w:pStyle w:val="TextBody"/>
        <w:bidi w:val="0"/>
        <w:spacing w:before="0" w:after="240"/>
        <w:jc w:val="both"/>
        <w:rPr/>
      </w:pPr>
      <w:r>
        <w:rPr>
          <w:color w:val="000000"/>
        </w:rPr>
        <w:t>“</w:t>
      </w:r>
      <w:r>
        <w:rPr>
          <w:rFonts w:ascii="Times New Roman" w:hAnsi="Times New Roman"/>
          <w:b/>
          <w:i/>
          <w:color w:val="000000"/>
          <w:sz w:val="24"/>
        </w:rPr>
        <w:t>Option</w:t>
      </w:r>
      <w:r>
        <w:rPr>
          <w:color w:val="000000"/>
        </w:rPr>
        <w:t xml:space="preserve">” </w:t>
      </w:r>
      <w:r>
        <w:rPr>
          <w:rFonts w:ascii="Times New Roman" w:hAnsi="Times New Roman"/>
          <w:color w:val="000000"/>
          <w:sz w:val="24"/>
        </w:rPr>
        <w:t>shall have the meaning set forth in Section 2.6(a).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1.71</w:t>
      </w:r>
    </w:p>
    <w:p>
      <w:pPr>
        <w:pStyle w:val="TextBody"/>
        <w:bidi w:val="0"/>
        <w:spacing w:before="0" w:after="240"/>
        <w:jc w:val="both"/>
        <w:rPr/>
      </w:pPr>
      <w:r>
        <w:rPr>
          <w:color w:val="000000"/>
        </w:rPr>
        <w:t>“</w:t>
      </w:r>
      <w:r>
        <w:rPr>
          <w:rFonts w:ascii="Times New Roman" w:hAnsi="Times New Roman"/>
          <w:b/>
          <w:i/>
          <w:color w:val="000000"/>
          <w:sz w:val="24"/>
        </w:rPr>
        <w:t>Optioned Agent</w:t>
      </w:r>
      <w:r>
        <w:rPr>
          <w:color w:val="000000"/>
        </w:rPr>
        <w:t xml:space="preserve">” </w:t>
      </w:r>
      <w:r>
        <w:rPr>
          <w:rFonts w:ascii="Times New Roman" w:hAnsi="Times New Roman"/>
          <w:color w:val="000000"/>
          <w:sz w:val="24"/>
        </w:rPr>
        <w:t>shall mean (a) [***] or (b) any Other Agent that is indicated for use (or being developed for use) in the treatment of Pulmonary Hypertension or is being developed with the objective of seeking approval for the treatment of Pulmonary Hypertension.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1.72</w:t>
      </w:r>
    </w:p>
    <w:p>
      <w:pPr>
        <w:pStyle w:val="TextBody"/>
        <w:bidi w:val="0"/>
        <w:spacing w:before="0" w:after="240"/>
        <w:jc w:val="both"/>
        <w:rPr/>
      </w:pPr>
      <w:r>
        <w:rPr>
          <w:color w:val="000000"/>
        </w:rPr>
        <w:t>“</w:t>
      </w:r>
      <w:r>
        <w:rPr>
          <w:rFonts w:ascii="Times New Roman" w:hAnsi="Times New Roman"/>
          <w:b/>
          <w:i/>
          <w:color w:val="000000"/>
          <w:sz w:val="24"/>
        </w:rPr>
        <w:t>Option Exercise Fee</w:t>
      </w:r>
      <w:r>
        <w:rPr>
          <w:color w:val="000000"/>
        </w:rPr>
        <w:t xml:space="preserve">” </w:t>
      </w:r>
      <w:r>
        <w:rPr>
          <w:rFonts w:ascii="Times New Roman" w:hAnsi="Times New Roman"/>
          <w:color w:val="000000"/>
          <w:sz w:val="24"/>
        </w:rPr>
        <w:t>shall mean, with respect to each Optioned Agent, a non-refundable, non-creditable fee 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1.73</w:t>
      </w:r>
    </w:p>
    <w:p>
      <w:pPr>
        <w:pStyle w:val="TextBody"/>
        <w:bidi w:val="0"/>
        <w:spacing w:before="0" w:after="240"/>
        <w:jc w:val="both"/>
        <w:rPr/>
      </w:pPr>
      <w:r>
        <w:rPr>
          <w:color w:val="000000"/>
        </w:rPr>
        <w:t>“</w:t>
      </w:r>
      <w:r>
        <w:rPr>
          <w:rFonts w:ascii="Times New Roman" w:hAnsi="Times New Roman"/>
          <w:b/>
          <w:i/>
          <w:color w:val="000000"/>
          <w:sz w:val="24"/>
        </w:rPr>
        <w:t>Other Agent</w:t>
      </w:r>
      <w:r>
        <w:rPr>
          <w:color w:val="000000"/>
        </w:rPr>
        <w:t xml:space="preserve">” </w:t>
      </w:r>
      <w:r>
        <w:rPr>
          <w:rFonts w:ascii="Times New Roman" w:hAnsi="Times New Roman"/>
          <w:color w:val="000000"/>
          <w:sz w:val="24"/>
        </w:rPr>
        <w:t>shall mean an active pharmaceutical ingredient that is not a Prostacyclin, a [***] or 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1.74</w:t>
      </w:r>
    </w:p>
    <w:p>
      <w:pPr>
        <w:pStyle w:val="TextBody"/>
        <w:bidi w:val="0"/>
        <w:spacing w:before="0" w:after="240"/>
        <w:jc w:val="both"/>
        <w:rPr/>
      </w:pPr>
      <w:r>
        <w:rPr>
          <w:color w:val="000000"/>
        </w:rPr>
        <w:t>“</w:t>
      </w:r>
      <w:r>
        <w:rPr>
          <w:rFonts w:ascii="Times New Roman" w:hAnsi="Times New Roman"/>
          <w:b/>
          <w:i/>
          <w:color w:val="000000"/>
          <w:sz w:val="24"/>
        </w:rPr>
        <w:t>Party</w:t>
      </w:r>
      <w:r>
        <w:rPr>
          <w:color w:val="000000"/>
        </w:rPr>
        <w:t xml:space="preserve">” </w:t>
      </w:r>
      <w:r>
        <w:rPr>
          <w:rFonts w:ascii="Times New Roman" w:hAnsi="Times New Roman"/>
          <w:color w:val="000000"/>
          <w:sz w:val="24"/>
        </w:rPr>
        <w:t>shall mean MannKind or United Therapeutics individually, and “</w:t>
      </w:r>
      <w:r>
        <w:rPr>
          <w:rFonts w:ascii="Times New Roman" w:hAnsi="Times New Roman"/>
          <w:b/>
          <w:i/>
          <w:color w:val="000000"/>
          <w:sz w:val="24"/>
        </w:rPr>
        <w:t>Parties</w:t>
      </w:r>
      <w:r>
        <w:rPr>
          <w:color w:val="000000"/>
        </w:rPr>
        <w:t xml:space="preserve">” </w:t>
      </w:r>
      <w:r>
        <w:rPr>
          <w:rFonts w:ascii="Times New Roman" w:hAnsi="Times New Roman"/>
          <w:color w:val="000000"/>
          <w:sz w:val="24"/>
        </w:rPr>
        <w:t>shall mean MannKind and United Therapeutics collectively.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1.75</w:t>
      </w:r>
    </w:p>
    <w:p>
      <w:pPr>
        <w:pStyle w:val="TextBody"/>
        <w:bidi w:val="0"/>
        <w:spacing w:before="0" w:after="240"/>
        <w:jc w:val="both"/>
        <w:rPr/>
      </w:pPr>
      <w:r>
        <w:rPr>
          <w:color w:val="000000"/>
        </w:rPr>
        <w:t>“</w:t>
      </w:r>
      <w:r>
        <w:rPr>
          <w:rFonts w:ascii="Times New Roman" w:hAnsi="Times New Roman"/>
          <w:b/>
          <w:i/>
          <w:color w:val="000000"/>
          <w:sz w:val="24"/>
        </w:rPr>
        <w:t>Patent(s)</w:t>
      </w:r>
      <w:r>
        <w:rPr>
          <w:color w:val="000000"/>
        </w:rPr>
        <w:t xml:space="preserve">” </w:t>
      </w:r>
      <w:r>
        <w:rPr>
          <w:rFonts w:ascii="Times New Roman" w:hAnsi="Times New Roman"/>
          <w:color w:val="000000"/>
          <w:sz w:val="24"/>
        </w:rPr>
        <w:t>shall mean (a) all patents, certificates of invention, applications for certificates of invention, priority patent filings and patent applications, and (b) any renewal, division, continuation (in whole or in part), or request for continued examination of any of such patents, certificates of invention and patent applications, and any all patents or certificates of invention issuing thereon, and any and all reissues, reexaminations, extensions, divisions, renewals, substitutions, confirmations, registrations, revalidations, revisions, and additions of or to any of the foregoing.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1.76</w:t>
      </w:r>
    </w:p>
    <w:p>
      <w:pPr>
        <w:pStyle w:val="TextBody"/>
        <w:bidi w:val="0"/>
        <w:spacing w:before="0" w:after="240"/>
        <w:jc w:val="both"/>
        <w:rPr/>
      </w:pPr>
      <w:r>
        <w:rPr>
          <w:color w:val="000000"/>
        </w:rPr>
        <w:t>“</w:t>
      </w:r>
      <w:r>
        <w:rPr>
          <w:rFonts w:ascii="Times New Roman" w:hAnsi="Times New Roman"/>
          <w:b/>
          <w:i/>
          <w:color w:val="000000"/>
          <w:sz w:val="24"/>
        </w:rPr>
        <w:t>Person</w:t>
      </w:r>
      <w:r>
        <w:rPr>
          <w:color w:val="000000"/>
        </w:rPr>
        <w:t xml:space="preserve">” </w:t>
      </w:r>
      <w:r>
        <w:rPr>
          <w:rFonts w:ascii="Times New Roman" w:hAnsi="Times New Roman"/>
          <w:color w:val="000000"/>
          <w:sz w:val="24"/>
        </w:rPr>
        <w:t>shall mean any individual, corporation, partnership, limited liability company, trust, governmental entity, or other legal entity of any nature whatsoever.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1.77</w:t>
      </w:r>
    </w:p>
    <w:p>
      <w:pPr>
        <w:pStyle w:val="TextBody"/>
        <w:bidi w:val="0"/>
        <w:spacing w:before="0" w:after="240"/>
        <w:jc w:val="both"/>
        <w:rPr/>
      </w:pPr>
      <w:r>
        <w:rPr>
          <w:color w:val="000000"/>
        </w:rPr>
        <w:t>“</w:t>
      </w:r>
      <w:r>
        <w:rPr>
          <w:rFonts w:ascii="Times New Roman" w:hAnsi="Times New Roman"/>
          <w:b/>
          <w:i/>
          <w:color w:val="000000"/>
          <w:sz w:val="24"/>
        </w:rPr>
        <w:t>Processed FDKP</w:t>
      </w:r>
      <w:r>
        <w:rPr>
          <w:color w:val="000000"/>
        </w:rPr>
        <w:t xml:space="preserve">” </w:t>
      </w:r>
      <w:r>
        <w:rPr>
          <w:rFonts w:ascii="Times New Roman" w:hAnsi="Times New Roman"/>
          <w:color w:val="000000"/>
          <w:sz w:val="24"/>
        </w:rPr>
        <w:t>means a suspension or dried preparation of fumaryl diketopiperazine that is a component of a Formulation.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1.78</w:t>
      </w:r>
    </w:p>
    <w:p>
      <w:pPr>
        <w:pStyle w:val="TextBody"/>
        <w:bidi w:val="0"/>
        <w:spacing w:before="0" w:after="240"/>
        <w:jc w:val="both"/>
        <w:rPr/>
      </w:pPr>
      <w:r>
        <w:rPr>
          <w:color w:val="000000"/>
        </w:rPr>
        <w:t>“</w:t>
      </w:r>
      <w:r>
        <w:rPr>
          <w:rFonts w:ascii="Times New Roman" w:hAnsi="Times New Roman"/>
          <w:b/>
          <w:i/>
          <w:color w:val="000000"/>
          <w:sz w:val="24"/>
        </w:rPr>
        <w:t>Product</w:t>
      </w:r>
      <w:r>
        <w:rPr>
          <w:color w:val="000000"/>
        </w:rPr>
        <w:t xml:space="preserve">” </w:t>
      </w:r>
      <w:r>
        <w:rPr>
          <w:rFonts w:ascii="Times New Roman" w:hAnsi="Times New Roman"/>
          <w:color w:val="000000"/>
          <w:sz w:val="24"/>
        </w:rPr>
        <w:t xml:space="preserve">shall mean a product in a form suitable for human applications consisting of (a) a Formulation that contains API for use in an inhalation device or a Device, (b) a Device, but only to the extent that it is sold (or intended to be sold) for use with such a Formulation </w:t>
      </w:r>
    </w:p>
    <w:p>
      <w:pPr>
        <w:pStyle w:val="TextBody"/>
        <w:bidi w:val="0"/>
        <w:jc w:val="left"/>
        <w:rPr>
          <w:rFonts w:ascii="Times New Roman" w:hAnsi="Times New Roman"/>
          <w:sz w:val="20"/>
        </w:rPr>
      </w:pPr>
      <w:r>
        <w:rPr>
          <w:rFonts w:ascii="Times New Roman" w:hAnsi="Times New Roman"/>
          <w:color w:val="000000"/>
          <w:sz w:val="24"/>
        </w:rPr>
        <w:t>10</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described in clause (a), (c) both a Device and such a Formulation described in clause (a) for use together, or (d) an Accessory Apparatus for use with the Product configuration described in (c), in each case, including all improvements incorporated therein. For clarification, Product shall not include a Device to the extent that it is sold (or intended to be sold) for administration of a Formulation that contains an active pharmaceutical ingredient other than API unless such active pharmaceutical ingredient is an Optioned Agent that has been added to this Agreement pursuant to Section 2.6.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1.79</w:t>
      </w:r>
    </w:p>
    <w:p>
      <w:pPr>
        <w:pStyle w:val="TextBody"/>
        <w:bidi w:val="0"/>
        <w:spacing w:before="0" w:after="240"/>
        <w:jc w:val="both"/>
        <w:rPr/>
      </w:pPr>
      <w:r>
        <w:rPr>
          <w:color w:val="000000"/>
        </w:rPr>
        <w:t>“</w:t>
      </w:r>
      <w:r>
        <w:rPr>
          <w:rFonts w:ascii="Times New Roman" w:hAnsi="Times New Roman"/>
          <w:b/>
          <w:i/>
          <w:color w:val="000000"/>
          <w:sz w:val="24"/>
        </w:rPr>
        <w:t>Prostacyclin</w:t>
      </w:r>
      <w:r>
        <w:rPr>
          <w:color w:val="000000"/>
        </w:rPr>
        <w:t xml:space="preserve">” </w:t>
      </w:r>
      <w:r>
        <w:rPr>
          <w:rFonts w:ascii="Times New Roman" w:hAnsi="Times New Roman"/>
          <w:color w:val="000000"/>
          <w:sz w:val="24"/>
        </w:rPr>
        <w:t xml:space="preserve">shall mean a prostacyclin, a prostacyclin analog and a prostacyclin receptor agonist. For clarity, the API is a Prostacyclin.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1.80</w:t>
      </w:r>
    </w:p>
    <w:p>
      <w:pPr>
        <w:pStyle w:val="TextBody"/>
        <w:bidi w:val="0"/>
        <w:spacing w:before="0" w:after="240"/>
        <w:jc w:val="both"/>
        <w:rPr/>
      </w:pPr>
      <w:r>
        <w:rPr>
          <w:color w:val="000000"/>
        </w:rPr>
        <w:t>“</w:t>
      </w:r>
      <w:r>
        <w:rPr>
          <w:rFonts w:ascii="Times New Roman" w:hAnsi="Times New Roman"/>
          <w:b/>
          <w:i/>
          <w:color w:val="000000"/>
          <w:sz w:val="24"/>
        </w:rPr>
        <w:t>Public Official or Entity</w:t>
      </w:r>
      <w:r>
        <w:rPr>
          <w:color w:val="000000"/>
        </w:rPr>
        <w:t xml:space="preserve">” </w:t>
      </w:r>
      <w:r>
        <w:rPr>
          <w:rFonts w:ascii="Times New Roman" w:hAnsi="Times New Roman"/>
          <w:color w:val="000000"/>
          <w:sz w:val="24"/>
        </w:rPr>
        <w:t>shall mean (a) any officer, employee (including physicians, hospital administrators, or other healthcare professionals), agent, representative, department, agency, de facto official, representative, corporate entity, instrumentality or subdivision of any government, military or international organization, including, but not limited to, any ministry or department of health or any state-owned or affiliated company or hospital, or (b) any candidate for political office, any political party or any official of a political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1.81</w:t>
      </w:r>
    </w:p>
    <w:p>
      <w:pPr>
        <w:pStyle w:val="TextBody"/>
        <w:bidi w:val="0"/>
        <w:spacing w:before="0" w:after="240"/>
        <w:jc w:val="both"/>
        <w:rPr/>
      </w:pPr>
      <w:r>
        <w:rPr>
          <w:color w:val="000000"/>
        </w:rPr>
        <w:t>“</w:t>
      </w:r>
      <w:r>
        <w:rPr>
          <w:rFonts w:ascii="Times New Roman" w:hAnsi="Times New Roman"/>
          <w:b/>
          <w:i/>
          <w:color w:val="000000"/>
          <w:sz w:val="24"/>
        </w:rPr>
        <w:t>Pulmonary Hypertension</w:t>
      </w:r>
      <w:r>
        <w:rPr>
          <w:color w:val="000000"/>
        </w:rPr>
        <w:t xml:space="preserve">” </w:t>
      </w:r>
      <w:r>
        <w:rPr>
          <w:rFonts w:ascii="Times New Roman" w:hAnsi="Times New Roman"/>
          <w:color w:val="000000"/>
          <w:sz w:val="24"/>
        </w:rPr>
        <w:t>a medical condition that encompasses all WHO classifications of pulmonary hypertension identified in the Nice 2013 Revised Classification system, including pulmonary arterial hypertension.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1.82</w:t>
      </w:r>
    </w:p>
    <w:p>
      <w:pPr>
        <w:pStyle w:val="TextBody"/>
        <w:bidi w:val="0"/>
        <w:spacing w:before="0" w:after="240"/>
        <w:jc w:val="both"/>
        <w:rPr/>
      </w:pPr>
      <w:r>
        <w:rPr>
          <w:color w:val="000000"/>
        </w:rPr>
        <w:t>“</w:t>
      </w:r>
      <w:r>
        <w:rPr>
          <w:rFonts w:ascii="Times New Roman" w:hAnsi="Times New Roman"/>
          <w:b/>
          <w:i/>
          <w:color w:val="000000"/>
          <w:sz w:val="24"/>
        </w:rPr>
        <w:t>Receiving Party</w:t>
      </w:r>
      <w:r>
        <w:rPr>
          <w:color w:val="000000"/>
        </w:rPr>
        <w:t xml:space="preserve">” </w:t>
      </w:r>
      <w:r>
        <w:rPr>
          <w:rFonts w:ascii="Times New Roman" w:hAnsi="Times New Roman"/>
          <w:color w:val="000000"/>
          <w:sz w:val="24"/>
        </w:rPr>
        <w:t>shall have the meaning set forth in Section 8.1.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w:t>
      </w:r>
    </w:p>
    <w:p>
      <w:pPr>
        <w:pStyle w:val="TextBody"/>
        <w:bidi w:val="0"/>
        <w:spacing w:before="0" w:after="240"/>
        <w:jc w:val="both"/>
        <w:rPr/>
      </w:pPr>
      <w:r>
        <w:rPr>
          <w:color w:val="000000"/>
        </w:rPr>
        <w:t>“</w:t>
      </w:r>
      <w:r>
        <w:rPr>
          <w:rFonts w:ascii="Times New Roman" w:hAnsi="Times New Roman"/>
          <w:b/>
          <w:i/>
          <w:color w:val="000000"/>
          <w:sz w:val="24"/>
        </w:rPr>
        <w:t>Regulatory Authority</w:t>
      </w:r>
      <w:r>
        <w:rPr>
          <w:color w:val="000000"/>
        </w:rPr>
        <w:t xml:space="preserve">” </w:t>
      </w:r>
      <w:r>
        <w:rPr>
          <w:rFonts w:ascii="Times New Roman" w:hAnsi="Times New Roman"/>
          <w:color w:val="000000"/>
          <w:sz w:val="24"/>
        </w:rPr>
        <w:t>shall mean any Governmental Authority whose review or approval is necessary for the development, design, manufacture, packaging, use, storage, import, export, distribution, promotion, marketing, offer for sale and sale of Product. Where governmental approval is required for pricing or reimbursement for Product to be reimbursed by national health insurance (or its local equivalent), “Regulatory Authority” shall also include any Governmental Authority whose review or approval of pricing or reimbursement is required.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1.84</w:t>
      </w:r>
    </w:p>
    <w:p>
      <w:pPr>
        <w:pStyle w:val="TextBody"/>
        <w:bidi w:val="0"/>
        <w:spacing w:before="0" w:after="240"/>
        <w:jc w:val="both"/>
        <w:rPr/>
      </w:pPr>
      <w:r>
        <w:rPr>
          <w:color w:val="000000"/>
        </w:rPr>
        <w:t>“</w:t>
      </w:r>
      <w:r>
        <w:rPr>
          <w:rFonts w:ascii="Times New Roman" w:hAnsi="Times New Roman"/>
          <w:b/>
          <w:i/>
          <w:color w:val="000000"/>
          <w:sz w:val="24"/>
        </w:rPr>
        <w:t>Regulatory Exclusivity</w:t>
      </w:r>
      <w:r>
        <w:rPr>
          <w:color w:val="000000"/>
        </w:rPr>
        <w:t xml:space="preserve">” </w:t>
      </w:r>
      <w:r>
        <w:rPr>
          <w:rFonts w:ascii="Times New Roman" w:hAnsi="Times New Roman"/>
          <w:color w:val="000000"/>
          <w:sz w:val="24"/>
        </w:rPr>
        <w:t>shall mean the ability to exclude any other Person from manufacturing or commercializing a product that could compete with Product in a specified country in the Territory, either through data exclusivity rights, orphan drug designation, or such other rights conferred by a Regulatory Authority in such country.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1.85</w:t>
      </w:r>
    </w:p>
    <w:p>
      <w:pPr>
        <w:pStyle w:val="TextBody"/>
        <w:bidi w:val="0"/>
        <w:spacing w:before="0" w:after="240"/>
        <w:jc w:val="both"/>
        <w:rPr/>
      </w:pPr>
      <w:r>
        <w:rPr>
          <w:color w:val="000000"/>
        </w:rPr>
        <w:t>“</w:t>
      </w:r>
      <w:r>
        <w:rPr>
          <w:rFonts w:ascii="Times New Roman" w:hAnsi="Times New Roman"/>
          <w:b/>
          <w:i/>
          <w:color w:val="000000"/>
          <w:sz w:val="24"/>
        </w:rPr>
        <w:t>Regulatory Filing</w:t>
      </w:r>
      <w:r>
        <w:rPr>
          <w:color w:val="000000"/>
        </w:rPr>
        <w:t xml:space="preserve">” </w:t>
      </w:r>
      <w:r>
        <w:rPr>
          <w:rFonts w:ascii="Times New Roman" w:hAnsi="Times New Roman"/>
          <w:color w:val="000000"/>
          <w:sz w:val="24"/>
        </w:rPr>
        <w:t xml:space="preserve">shall mean all approvals, clearances, licenses, registrations, submissions and authorizations made to or received from a Regulatory Authority necessary for the development, manufacture or commercialization of a medical device and/or pharmaceutical product, including any investigational new drug applications, clinical trial applications, drug master files, device master files and Marketing Approvals.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1.86</w:t>
      </w:r>
    </w:p>
    <w:p>
      <w:pPr>
        <w:pStyle w:val="TextBody"/>
        <w:bidi w:val="0"/>
        <w:spacing w:before="0" w:after="240"/>
        <w:jc w:val="both"/>
        <w:rPr/>
      </w:pPr>
      <w:r>
        <w:rPr>
          <w:color w:val="000000"/>
        </w:rPr>
        <w:t>“</w:t>
      </w:r>
      <w:r>
        <w:rPr>
          <w:rFonts w:ascii="Times New Roman" w:hAnsi="Times New Roman"/>
          <w:b/>
          <w:i/>
          <w:color w:val="000000"/>
          <w:sz w:val="24"/>
        </w:rPr>
        <w:t>Royalty Report</w:t>
      </w:r>
      <w:r>
        <w:rPr>
          <w:color w:val="000000"/>
        </w:rPr>
        <w:t xml:space="preserve">” </w:t>
      </w:r>
      <w:r>
        <w:rPr>
          <w:rFonts w:ascii="Times New Roman" w:hAnsi="Times New Roman"/>
          <w:color w:val="000000"/>
          <w:sz w:val="24"/>
        </w:rPr>
        <w:t xml:space="preserve">shall have the meaning set forth in Section 7.1.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1.87</w:t>
      </w:r>
    </w:p>
    <w:p>
      <w:pPr>
        <w:pStyle w:val="TextBody"/>
        <w:bidi w:val="0"/>
        <w:spacing w:before="0" w:after="240"/>
        <w:jc w:val="both"/>
        <w:rPr/>
      </w:pPr>
      <w:r>
        <w:rPr>
          <w:color w:val="000000"/>
        </w:rPr>
        <w:t>“</w:t>
      </w:r>
      <w:r>
        <w:rPr>
          <w:rFonts w:ascii="Times New Roman" w:hAnsi="Times New Roman"/>
          <w:b/>
          <w:i/>
          <w:color w:val="000000"/>
          <w:sz w:val="24"/>
        </w:rPr>
        <w:t>SEC</w:t>
      </w:r>
      <w:r>
        <w:rPr>
          <w:color w:val="000000"/>
        </w:rPr>
        <w:t xml:space="preserve">” </w:t>
      </w:r>
      <w:r>
        <w:rPr>
          <w:rFonts w:ascii="Times New Roman" w:hAnsi="Times New Roman"/>
          <w:color w:val="000000"/>
          <w:sz w:val="24"/>
        </w:rPr>
        <w:t xml:space="preserve">shall mean the U.S. Securities and Exchange Commission, or any successor agency.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1.88</w:t>
      </w:r>
    </w:p>
    <w:p>
      <w:pPr>
        <w:pStyle w:val="TextBody"/>
        <w:bidi w:val="0"/>
        <w:spacing w:before="0" w:after="240"/>
        <w:jc w:val="both"/>
        <w:rPr/>
      </w:pPr>
      <w:r>
        <w:rPr>
          <w:color w:val="000000"/>
        </w:rPr>
        <w:t>“</w:t>
      </w:r>
      <w:r>
        <w:rPr>
          <w:rFonts w:ascii="Times New Roman" w:hAnsi="Times New Roman"/>
          <w:b/>
          <w:i/>
          <w:color w:val="000000"/>
          <w:sz w:val="24"/>
        </w:rPr>
        <w:t>Segregate</w:t>
      </w:r>
      <w:r>
        <w:rPr>
          <w:color w:val="000000"/>
        </w:rPr>
        <w:t xml:space="preserve">” </w:t>
      </w:r>
      <w:r>
        <w:rPr>
          <w:rFonts w:ascii="Times New Roman" w:hAnsi="Times New Roman"/>
          <w:color w:val="000000"/>
          <w:sz w:val="24"/>
        </w:rPr>
        <w:t xml:space="preserve">shall mean with respect to a product or program, to use Commercially Reasonable Efforts to segregate the development and commercialization activities relating to such </w:t>
      </w:r>
    </w:p>
    <w:p>
      <w:pPr>
        <w:pStyle w:val="TextBody"/>
        <w:bidi w:val="0"/>
        <w:jc w:val="left"/>
        <w:rPr>
          <w:rFonts w:ascii="Times New Roman" w:hAnsi="Times New Roman"/>
          <w:sz w:val="20"/>
        </w:rPr>
      </w:pPr>
      <w:r>
        <w:rPr>
          <w:rFonts w:ascii="Times New Roman" w:hAnsi="Times New Roman"/>
          <w:color w:val="000000"/>
          <w:sz w:val="24"/>
        </w:rPr>
        <w:t>11</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product or program from development and commercialization with respect to Product under this Agreement, including using Commercially Reasonable Efforts to ensure that: (i) no personnel involved in performing the development or commercialization of such product or program have access to non-public plans or information relating to the development or commercialization of Product (provided that management personnel may review and evaluate plans and information regarding the development and commercialization of Product in connection with portfolio decision-making or other company-wide responsibilities); and (ii) no personnel involved in performing the development or commercialization of Product have access to non-public plans or information relating to the development or commercialization of such product or program (provided that management personnel may review and evaluate plans and information regarding the development and commercialization of such product or program in connection with portfolio decision-making or other company-wide responsibilities).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1.89</w:t>
      </w:r>
    </w:p>
    <w:p>
      <w:pPr>
        <w:pStyle w:val="TextBody"/>
        <w:bidi w:val="0"/>
        <w:spacing w:before="0" w:after="240"/>
        <w:jc w:val="both"/>
        <w:rPr/>
      </w:pPr>
      <w:r>
        <w:rPr>
          <w:color w:val="000000"/>
        </w:rPr>
        <w:t>“</w:t>
      </w:r>
      <w:r>
        <w:rPr>
          <w:rFonts w:ascii="Times New Roman" w:hAnsi="Times New Roman"/>
          <w:b/>
          <w:i/>
          <w:color w:val="000000"/>
          <w:sz w:val="24"/>
        </w:rPr>
        <w:t>Specified Matters</w:t>
      </w:r>
      <w:r>
        <w:rPr>
          <w:color w:val="000000"/>
        </w:rPr>
        <w:t xml:space="preserve">” </w:t>
      </w:r>
      <w:r>
        <w:rPr>
          <w:rFonts w:ascii="Times New Roman" w:hAnsi="Times New Roman"/>
          <w:color w:val="000000"/>
          <w:sz w:val="24"/>
        </w:rPr>
        <w:t>shall mean the subject matter described in the separate letter delivered by MannKind to United Therapeutics and confirmed in writing by United Therapeutics on the Execution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1.90</w:t>
      </w:r>
    </w:p>
    <w:p>
      <w:pPr>
        <w:pStyle w:val="TextBody"/>
        <w:bidi w:val="0"/>
        <w:spacing w:before="0" w:after="240"/>
        <w:jc w:val="both"/>
        <w:rPr/>
      </w:pPr>
      <w:r>
        <w:rPr>
          <w:color w:val="000000"/>
        </w:rPr>
        <w:t>“</w:t>
      </w:r>
      <w:r>
        <w:rPr>
          <w:rFonts w:ascii="Times New Roman" w:hAnsi="Times New Roman"/>
          <w:b/>
          <w:i/>
          <w:color w:val="000000"/>
          <w:sz w:val="24"/>
        </w:rPr>
        <w:t>Term</w:t>
      </w:r>
      <w:r>
        <w:rPr>
          <w:color w:val="000000"/>
        </w:rPr>
        <w:t xml:space="preserve">” </w:t>
      </w:r>
      <w:r>
        <w:rPr>
          <w:rFonts w:ascii="Times New Roman" w:hAnsi="Times New Roman"/>
          <w:color w:val="000000"/>
          <w:sz w:val="24"/>
        </w:rPr>
        <w:t xml:space="preserve">shall have the meaning set forth in Section 12.1.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w:t>
      </w:r>
    </w:p>
    <w:p>
      <w:pPr>
        <w:pStyle w:val="TextBody"/>
        <w:bidi w:val="0"/>
        <w:spacing w:before="0" w:after="240"/>
        <w:jc w:val="both"/>
        <w:rPr/>
      </w:pPr>
      <w:r>
        <w:rPr>
          <w:color w:val="000000"/>
        </w:rPr>
        <w:t>“</w:t>
      </w:r>
      <w:r>
        <w:rPr>
          <w:rFonts w:ascii="Times New Roman" w:hAnsi="Times New Roman"/>
          <w:b/>
          <w:i/>
          <w:color w:val="000000"/>
          <w:sz w:val="24"/>
        </w:rPr>
        <w:t>Territory</w:t>
      </w:r>
      <w:r>
        <w:rPr>
          <w:color w:val="000000"/>
        </w:rPr>
        <w:t xml:space="preserve">” </w:t>
      </w:r>
      <w:r>
        <w:rPr>
          <w:rFonts w:ascii="Times New Roman" w:hAnsi="Times New Roman"/>
          <w:color w:val="000000"/>
          <w:sz w:val="24"/>
        </w:rPr>
        <w:t xml:space="preserve">shall mean everywhere.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1.92</w:t>
      </w:r>
    </w:p>
    <w:p>
      <w:pPr>
        <w:pStyle w:val="TextBody"/>
        <w:bidi w:val="0"/>
        <w:spacing w:before="0" w:after="240"/>
        <w:jc w:val="both"/>
        <w:rPr/>
      </w:pPr>
      <w:r>
        <w:rPr>
          <w:color w:val="000000"/>
        </w:rPr>
        <w:t>“</w:t>
      </w:r>
      <w:r>
        <w:rPr>
          <w:rFonts w:ascii="Times New Roman" w:hAnsi="Times New Roman"/>
          <w:b/>
          <w:i/>
          <w:color w:val="000000"/>
          <w:sz w:val="24"/>
        </w:rPr>
        <w:t>Third Party</w:t>
      </w:r>
      <w:r>
        <w:rPr>
          <w:color w:val="000000"/>
        </w:rPr>
        <w:t xml:space="preserve">” </w:t>
      </w:r>
      <w:r>
        <w:rPr>
          <w:rFonts w:ascii="Times New Roman" w:hAnsi="Times New Roman"/>
          <w:color w:val="000000"/>
          <w:sz w:val="24"/>
        </w:rPr>
        <w:t>shall mean any Person other than MannKind, United Therapeutics and their respective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1.93</w:t>
      </w:r>
    </w:p>
    <w:p>
      <w:pPr>
        <w:pStyle w:val="TextBody"/>
        <w:bidi w:val="0"/>
        <w:spacing w:before="0" w:after="240"/>
        <w:jc w:val="both"/>
        <w:rPr/>
      </w:pPr>
      <w:r>
        <w:rPr>
          <w:color w:val="000000"/>
        </w:rPr>
        <w:t>“</w:t>
      </w:r>
      <w:r>
        <w:rPr>
          <w:rFonts w:ascii="Times New Roman" w:hAnsi="Times New Roman"/>
          <w:b/>
          <w:i/>
          <w:color w:val="000000"/>
          <w:sz w:val="24"/>
        </w:rPr>
        <w:t>Third Party Claims</w:t>
      </w:r>
      <w:r>
        <w:rPr>
          <w:color w:val="000000"/>
        </w:rPr>
        <w:t xml:space="preserve">” </w:t>
      </w:r>
      <w:r>
        <w:rPr>
          <w:rFonts w:ascii="Times New Roman" w:hAnsi="Times New Roman"/>
          <w:color w:val="000000"/>
          <w:sz w:val="24"/>
        </w:rPr>
        <w:t xml:space="preserve">shall have the meaning set forth in Section 11.1.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1.94</w:t>
      </w:r>
    </w:p>
    <w:p>
      <w:pPr>
        <w:pStyle w:val="TextBody"/>
        <w:bidi w:val="0"/>
        <w:spacing w:before="0" w:after="240"/>
        <w:jc w:val="both"/>
        <w:rPr/>
      </w:pPr>
      <w:r>
        <w:rPr>
          <w:color w:val="000000"/>
        </w:rPr>
        <w:t>“</w:t>
      </w:r>
      <w:r>
        <w:rPr>
          <w:rFonts w:ascii="Times New Roman" w:hAnsi="Times New Roman"/>
          <w:b/>
          <w:i/>
          <w:color w:val="000000"/>
          <w:sz w:val="24"/>
        </w:rPr>
        <w:t>United States</w:t>
      </w:r>
      <w:r>
        <w:rPr>
          <w:color w:val="000000"/>
        </w:rPr>
        <w:t xml:space="preserve">” </w:t>
      </w:r>
      <w:r>
        <w:rPr>
          <w:rFonts w:ascii="Times New Roman" w:hAnsi="Times New Roman"/>
          <w:color w:val="000000"/>
          <w:sz w:val="24"/>
        </w:rPr>
        <w:t>or “</w:t>
      </w:r>
      <w:r>
        <w:rPr>
          <w:rFonts w:ascii="Times New Roman" w:hAnsi="Times New Roman"/>
          <w:b/>
          <w:i/>
          <w:color w:val="000000"/>
          <w:sz w:val="24"/>
        </w:rPr>
        <w:t>U.S.</w:t>
      </w:r>
      <w:r>
        <w:rPr>
          <w:color w:val="000000"/>
        </w:rPr>
        <w:t xml:space="preserve">” </w:t>
      </w:r>
      <w:r>
        <w:rPr>
          <w:rFonts w:ascii="Times New Roman" w:hAnsi="Times New Roman"/>
          <w:color w:val="000000"/>
          <w:sz w:val="24"/>
        </w:rPr>
        <w:t>shall mean the United States of America, including its territories and possessions and the District of Columbia.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1.95</w:t>
      </w:r>
    </w:p>
    <w:p>
      <w:pPr>
        <w:pStyle w:val="TextBody"/>
        <w:bidi w:val="0"/>
        <w:spacing w:before="0" w:after="240"/>
        <w:jc w:val="both"/>
        <w:rPr/>
      </w:pPr>
      <w:r>
        <w:rPr>
          <w:color w:val="000000"/>
        </w:rPr>
        <w:t>“</w:t>
      </w:r>
      <w:r>
        <w:rPr>
          <w:rFonts w:ascii="Times New Roman" w:hAnsi="Times New Roman"/>
          <w:b/>
          <w:i/>
          <w:color w:val="000000"/>
          <w:sz w:val="24"/>
        </w:rPr>
        <w:t>United Therapeutics Indemnitees</w:t>
      </w:r>
      <w:r>
        <w:rPr>
          <w:color w:val="000000"/>
        </w:rPr>
        <w:t xml:space="preserve">” </w:t>
      </w:r>
      <w:r>
        <w:rPr>
          <w:rFonts w:ascii="Times New Roman" w:hAnsi="Times New Roman"/>
          <w:color w:val="000000"/>
          <w:sz w:val="24"/>
        </w:rPr>
        <w:t xml:space="preserve">shall have the meaning set forth in Section 11.2.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1.96</w:t>
      </w:r>
    </w:p>
    <w:p>
      <w:pPr>
        <w:pStyle w:val="TextBody"/>
        <w:bidi w:val="0"/>
        <w:spacing w:before="0" w:after="240"/>
        <w:jc w:val="both"/>
        <w:rPr/>
      </w:pPr>
      <w:r>
        <w:rPr>
          <w:color w:val="000000"/>
        </w:rPr>
        <w:t>“</w:t>
      </w:r>
      <w:r>
        <w:rPr>
          <w:rFonts w:ascii="Times New Roman" w:hAnsi="Times New Roman"/>
          <w:b/>
          <w:i/>
          <w:color w:val="000000"/>
          <w:sz w:val="24"/>
        </w:rPr>
        <w:t>United Therapeutics Know-How</w:t>
      </w:r>
      <w:r>
        <w:rPr>
          <w:color w:val="000000"/>
        </w:rPr>
        <w:t xml:space="preserve">” </w:t>
      </w:r>
      <w:r>
        <w:rPr>
          <w:rFonts w:ascii="Times New Roman" w:hAnsi="Times New Roman"/>
          <w:color w:val="000000"/>
          <w:sz w:val="24"/>
        </w:rPr>
        <w:t>shall mean all Information that (a) is Controlled by United Therapeutics or any of its Affiliates as of the Effective Date or during the Term and (b) is necessary for the development, manufacture, use, import, offer for sale or sale of Product in the 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1.97</w:t>
      </w:r>
    </w:p>
    <w:p>
      <w:pPr>
        <w:pStyle w:val="TextBody"/>
        <w:bidi w:val="0"/>
        <w:spacing w:before="0" w:after="240"/>
        <w:jc w:val="both"/>
        <w:rPr/>
      </w:pPr>
      <w:r>
        <w:rPr>
          <w:color w:val="000000"/>
        </w:rPr>
        <w:t>“</w:t>
      </w:r>
      <w:r>
        <w:rPr>
          <w:rFonts w:ascii="Times New Roman" w:hAnsi="Times New Roman"/>
          <w:b/>
          <w:i/>
          <w:color w:val="000000"/>
          <w:sz w:val="24"/>
        </w:rPr>
        <w:t>United Therapeutics Patents</w:t>
      </w:r>
      <w:r>
        <w:rPr>
          <w:color w:val="000000"/>
        </w:rPr>
        <w:t xml:space="preserve">” </w:t>
      </w:r>
      <w:r>
        <w:rPr>
          <w:rFonts w:ascii="Times New Roman" w:hAnsi="Times New Roman"/>
          <w:color w:val="000000"/>
          <w:sz w:val="24"/>
        </w:rPr>
        <w:t>shall mean all Patents Controlled by United Therapeutics or any of its Affiliates as of the Effective Date or during the Term that are necessary for the development, manufacture, use, import, offer for sale, or sale of Product in the Field, but excluding any Joint Patents.</w:t>
      </w:r>
    </w:p>
    <w:p>
      <w:pPr>
        <w:pStyle w:val="TextBody"/>
        <w:bidi w:val="0"/>
        <w:jc w:val="left"/>
        <w:rPr>
          <w:rFonts w:ascii="Times New Roman" w:hAnsi="Times New Roman"/>
          <w:sz w:val="20"/>
        </w:rPr>
      </w:pPr>
      <w:r>
        <w:rPr>
          <w:rFonts w:ascii="Times New Roman" w:hAnsi="Times New Roman"/>
          <w:color w:val="000000"/>
          <w:sz w:val="24"/>
        </w:rPr>
        <w:t>12</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1.98</w:t>
      </w:r>
    </w:p>
    <w:p>
      <w:pPr>
        <w:pStyle w:val="TextBody"/>
        <w:bidi w:val="0"/>
        <w:spacing w:before="0" w:after="240"/>
        <w:jc w:val="both"/>
        <w:rPr/>
      </w:pPr>
      <w:r>
        <w:rPr>
          <w:color w:val="000000"/>
        </w:rPr>
        <w:t>“</w:t>
      </w:r>
      <w:r>
        <w:rPr>
          <w:rFonts w:ascii="Times New Roman" w:hAnsi="Times New Roman"/>
          <w:b/>
          <w:i/>
          <w:color w:val="000000"/>
          <w:sz w:val="24"/>
        </w:rPr>
        <w:t>United Therapeutics Technology</w:t>
      </w:r>
      <w:r>
        <w:rPr>
          <w:color w:val="000000"/>
        </w:rPr>
        <w:t xml:space="preserve">” </w:t>
      </w:r>
      <w:r>
        <w:rPr>
          <w:rFonts w:ascii="Times New Roman" w:hAnsi="Times New Roman"/>
          <w:color w:val="000000"/>
          <w:sz w:val="24"/>
        </w:rPr>
        <w:t>shall mean all United Therapeutics Know-How, United Therapeutics Patents and United Therapeutics’ or its Affiliate’s interest in Joint Patents and Joint Inventions.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1.99</w:t>
      </w:r>
    </w:p>
    <w:p>
      <w:pPr>
        <w:pStyle w:val="TextBody"/>
        <w:bidi w:val="0"/>
        <w:spacing w:before="0" w:after="240"/>
        <w:jc w:val="both"/>
        <w:rPr/>
      </w:pPr>
      <w:r>
        <w:rPr>
          <w:color w:val="000000"/>
        </w:rPr>
        <w:t>“</w:t>
      </w:r>
      <w:r>
        <w:rPr>
          <w:rFonts w:ascii="Times New Roman" w:hAnsi="Times New Roman"/>
          <w:b/>
          <w:i/>
          <w:color w:val="000000"/>
          <w:sz w:val="24"/>
        </w:rPr>
        <w:t>Valid Claim</w:t>
      </w:r>
      <w:r>
        <w:rPr>
          <w:color w:val="000000"/>
        </w:rPr>
        <w:t xml:space="preserve">” </w:t>
      </w:r>
      <w:r>
        <w:rPr>
          <w:rFonts w:ascii="Times New Roman" w:hAnsi="Times New Roman"/>
          <w:color w:val="000000"/>
          <w:sz w:val="24"/>
        </w:rPr>
        <w:t>shall mean a claim of an issued and unexpired Patent included within the MannKind Patents or Joint Patents in the Territory that (a) has not been held unenforceable, unpatentable or invalid by a decision of a court or other governmental agency of competent jurisdiction, unappealable or unappealed within the time allowed for appeal, and (b) has not been admitted to be invalid or unenforceable through reissue, disclaimer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1.100</w:t>
      </w:r>
    </w:p>
    <w:p>
      <w:pPr>
        <w:pStyle w:val="TextBody"/>
        <w:bidi w:val="0"/>
        <w:spacing w:before="0" w:after="240"/>
        <w:jc w:val="both"/>
        <w:rPr/>
      </w:pPr>
      <w:r>
        <w:rPr>
          <w:color w:val="000000"/>
        </w:rPr>
        <w:t>“</w:t>
      </w:r>
      <w:r>
        <w:rPr>
          <w:rFonts w:ascii="Times New Roman" w:hAnsi="Times New Roman"/>
          <w:b/>
          <w:i/>
          <w:color w:val="000000"/>
          <w:sz w:val="24"/>
        </w:rPr>
        <w:t>Wind-down Period</w:t>
      </w:r>
      <w:r>
        <w:rPr>
          <w:color w:val="000000"/>
        </w:rPr>
        <w:t xml:space="preserve">” </w:t>
      </w:r>
      <w:r>
        <w:rPr>
          <w:rFonts w:ascii="Times New Roman" w:hAnsi="Times New Roman"/>
          <w:color w:val="000000"/>
          <w:sz w:val="24"/>
        </w:rPr>
        <w:t xml:space="preserve">shall mean any period after the date of termination of this Agreement during which, pursuant to Section 13.2(a), United Therapeutics is required to continue to perform certain activities.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jc w:val="center"/>
        <w:rPr/>
      </w:pPr>
      <w:r>
        <w:rPr>
          <w:rFonts w:ascii="Times New Roman" w:hAnsi="Times New Roman"/>
          <w:b/>
          <w:caps/>
          <w:color w:val="000000"/>
          <w:sz w:val="24"/>
          <w:u w:val="single"/>
        </w:rPr>
        <w:br/>
        <w:br/>
      </w:r>
      <w:r>
        <w:rPr>
          <w:rFonts w:ascii="Times New Roman" w:hAnsi="Times New Roman"/>
          <w:b/>
          <w:caps/>
          <w:color w:val="000000"/>
          <w:sz w:val="24"/>
        </w:rPr>
        <w:t>Grant of License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 xml:space="preserve">Development Licenses. </w:t>
      </w:r>
      <w:r>
        <w:rPr>
          <w:rFonts w:ascii="Times New Roman" w:hAnsi="Times New Roman"/>
          <w:color w:val="000000"/>
          <w:sz w:val="24"/>
        </w:rPr>
        <w:t>Subject to the terms and conditions of this Agreement, (a) MannKind hereby grants to United Therapeutics an exclusive (except as to MannKind which shall retain during the Development Term such rights as are necessary to fulfil its obligations under the Development Plan), royalty-free license, with the right to grant sublicenses as provided in Section 2.3, under the MannKind Technology to develop and seek Marketing Approval for Product (including to conduct non-clinical research and clinical studies, and to make and have made Product for purposes thereof) in the Field in the Territory, and (b) United Therapeutics hereby grants to MannKind a non-exclusive, worldwide, royalty-free license, with the right to grant sublicenses to Affiliates, under United Therapeutics Technology as is necessary for MannKind to perform activities to be performed by MannKind under the Development Plan, solely to perform such activities during the Development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License to United Therapeutics.</w:t>
      </w:r>
      <w:r>
        <w:rPr>
          <w:color w:val="000000"/>
        </w:rPr>
        <w:t xml:space="preserve"> </w:t>
      </w:r>
      <w:r>
        <w:rPr>
          <w:rFonts w:ascii="Times New Roman" w:hAnsi="Times New Roman"/>
          <w:color w:val="000000"/>
          <w:sz w:val="24"/>
        </w:rPr>
        <w:t xml:space="preserve">Subject to the terms and conditions of this Agreement, MannKind hereby grants to United Therapeutics an exclusive, royalty-bearing license, with the right to grant sublicenses as provided in Section 2.3, under the MannKind Technology to make and have made, use, sell, offer for sale, have sold and import Product in the Field in the Territory. The license granted in this Section 2.2 shall be exclusive even as to MannKind, subject to Section 5.2 and the rights reserved by MannKind pursuant to Section 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13</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 xml:space="preserve">Reserved Rights; No Implied Licenses. </w:t>
      </w:r>
      <w:r>
        <w:rPr>
          <w:rFonts w:ascii="Times New Roman" w:hAnsi="Times New Roman"/>
          <w:color w:val="000000"/>
          <w:sz w:val="24"/>
        </w:rPr>
        <w:t>Except for the rights and licenses expressly granted in this Agreement, MannKind retains all rights under its intellectual property, including the MannKind Technology, and United Therapeutics retains all rights under its intellectual property, including the United Therapeutics Technology, and no rights shall be deemed granted by one Party to the other Party by implication, estoppel or otherwise. United Therapeutics agrees, on behalf of itself and its Affiliates, not to practice MannKind Technology except pursuant to the licenses expressly granted to United Therapeutics in this Agreement or any other written agreement between the Parties. MannKind agrees, on behalf of itself and its Affiliates and sublicensees, not to practice United Therapeutics Technology except pursuant to the licenses expressly granted to MannKind in this Agreement or any other written agreement between the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Exclusivity</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MannKind</w:t>
      </w:r>
      <w:r>
        <w:rPr>
          <w:rFonts w:ascii="Times New Roman" w:hAnsi="Times New Roman"/>
          <w:color w:val="000000"/>
          <w:sz w:val="24"/>
        </w:rPr>
        <w:t xml:space="preserve">. During the Term, neither MannKind nor any of its Affiliates (subject to Section 15.9) shall develop, manufacture or commercialize, or authorize any Third Party to develop, manufacture or commercialize a Competing Product, provided that the foregoing shall not prevent MannKind from fulfilling its development obligations under the Development Plan or its manufacturing and supply obligations or performing any activities under any other written agreement between MannKind and United Therapeutics.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United Therapeutics</w:t>
      </w:r>
      <w:r>
        <w:rPr>
          <w:rFonts w:ascii="Times New Roman" w:hAnsi="Times New Roman"/>
          <w:color w:val="000000"/>
          <w:sz w:val="24"/>
        </w:rPr>
        <w:t>. During the Term, neither United Therapeutics nor any of its Affiliates (subject to Section 15.10) shall develop, manufacture or commercialize, or authorize any Third Party to develop, manufacture or commercialize any product (other than Product) containing or comprising any dry powder formulation of API that is or is intended to be primarily administered in or through the lungs.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color w:val="000000"/>
          <w:sz w:val="24"/>
        </w:rPr>
        <w:t>Option to Add Additional Products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Option</w:t>
      </w:r>
      <w:r>
        <w:rPr>
          <w:rFonts w:ascii="Times New Roman" w:hAnsi="Times New Roman"/>
          <w:color w:val="000000"/>
          <w:sz w:val="24"/>
        </w:rPr>
        <w:t>.</w:t>
      </w:r>
      <w:r>
        <w:rPr>
          <w:color w:val="000000"/>
        </w:rPr>
        <w:t xml:space="preserve"> </w:t>
      </w:r>
      <w:r>
        <w:rPr>
          <w:rFonts w:ascii="Times New Roman" w:hAnsi="Times New Roman"/>
          <w:color w:val="000000"/>
          <w:sz w:val="24"/>
        </w:rPr>
        <w:t>Subject to the terms and conditions set forth in this Agreement, MannKind hereby grants to United Therapeutics an option (the “</w:t>
      </w:r>
      <w:r>
        <w:rPr>
          <w:rFonts w:ascii="Times New Roman" w:hAnsi="Times New Roman"/>
          <w:b/>
          <w:i/>
          <w:color w:val="000000"/>
          <w:sz w:val="24"/>
        </w:rPr>
        <w:t>Option</w:t>
      </w:r>
      <w:r>
        <w:rPr>
          <w:color w:val="000000"/>
        </w:rPr>
        <w:t>”</w:t>
      </w:r>
      <w:r>
        <w:rPr>
          <w:rFonts w:ascii="Times New Roman" w:hAnsi="Times New Roman"/>
          <w:color w:val="000000"/>
          <w:sz w:val="24"/>
        </w:rPr>
        <w:t>) to include as an “API” for purposes of this Agreement an Optioned Agent (with any Product containing such Optioned Agent, an “</w:t>
      </w:r>
      <w:r>
        <w:rPr>
          <w:rFonts w:ascii="Times New Roman" w:hAnsi="Times New Roman"/>
          <w:b/>
          <w:i/>
          <w:color w:val="000000"/>
          <w:sz w:val="24"/>
        </w:rPr>
        <w:t>Optioned Product</w:t>
      </w:r>
      <w:r>
        <w:rPr>
          <w:color w:val="000000"/>
        </w:rPr>
        <w:t>”</w:t>
      </w:r>
      <w:r>
        <w:rPr>
          <w:rFonts w:ascii="Times New Roman" w:hAnsi="Times New Roman"/>
          <w:color w:val="000000"/>
          <w:sz w:val="24"/>
        </w:rPr>
        <w:t>). The Option may be exercised by United Therapeutics pursuant to the procedures set forth in this Section 2.6 at any time during the Term (“</w:t>
      </w:r>
      <w:r>
        <w:rPr>
          <w:rFonts w:ascii="Times New Roman" w:hAnsi="Times New Roman"/>
          <w:b/>
          <w:i/>
          <w:color w:val="000000"/>
          <w:sz w:val="24"/>
        </w:rPr>
        <w:t>Option Period</w:t>
      </w:r>
      <w:r>
        <w:rPr>
          <w:color w:val="000000"/>
        </w:rPr>
        <w:t>”</w:t>
      </w:r>
      <w:r>
        <w:rPr>
          <w:rFonts w:ascii="Times New Roman" w:hAnsi="Times New Roman"/>
          <w:color w:val="000000"/>
          <w:sz w:val="24"/>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14</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Amendment of Agreement</w:t>
      </w:r>
      <w:r>
        <w:rPr>
          <w:rFonts w:ascii="Times New Roman" w:hAnsi="Times New Roman"/>
          <w:color w:val="000000"/>
          <w:sz w:val="24"/>
        </w:rPr>
        <w:t>. As soon as practicable (and within ten (10) days) after United Therapeutics’ exercise of the Option with respect to a particular Optioned Agent in accordance with Section 2.6(b) above, United Therapeutics and MannKind shall amend the definition of “API” in this Agreement to include the Optioned Agent. In the event additional development work is requested of MannKind in connection with the Optioned Agent, the Parties will negotiate the scope of such efforts (and the financial responsibility of the Parties therefor) as an additional Development Plan to be executed by both Parties as soon as practicable thereafter.</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jc w:val="center"/>
        <w:rPr/>
      </w:pPr>
      <w:r>
        <w:rPr>
          <w:rFonts w:ascii="Times New Roman" w:hAnsi="Times New Roman"/>
          <w:b/>
          <w:caps/>
          <w:color w:val="000000"/>
          <w:sz w:val="24"/>
          <w:u w:val="single"/>
        </w:rPr>
        <w:br/>
        <w:br/>
      </w:r>
      <w:r>
        <w:rPr>
          <w:rFonts w:ascii="Times New Roman" w:hAnsi="Times New Roman"/>
          <w:b/>
          <w:caps/>
          <w:color w:val="000000"/>
          <w:sz w:val="24"/>
        </w:rPr>
        <w:t>Governance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Executive Steering Committee.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Establishment. </w:t>
      </w:r>
      <w:r>
        <w:rPr>
          <w:rFonts w:ascii="Times New Roman" w:hAnsi="Times New Roman"/>
          <w:color w:val="000000"/>
          <w:sz w:val="24"/>
        </w:rPr>
        <w:t>Within 30 days following the Effective Date, MannKind and United Therapeutics shall establish an Executive Steering Committee (the “</w:t>
      </w:r>
      <w:r>
        <w:rPr>
          <w:rFonts w:ascii="Times New Roman" w:hAnsi="Times New Roman"/>
          <w:b/>
          <w:i/>
          <w:color w:val="000000"/>
          <w:sz w:val="24"/>
        </w:rPr>
        <w:t>ESC</w:t>
      </w:r>
      <w:r>
        <w:rPr>
          <w:color w:val="000000"/>
        </w:rPr>
        <w:t>”</w:t>
      </w:r>
      <w:r>
        <w:rPr>
          <w:rFonts w:ascii="Times New Roman" w:hAnsi="Times New Roman"/>
          <w:color w:val="000000"/>
          <w:sz w:val="24"/>
        </w:rPr>
        <w:t xml:space="preserve">) to oversee the activities of the Parties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Membership. </w:t>
      </w:r>
      <w:r>
        <w:rPr>
          <w:rFonts w:ascii="Times New Roman" w:hAnsi="Times New Roman"/>
          <w:color w:val="000000"/>
          <w:sz w:val="24"/>
        </w:rPr>
        <w:t>The ESC shall be composed of six members, three of whom shall be nominated by MannKind and three of whom shall be nominated by United Therapeutics, which members shall be employees of the applicable Party with the requisite experience and seniority to make decisions on behalf of the Parties with respect to issues within the jurisdiction of the ESC. MannKind and United Therapeutics shall designate their respective initial members of the ESC within 30 days after the Effective Date. Each Party may change its ESC members at any time by written notice to the other Party. United Therapeutics shall have the right to designate the chair of the ESC.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Meetings. </w:t>
      </w:r>
      <w:r>
        <w:rPr>
          <w:rFonts w:ascii="Times New Roman" w:hAnsi="Times New Roman"/>
          <w:color w:val="000000"/>
          <w:sz w:val="24"/>
        </w:rPr>
        <w:t>The ESC will hold meetings at such frequency as determined by the ESC members, but no less than once per Calendar Quarter until receipt of Marketing Approval for the Initial Product. Such meetings may be conducted by videoconference, teleconference or in person, as agreed by the Parties; provided, that at least one ESC meeting per year shall be held in person and the location of such in-person meeting shall alternate between MannKind’s and United Therapeutics’ offices, unless the Parties otherwise agree. Each Party may invite a reasonable number of non-member, non-voting representatives of such Party to attend meetings of the ESC. Minutes will be kept of all ESC meetings and will reflect material decisions made at such meetings. The responsibility to prepare minutes of ESC meetings will alternate between MannKind and United Therapeutics. Meeting minutes will be sent to each member of the ESC for review and approval promptly following each meeting. Minutes will be deemed approved unless a member of the ESC objects to the accuracy of such minutes within 15 days of receipt. Any costs and expenses incurred by a Party related to a ESC meeting, including, if applicable, travel and/or telecommunication expenses, shall be borne by such Party.</w:t>
      </w:r>
    </w:p>
    <w:p>
      <w:pPr>
        <w:pStyle w:val="TextBody"/>
        <w:bidi w:val="0"/>
        <w:jc w:val="left"/>
        <w:rPr>
          <w:rFonts w:ascii="Times New Roman" w:hAnsi="Times New Roman"/>
          <w:sz w:val="20"/>
        </w:rPr>
      </w:pPr>
      <w:r>
        <w:rPr>
          <w:rFonts w:ascii="Times New Roman" w:hAnsi="Times New Roman"/>
          <w:color w:val="000000"/>
          <w:sz w:val="24"/>
        </w:rPr>
        <w:t>15</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 xml:space="preserve">Responsibilities. </w:t>
      </w:r>
      <w:r>
        <w:rPr>
          <w:rFonts w:ascii="Times New Roman" w:hAnsi="Times New Roman"/>
          <w:color w:val="000000"/>
          <w:sz w:val="24"/>
        </w:rPr>
        <w:t xml:space="preserve">The ESC shall have the following responsibilities: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reviewing and approving any material changes to a Development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providing a forum for the Parties to exchange Data and information and to coordinate their respective activities with respect to development, regulatory and manufacturing matters pertaining to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receiving periodic updates on material development and regulatory activities conducted with respect to Product in the Territory, including the submission and prosecution of applications for Marketing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providing a forum for the Parties to discuss and coordinate regarding the forecasting, manufacture and supply of Product, and any regulatory activities with respect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providing a forum for coordinating the Parties’ activities in response to crises with respect to Product, including unexpected disruptions to the supply of Product, safety issues, and recalls or withdrawals of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resolving all disputes referred to the ESC by working groups responsible for the sub-plans of the Development Plan; and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16</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Working Groups of the ESC.</w:t>
      </w:r>
      <w:r>
        <w:rPr>
          <w:color w:val="000000"/>
        </w:rPr>
        <w:t xml:space="preserve"> </w:t>
      </w:r>
      <w:r>
        <w:rPr>
          <w:rFonts w:ascii="Times New Roman" w:hAnsi="Times New Roman"/>
          <w:color w:val="000000"/>
          <w:sz w:val="24"/>
        </w:rPr>
        <w:t>Promptly following its establishment, the ESC shall establish two working groups, one to oversee the performance of the CMC development activities (“</w:t>
      </w:r>
      <w:r>
        <w:rPr>
          <w:rFonts w:ascii="Times New Roman" w:hAnsi="Times New Roman"/>
          <w:b/>
          <w:i/>
          <w:color w:val="000000"/>
          <w:sz w:val="24"/>
        </w:rPr>
        <w:t>CMC Working Group</w:t>
      </w:r>
      <w:r>
        <w:rPr>
          <w:color w:val="000000"/>
        </w:rPr>
        <w:t>”</w:t>
      </w:r>
      <w:r>
        <w:rPr>
          <w:rFonts w:ascii="Times New Roman" w:hAnsi="Times New Roman"/>
          <w:color w:val="000000"/>
          <w:sz w:val="24"/>
        </w:rPr>
        <w:t>) and one to oversee the performance of the manufacturing technology transfer (“</w:t>
      </w:r>
      <w:r>
        <w:rPr>
          <w:rFonts w:ascii="Times New Roman" w:hAnsi="Times New Roman"/>
          <w:b/>
          <w:i/>
          <w:color w:val="000000"/>
          <w:sz w:val="24"/>
        </w:rPr>
        <w:t>Mfg Technology Transfer Working Group</w:t>
      </w:r>
      <w:r>
        <w:rPr>
          <w:color w:val="000000"/>
        </w:rPr>
        <w:t>”</w:t>
      </w:r>
      <w:r>
        <w:rPr>
          <w:rFonts w:ascii="Times New Roman" w:hAnsi="Times New Roman"/>
          <w:color w:val="000000"/>
          <w:sz w:val="24"/>
        </w:rPr>
        <w:t xml:space="preserve">). These working groups shall periodically review their applicable activities within the Initial Development Plan and develop detailed and specific sub-plan updates as needed, which shall be submitted to the ESC for review and approval. In addition, each Party may submit requested modifications to such sub-plans to the ESC, which the ESC will reasonably consider. From time to time, the ESC may establish additional working groups as necessary to oversee particular projects or activities added to the Development Plan, as it deems necessary or advisable. Each working group shall consist of such number of representatives of each Party as the ESC determines is appropriate from time to time and shall meet with such frequency as the ESC shall determine. All decisions of each working group shall be made by unanimous vote or written consent, with the MannKind members of the working group collectively having one vote and the United Therapeutics members of the working group collectively having one vote in all decisions of the working group. If, with respect to a matter that is subject to a working group’s decision-making authority, the working group cannot reach agreement, the matter shall be referred to the ESC, which shall resolve such matter in accordance with Section 3.1(e).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Scope of Governance.</w:t>
      </w:r>
      <w:r>
        <w:rPr>
          <w:color w:val="000000"/>
        </w:rPr>
        <w:t xml:space="preserve"> </w:t>
      </w:r>
      <w:r>
        <w:rPr>
          <w:rFonts w:ascii="Times New Roman" w:hAnsi="Times New Roman"/>
          <w:color w:val="000000"/>
          <w:sz w:val="24"/>
        </w:rPr>
        <w:t>Notwithstanding the creation of the ESC, each Party shall retain the rights, powers and discretion granted to it hereunder, and the ESC shall not be delegated or vested with rights, powers or discretion unless such delegation or vesting is expressly provided herein, or the Parties expressly agree in writing. The ESC shall not have the power to amend or modify this Agreement, and no decision of the ESC shall be in contravention of any terms and conditions of this Agreement. It is understood and agreed that issues to be formally decided by the ESC are only those specific issues that are expressly provided in this Agreement to be decided by the ESC. Notwithstanding anything to the contrary in Sections 3.1(e), any dispute regarding the interpretation of this Agreement or any alleged breach of this Agreement will be resolved in accordance with the terms of Article 14.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jc w:val="center"/>
        <w:rPr/>
      </w:pPr>
      <w:r>
        <w:rPr>
          <w:rFonts w:ascii="Times New Roman" w:hAnsi="Times New Roman"/>
          <w:b/>
          <w:caps/>
          <w:color w:val="000000"/>
          <w:sz w:val="24"/>
          <w:u w:val="single"/>
        </w:rPr>
        <w:br/>
        <w:br/>
      </w:r>
      <w:r>
        <w:rPr>
          <w:rFonts w:ascii="Times New Roman" w:hAnsi="Times New Roman"/>
          <w:b/>
          <w:caps/>
          <w:color w:val="000000"/>
          <w:sz w:val="24"/>
        </w:rPr>
        <w:t>Development AND REGULATORY ACTIVITIES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Development Activities.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United Therapeutics’ Obligations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Except as provided in Section 4.1(b) below, as between the Parties, United Therapeutics shall be solely responsible for the development of Product(s), including the conduct of clinical trials, and shall bear all of the costs and expenses that it (or its Affiliates or sublicensees) incur in the course of such activities.</w:t>
      </w:r>
    </w:p>
    <w:p>
      <w:pPr>
        <w:pStyle w:val="TextBody"/>
        <w:bidi w:val="0"/>
        <w:jc w:val="left"/>
        <w:rPr>
          <w:rFonts w:ascii="Times New Roman" w:hAnsi="Times New Roman"/>
          <w:sz w:val="20"/>
        </w:rPr>
      </w:pPr>
      <w:r>
        <w:rPr>
          <w:rFonts w:ascii="Times New Roman" w:hAnsi="Times New Roman"/>
          <w:color w:val="000000"/>
          <w:sz w:val="24"/>
        </w:rPr>
        <w:t>17</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United Therapeutics Diligence</w:t>
      </w:r>
      <w:r>
        <w:rPr>
          <w:rFonts w:ascii="Times New Roman" w:hAnsi="Times New Roman"/>
          <w:color w:val="000000"/>
          <w:sz w:val="24"/>
        </w:rPr>
        <w:t>. United Therapeutics shall use Commercially Reasonable Efforts to: (A) carry out such development activities with respect to the Initial Product as may be necessary to support filing for Marketing Approval for the Initial Product in the United States, and (B) upon successful completion of such development activities, to file for, and obtain Marketing Approval for, the Initial Product in the United States. Notwithstanding the foregoing: (1) in the event that United Therapeutics has expended at least [***] U.S. Dollars (USD $[***]) on the development of the Initial Product in any Calendar Year (at least $[***] of which shall be out-of-pocket expenditures), such expenditure shall constitute conclusive evidence of United Therapeutics having used Commercially Reasonable Efforts with respect to the development of the Initial Product in such Calendar Year, and (2) United Therapeutics’ receipt of Marketing Approval for the Initial Product in the United States shall constitute conclusive evidence that United Therapeutics has fulfilled in full its diligence obligations under this Section 4.1(a)(ii).</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Reports</w:t>
      </w:r>
      <w:r>
        <w:rPr>
          <w:rFonts w:ascii="Times New Roman" w:hAnsi="Times New Roman"/>
          <w:color w:val="000000"/>
          <w:sz w:val="24"/>
        </w:rPr>
        <w:t xml:space="preserve">. Up until the First Commercial Sale of the Initial Product, United Therapeutics shall provide MannKind with annual written summary reports detailing the progress and results of development activities with respect to the Initial Product. After the First Commercial Sale of the Initial Product, United Therapeutics shall provide MannKind with royalty reports as provided in Section 7.1 below.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MannKind’s Obligations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 xml:space="preserve">General. </w:t>
      </w:r>
      <w:r>
        <w:rPr>
          <w:rFonts w:ascii="Times New Roman" w:hAnsi="Times New Roman"/>
          <w:color w:val="000000"/>
          <w:sz w:val="24"/>
        </w:rPr>
        <w:t xml:space="preserve">MannKind shall be responsible for performing those tasks with respect to the development of the Initial Product that are set forth in the Initial Development Plan and those tasks with respect to the development of any additional Product(s) that are set forth in any Additional Development Plans mutually agreed by the Parties. Except as provided in Section 6.4, MannKind shall be responsible for the costs associated with the performance of its obligations under the Development Plan. Notwithstanding the foregoing, in the event that MannKind is required to have its personnel visit United Therapeutics’ facilities in connection with the manufacturing technology transfer activities contemplated in the Initial Development Plan, United Therapeutics agrees to reimburse MannKind for the reasonable travel and lodging expenses incurred in connection therewith.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MannKind Diligence.</w:t>
      </w:r>
      <w:r>
        <w:rPr>
          <w:color w:val="000000"/>
        </w:rPr>
        <w:t xml:space="preserve"> </w:t>
      </w:r>
      <w:r>
        <w:rPr>
          <w:rFonts w:ascii="Times New Roman" w:hAnsi="Times New Roman"/>
          <w:color w:val="000000"/>
          <w:sz w:val="24"/>
        </w:rPr>
        <w:t>MannKind shall use Commercially Reasonable Efforts to conduct and complete the activities assigned to it in the Development Plan in accordance with the timelines specified therein. Without limiting the foregoing, MannKind shall proceed diligently and in a timely manner with the activities assigned to it under the Development Plan by using its good faith efforts to allocate sufficient time, effort, equipment and facilities to such development activities and to use personnel with sufficient skills and experience as are required to accomplish such activities in accordance with the terms of the Development Plan and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Mutual Obligations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18</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Information Regarding Development Activities Under the Development Plan</w:t>
      </w:r>
      <w:r>
        <w:rPr>
          <w:rFonts w:ascii="Times New Roman" w:hAnsi="Times New Roman"/>
          <w:color w:val="000000"/>
          <w:sz w:val="24"/>
        </w:rPr>
        <w:t>. Each Party shall maintain records, in sufficient detail and in good scientific manner appropriate for Patent and regulatory purposes, which shall fully and properly reflect all work done and results achieved by or on behalf of such Party in the performance of the activities assigned to it under the Development Plan. MannKind shall keep the ESC appropriately informed of the status of its activities conducted under the Development Plan. Upon request by the ESC, without limiting the foregoing, each Party shall promptly provide the ESC with summaries in reasonable detail of all Data and results generated or obtained in the course of such Party’s performance of its activities under the Development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Regulatory Activities.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Regulatory Strategy. </w:t>
      </w:r>
      <w:r>
        <w:rPr>
          <w:rFonts w:ascii="Times New Roman" w:hAnsi="Times New Roman"/>
          <w:color w:val="000000"/>
          <w:sz w:val="24"/>
        </w:rPr>
        <w:t xml:space="preserve">United Therapeutics shall develop and be solely responsible for the regulatory strategy for Product in the Field in the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Regulatory Submissions and Marketing Approvals.</w:t>
      </w:r>
      <w:r>
        <w:rPr>
          <w:color w:val="000000"/>
        </w:rPr>
        <w:t xml:space="preserve"> </w:t>
      </w:r>
      <w:r>
        <w:rPr>
          <w:rFonts w:ascii="Times New Roman" w:hAnsi="Times New Roman"/>
          <w:color w:val="000000"/>
          <w:sz w:val="24"/>
        </w:rPr>
        <w:t>At its sole expense,</w:t>
      </w:r>
      <w:r>
        <w:rPr>
          <w:color w:val="000000"/>
        </w:rPr>
        <w:t xml:space="preserve"> </w:t>
      </w:r>
      <w:r>
        <w:rPr>
          <w:rFonts w:ascii="Times New Roman" w:hAnsi="Times New Roman"/>
          <w:color w:val="000000"/>
          <w:sz w:val="24"/>
        </w:rPr>
        <w:t>United Therapeutics or its Affiliates shall be responsible for filing and attempting to obtain Marketing Approval for the Product in the Field in the Territory and as between the Parties, shall own, all Regulatory Filings for the Product in the Territory, including all investigational new drug applications, investigational device exemptions and filings for Marketing Approvals.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Assignment of IND</w:t>
      </w:r>
      <w:r>
        <w:rPr>
          <w:rFonts w:ascii="Times New Roman" w:hAnsi="Times New Roman"/>
          <w:color w:val="000000"/>
          <w:sz w:val="24"/>
        </w:rPr>
        <w:t>. As soon as practicable, but in any event within 30 days after the Effective Date, MannKind will transfer the IND to United Therapeutics. Following the Effective Date, MannKind shall not initiate any interaction with any Regulatory Authority regarding the Product, nor engage in any correspondence with any Regulatory Authority regarding the Product, in each case except at the direction of United Therapeutics. In the event that MannKind receives any communications from a Regulatory Authority with respect to the Product, MannKind will promptly notify United Therapeutics and collaborate with United Therapeutics in drafting such response as United Therapeutics may reasonably deem appropriate. For clarity, commencing on the Effective Date, United Therapeutics shall have ultimate decision-making authority with respect to any communications with any competent Governmental Authority, Regulatory Authority or other administrative body with respect to the Product, including without limitation, the FDA. MannKind shall promptly provide to United Therapeutics copies of all Regulatory Filings for the Product made by or on behalf of MannKind or its Affiliates, together with copies of any correspondence with Regulatory Authorities or other government agencies relating to such Regulatory Filings and/or Product. Without limiting the foregoing, MannKind will ensure that it has transferred to United Therapeutics all Information that MannKind was required by Applicable Laws to maintain as the holder of the IND or that is necessary or useful to prepare and defend any inquiries from Regulatory Authorities.</w:t>
      </w:r>
    </w:p>
    <w:p>
      <w:pPr>
        <w:pStyle w:val="TextBody"/>
        <w:bidi w:val="0"/>
        <w:jc w:val="left"/>
        <w:rPr>
          <w:rFonts w:ascii="Times New Roman" w:hAnsi="Times New Roman"/>
          <w:sz w:val="20"/>
        </w:rPr>
      </w:pPr>
      <w:r>
        <w:rPr>
          <w:rFonts w:ascii="Times New Roman" w:hAnsi="Times New Roman"/>
          <w:color w:val="000000"/>
          <w:sz w:val="24"/>
        </w:rPr>
        <w:t>19</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 xml:space="preserve">Cooperation. </w:t>
      </w:r>
      <w:r>
        <w:rPr>
          <w:rFonts w:ascii="Times New Roman" w:hAnsi="Times New Roman"/>
          <w:color w:val="000000"/>
          <w:sz w:val="24"/>
        </w:rPr>
        <w:t xml:space="preserve">Upon request by United Therapeutics, MannKind shall provide reasonable assistance to United Therapeutics in relation to the regulatory activities described in this Section 4.2, including without limitation assisting United Therapeutics in the preparation of Regulatory Filings for Product in the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Right of Reference.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By MannKind</w:t>
      </w:r>
      <w:r>
        <w:rPr>
          <w:rFonts w:ascii="Times New Roman" w:hAnsi="Times New Roman"/>
          <w:color w:val="000000"/>
          <w:sz w:val="24"/>
        </w:rPr>
        <w:t>. MannKind shall grant to United Therapeutics: (a) a right of reference with respect to the DMF as well as to all other Regulatory Filings (including Data contained therein) of MannKind or its Affiliates related to Product, and (b) the right to access such Regulatory Filings and any data therein and use such data in connection with the performance of its obligations and exercise of its rights under this Agreement, including inclusion of such data in its own Regulatory Filings for Product, which rights United Therapeutics may extend to its Affiliates and sublicensees of such Products. Upon request from United Therapeutics, MannKind shall provide a signed statement to this effect, if United Therapeutics, in accordance with 21 C.F.R. § 314.50(g)(3) or the equivalent as required in any country or region or otherwise provide appropriate notification of such right of United Therapeutics to the applicable Regulatory Authority. MannKind will provide, and cause its Affiliates to provide, cooperation to United Therapeutics to effect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By United Therapeutics</w:t>
      </w:r>
      <w:r>
        <w:rPr>
          <w:rFonts w:ascii="Times New Roman" w:hAnsi="Times New Roman"/>
          <w:color w:val="000000"/>
          <w:sz w:val="24"/>
        </w:rPr>
        <w:t>. United Therapeutics shall grant to MannKind: (a) a right of reference with respect to Regulatory Filings (including Data contained therein) of United Therapeutics or its Affiliates related to Product, and (b) the right to access such Regulatory Filings and any data therein and use such data in connection with its own Regulatory Filings for products other than Product, which rights MannKind may extend to its Affiliates and licensees of such products. Upon request from MannKind, United Therapeutics shall provide a signed statement to this effect, if MannKind, in accordance with 21 C.F.R. § 314.50(g)(3) or the equivalent as required in any country or region or otherwise provide appropriate notification of such right of MannKind to the applicable Regulatory Authority. United Therapeutics will provide, and cause its Affiliates to provide, cooperation to MannKind to effect the foregoing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20</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4.4</w:t>
      </w:r>
    </w:p>
    <w:p>
      <w:pPr>
        <w:pStyle w:val="TextBody"/>
        <w:bidi w:val="0"/>
        <w:spacing w:before="0" w:after="240"/>
        <w:jc w:val="both"/>
        <w:rPr/>
      </w:pPr>
      <w:r>
        <w:rPr>
          <w:rFonts w:ascii="Times New Roman" w:hAnsi="Times New Roman"/>
          <w:b/>
          <w:color w:val="000000"/>
          <w:sz w:val="24"/>
        </w:rPr>
        <w:t>Regulatory Updates</w:t>
      </w:r>
      <w:r>
        <w:rPr>
          <w:rFonts w:ascii="Times New Roman" w:hAnsi="Times New Roman"/>
          <w:color w:val="000000"/>
          <w:sz w:val="24"/>
        </w:rPr>
        <w:t>. United Therapeutics agrees to keep MannKind reasonably informed as to the regulatory strategy and regulatory activities carried out by or on behalf of United Therapeutics, its Affiliates and sublicensees relating to Product, including its material correspondence and meetings with Regulatory Authorities, by way of updates to the ESC at its meetings and as otherwise reasonably requested by MannKind.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4.5</w:t>
      </w:r>
    </w:p>
    <w:p>
      <w:pPr>
        <w:pStyle w:val="TextBody"/>
        <w:bidi w:val="0"/>
        <w:spacing w:before="0" w:after="240"/>
        <w:jc w:val="both"/>
        <w:rPr/>
      </w:pPr>
      <w:r>
        <w:rPr>
          <w:rFonts w:ascii="Times New Roman" w:hAnsi="Times New Roman"/>
          <w:b/>
          <w:color w:val="000000"/>
          <w:sz w:val="24"/>
        </w:rPr>
        <w:t xml:space="preserve">Use of Subcontractors. </w:t>
      </w:r>
      <w:r>
        <w:rPr>
          <w:rFonts w:ascii="Times New Roman" w:hAnsi="Times New Roman"/>
          <w:color w:val="000000"/>
          <w:sz w:val="24"/>
        </w:rPr>
        <w:t>MannKind shall not assign, delegate, or subcontract to a Third Party any of the development or regulatory activities assigned to it under the Development Plan without the prior written approval of United Therapeutics, provided that the Parties agree that the subcontractors listed in the Initial Development Plan (“</w:t>
      </w:r>
      <w:r>
        <w:rPr>
          <w:rFonts w:ascii="Times New Roman" w:hAnsi="Times New Roman"/>
          <w:b/>
          <w:i/>
          <w:color w:val="000000"/>
          <w:sz w:val="24"/>
        </w:rPr>
        <w:t>Approved Suppliers</w:t>
      </w:r>
      <w:r>
        <w:rPr>
          <w:color w:val="000000"/>
        </w:rPr>
        <w:t>”</w:t>
      </w:r>
      <w:r>
        <w:rPr>
          <w:rFonts w:ascii="Times New Roman" w:hAnsi="Times New Roman"/>
          <w:color w:val="000000"/>
          <w:sz w:val="24"/>
        </w:rPr>
        <w:t>) shall be deemed pre-approved for the tasks indicated therein. United Therapeutics shall be free to perform its development or regulatory activities under this Agreement through one or more subcontractors. In the event that either Party elects to use subcontractors as permitted in this Section 4.6, such Party shall ensure that (a) none of the other Party’s rights hereunder are diminished or otherwise adversely affected as a result of such subcontracting, and (b) the subcontractor undertakes in writing obligations of confidentiality and non-use regarding Confidential Information which are substantially the same as those undertaken by the Parties pursuant to Article 8. In the event a Party performs any of its development or regulatory activities hereunder through a subcontractor, then such Party will at all times be fully responsible for the performance and payment of such subcontractor.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21</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4.6</w:t>
      </w:r>
    </w:p>
    <w:p>
      <w:pPr>
        <w:pStyle w:val="TextBody"/>
        <w:bidi w:val="0"/>
        <w:spacing w:before="0" w:after="240"/>
        <w:jc w:val="both"/>
        <w:rPr/>
      </w:pPr>
      <w:r>
        <w:rPr>
          <w:rFonts w:ascii="Times New Roman" w:hAnsi="Times New Roman"/>
          <w:b/>
          <w:color w:val="000000"/>
          <w:sz w:val="24"/>
        </w:rPr>
        <w:t>Pharmacovigilance</w:t>
      </w:r>
      <w:r>
        <w:rPr>
          <w:rFonts w:ascii="Times New Roman" w:hAnsi="Times New Roman"/>
          <w:color w:val="000000"/>
          <w:sz w:val="24"/>
        </w:rPr>
        <w:t>. Upon United Therapeutics’ request, the Parties shall negotiate in good faith and enter into a mutually agreeable safety data exchange agreement (“</w:t>
      </w:r>
      <w:r>
        <w:rPr>
          <w:rFonts w:ascii="Times New Roman" w:hAnsi="Times New Roman"/>
          <w:b/>
          <w:i/>
          <w:color w:val="000000"/>
          <w:sz w:val="24"/>
        </w:rPr>
        <w:t>Pharmacovigilance Agreement</w:t>
      </w:r>
      <w:r>
        <w:rPr>
          <w:color w:val="000000"/>
        </w:rPr>
        <w:t>”</w:t>
      </w:r>
      <w:r>
        <w:rPr>
          <w:rFonts w:ascii="Times New Roman" w:hAnsi="Times New Roman"/>
          <w:color w:val="000000"/>
          <w:sz w:val="24"/>
        </w:rPr>
        <w:t>). Each Party shall comply or procure compliance with the terms and conditions of such Pharmacovigilance Agreement once it has been agreed and executed between the Parties. In the absence of a Pharmacovigilance Agreement, the following terms shall govern with respect to Adverse Events (as defined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and shall require its respective Affiliates 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notify the other Party promptly of all information coming into its possession concerning any untoward medical occurrence, whether or not considered Product-related, associated with clinical or commercial uses of a Product or any component thereof (including the Device or Processed FDKP utilized in a Product) (an “</w:t>
      </w:r>
      <w:r>
        <w:rPr>
          <w:rFonts w:ascii="Times New Roman" w:hAnsi="Times New Roman"/>
          <w:b/>
          <w:i/>
          <w:color w:val="000000"/>
          <w:sz w:val="24"/>
        </w:rPr>
        <w:t>Adverse Event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to the other Party a copy of any written submission made by such Party to a Regulatory Authority regarding Adverse Events no later than five (5) days following finalization of such written submission (and, to the extent permissible under time constraints and reporting requirements, in advance of submission to the applicable Regulatory Authority);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adhere to all requirements of Applicable Laws that relate to the reporting and investigation of Adverse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Party contracts with a Third Party for research to be performed by such Third Party on the Product, that Party shall require such Third Party to report to the contracting Party the information set forth above; and both Parties shall be furnished a copy of said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22</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Regulatory Actions</w:t>
      </w:r>
      <w:r>
        <w:rPr>
          <w:rFonts w:ascii="Times New Roman" w:hAnsi="Times New Roman"/>
          <w:color w:val="000000"/>
          <w:sz w:val="24"/>
        </w:rPr>
        <w:t>. All material information pertaining to actions taken by Regulatory Authorities with respect to products described in (i) and (ii) above, including without limitation, any notice, audit notice, notice of initiation by Regulatory Authorities of investigations, inspections, detentions, seizures or injunctions concerning such products, notice of violation letter (i.e., untitled letter), warning letter, service of process or other inquiry, but only to the extent in each case that such action pertains specifically to the Device component or the Processed FDKP component of the applicable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Regulatory Non-Compliance</w:t>
      </w:r>
      <w:r>
        <w:rPr>
          <w:rFonts w:ascii="Times New Roman" w:hAnsi="Times New Roman"/>
          <w:color w:val="000000"/>
          <w:sz w:val="24"/>
        </w:rPr>
        <w:t>. All material information pertaining to notices from Regulatory Authorities of non-compliance with Applicable Laws in connection with products described in (i) and (ii) above, including without limitation, receipt of a warning letter or other notice of alleged non-compliance from any Regulatory Authority relating to such products, but only to the extent in each case that such non-compliance pertains specifically to the Device component or the Processed FDKP component of the applicable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Safety Data</w:t>
      </w:r>
      <w:r>
        <w:rPr>
          <w:rFonts w:ascii="Times New Roman" w:hAnsi="Times New Roman"/>
          <w:color w:val="000000"/>
          <w:sz w:val="24"/>
        </w:rPr>
        <w:t>. Any information relating to products of the type described in (i) and (ii) above, including any information learned by the Party from its licensees or sublicensees, as applicable, that suggests a hazard, contraindication, side effect or precaution or other potential safety issue with such products, but only to the extent in each case that such hazard, contraindication, side effect or precaution or other potential safety issue is attributable to the Device component or the Processed FDKP component of the applicable product.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COMMERCIALIZATION; Manufacture and Supply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Commercialization of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United Therapeutics Responsibilities.</w:t>
      </w:r>
      <w:r>
        <w:rPr>
          <w:color w:val="000000"/>
        </w:rPr>
        <w:t xml:space="preserve"> </w:t>
      </w:r>
      <w:r>
        <w:rPr>
          <w:rFonts w:ascii="Times New Roman" w:hAnsi="Times New Roman"/>
          <w:color w:val="000000"/>
          <w:sz w:val="24"/>
        </w:rPr>
        <w:t>United Therapeutics shall have the exclusive right to commercialize Product in the Territory during the Term, subject to the terms and conditions of this Agreement. Without limiting the foregoing, during the Term, United Therapeutics will have the exclusive right and responsibility, at United Therapeutics’ sole expense, for the following with respect to Product 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establish the commercialization and marketing strategy and tactics (the “</w:t>
      </w:r>
      <w:r>
        <w:rPr>
          <w:rFonts w:ascii="Times New Roman" w:hAnsi="Times New Roman"/>
          <w:b/>
          <w:i/>
          <w:color w:val="000000"/>
          <w:sz w:val="24"/>
        </w:rPr>
        <w:t>Commercial Strategy</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establishing pricing and reimbursement, including payment of applicable rebates and chargebacks;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managed care and government contracting (including contracting for Product to be available under the Government Health Care Programs);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receiving, accepting and filling orders; </w:t>
      </w:r>
    </w:p>
    <w:p>
      <w:pPr>
        <w:pStyle w:val="TextBody"/>
        <w:bidi w:val="0"/>
        <w:jc w:val="left"/>
        <w:rPr>
          <w:rFonts w:ascii="Times New Roman" w:hAnsi="Times New Roman"/>
          <w:sz w:val="20"/>
        </w:rPr>
      </w:pPr>
      <w:r>
        <w:rPr>
          <w:rFonts w:ascii="Times New Roman" w:hAnsi="Times New Roman"/>
          <w:color w:val="000000"/>
          <w:sz w:val="24"/>
        </w:rPr>
        <w:t>23</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distribution to customers;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controlling invoicing, order processing and collecting accounts receivable for sales;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recording sales in its books of account for sales;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tracking and reporting transfers of value in connection with Product under applicable state and federal “aggregate spend”/“sunshine” reporting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Commercialization Plan.</w:t>
      </w:r>
      <w:r>
        <w:rPr>
          <w:color w:val="000000"/>
        </w:rPr>
        <w:t xml:space="preserve"> </w:t>
      </w:r>
      <w:r>
        <w:rPr>
          <w:rFonts w:ascii="Times New Roman" w:hAnsi="Times New Roman"/>
          <w:color w:val="000000"/>
          <w:sz w:val="24"/>
        </w:rPr>
        <w:t>At least six (6) months prior to anticipated launch of Product, United Therapeutics shall prepare a three-year, non-binding high-level plan for the marketing, promotion and pricing of Product in the Field in the United States as well as a more detailed, non-binding one-year plan that shall contain the commercialization objectives to be achieved during the applicable Calendar Year, the launch, promotion, distribution, detailing and marketing activities to be performed in pursuit of such objectives in such Calendar Year, and a budget setting out the amounts anticipated to be expended in the performance of such activities during such Calendar Year (such three-year high level plan and more detailed one-year plan, collectively the “</w:t>
      </w:r>
      <w:r>
        <w:rPr>
          <w:rFonts w:ascii="Times New Roman" w:hAnsi="Times New Roman"/>
          <w:b/>
          <w:i/>
          <w:color w:val="000000"/>
          <w:sz w:val="24"/>
        </w:rPr>
        <w:t>Commercialization Plan</w:t>
      </w:r>
      <w:r>
        <w:rPr>
          <w:color w:val="000000"/>
        </w:rPr>
        <w:t>”</w:t>
      </w:r>
      <w:r>
        <w:rPr>
          <w:rFonts w:ascii="Times New Roman" w:hAnsi="Times New Roman"/>
          <w:color w:val="000000"/>
          <w:sz w:val="24"/>
        </w:rPr>
        <w:t>). Thereafter, United Therapeutics shall provide an updated Commercialization Plan to MannKind on an annual basis and shall additionally modify each such Commercialization Plan throughout the Calendar Year as it deems necessary in its sole discretion to accurately reflect United Therapeutics’ then current plans for the Product, provided that any material amendments to the Commercialization Plan shall be promptly provided to MannKind. Without limiting the provisions of this Section 5.1, at MannKind’s reasonable request, United Therapeutics shall periodically consult with and provide updates to MannKind regarding the Commercial Strategy and commercialization of Product 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United Therapeutics Obligations.</w:t>
      </w:r>
      <w:r>
        <w:rPr>
          <w:color w:val="000000"/>
        </w:rPr>
        <w:t xml:space="preserve"> </w:t>
      </w:r>
      <w:r>
        <w:rPr>
          <w:rFonts w:ascii="Times New Roman" w:hAnsi="Times New Roman"/>
          <w:color w:val="000000"/>
          <w:sz w:val="24"/>
        </w:rPr>
        <w:t>United Therapeutics shall endeavor in good faith to market, promote and commercialize Product in the Field in the Territory in accordance with the provisions of this Agreement and the then-current Commercialization Plan. It is acknowledged that the intent of Sections 5.1(b) and Section 5.1(c) is to provide MannKind with an accurate understanding of United Therapeutics plans for the commercialization of the Product in the Territory and that so long as United Therapeutics (i) has endeavored in good faith to ensure that the Commercialization Plan accurately reflects United Therapeutics’ plans for the commercialization of the Product and (ii) attempts in good faith to carry out the activities described in the current Commercialization Plan, it shall have complied with its obligations under this Section 5.1. Failure to comply in any material respect with the obligations of this Section 5.1(c) as described in the preceding sentence shall be deemed a material breach of this Agreement, subject to all of the terms and conditions applicable to a material breach.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24</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Manufacture and Supply.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Initial Clinical Supply and Clinical Supply for Pivotal Study and Product Launch</w:t>
      </w:r>
      <w:r>
        <w:rPr>
          <w:rFonts w:ascii="Times New Roman" w:hAnsi="Times New Roman"/>
          <w:color w:val="000000"/>
          <w:sz w:val="24"/>
        </w:rPr>
        <w:t>. The Parties shall establish as soon as practicable following the Effective Date procedures for the supply of Initial Product to United Therapeutics for use by United Therapeutics in continuing the development of the Initial Product, and the Parties shall enter into a clinical supply agreement within three (3) months of the Effective Date pursuant to which MannKind shall supply United Therapeutics with (i) finished Initial Product suitable for use by United Therapeutics in clinical trials, and (ii) semi-finished Product (unkitted, unlabeled Devices and packaged cartridges for Initial Product) for use in the planned pivotal trial for the Initial Product and for subsequent commercial launch, the key terms of which agreement are set forth on an exhibit attached to a separate letter delivered by MannKind to United Therapeutics and agreed to in writing by United Therapeutics as of the Execution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Long Term Commercial Supply</w:t>
      </w:r>
      <w:r>
        <w:rPr>
          <w:rFonts w:ascii="Times New Roman" w:hAnsi="Times New Roman"/>
          <w:color w:val="000000"/>
          <w:sz w:val="24"/>
        </w:rPr>
        <w:t>. At United Therapeutics’ request, the Parties shall enter into long term commercial supply agreement pursuant to which MannKind shall supply United Therapeutics with assembled Devices (unfilled), unassembled cartridges (lids and cups) and Processed FDKP, which United Therapeutics would then use to manufacture fully packaged, kitted and labeled Initial Product, the key terms of which agreement are set forth on an exhibit attached to a separate letter delivered by MannKind to United Therapeutics and agreed to in writing by United Therapeutics as of the Execution Date. If desired by the Parties, the supply of Accessory Apparatuses may also be included in the long-term commercial supply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Manufacturing Information</w:t>
      </w:r>
      <w:r>
        <w:rPr>
          <w:rFonts w:ascii="Times New Roman" w:hAnsi="Times New Roman"/>
          <w:color w:val="000000"/>
          <w:sz w:val="24"/>
        </w:rPr>
        <w:t>. On United Therapeutics request, MannKind shall deliver to United Therapeutics, at no additional cost or expense to United Therapeutics, all Manufacturing Information that exists as of the Effective Date. Upon United Therapeutics’ request at any time, MannKind shall also deliver to United Therapeutics, at no additional cost or expense to United Therapeutics, all Manufacturing Information that has not previously been provided under this Agreement, promptly upon such Manufacturing Information being obtained or generated by MannKind. The Manufacturing Information will be of sufficient detail to enable a reasonably experienced manufacturer to manufacture, assemble, test, operate, and service the Initial Product.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25</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6</w:t>
      </w:r>
    </w:p>
    <w:p>
      <w:pPr>
        <w:pStyle w:val="TextBody"/>
        <w:bidi w:val="0"/>
        <w:spacing w:before="0" w:after="240"/>
        <w:jc w:val="center"/>
        <w:rPr/>
      </w:pPr>
      <w:r>
        <w:rPr>
          <w:rFonts w:ascii="Times New Roman" w:hAnsi="Times New Roman"/>
          <w:b/>
          <w:caps/>
          <w:color w:val="000000"/>
          <w:sz w:val="24"/>
          <w:u w:val="single"/>
        </w:rPr>
        <w:br/>
      </w:r>
      <w:r>
        <w:rPr>
          <w:rFonts w:ascii="Times New Roman" w:hAnsi="Times New Roman"/>
          <w:b/>
          <w:caps/>
          <w:color w:val="000000"/>
          <w:sz w:val="24"/>
        </w:rPr>
        <w:br/>
        <w:t>Consideration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Initial Payment.</w:t>
      </w:r>
      <w:r>
        <w:rPr>
          <w:color w:val="000000"/>
        </w:rPr>
        <w:t xml:space="preserve"> </w:t>
      </w:r>
      <w:r>
        <w:rPr>
          <w:rFonts w:ascii="Times New Roman" w:hAnsi="Times New Roman"/>
          <w:color w:val="000000"/>
          <w:sz w:val="24"/>
        </w:rPr>
        <w:t>In partial consideration for the licenses and rights granted to United Therapeutics hereunder, United Therapeutics shall pay to MannKind a non-refundable, non-creditable payment in the amount of $45,000,000 within 10 Business Days following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Milestone Payments.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Generally</w:t>
      </w:r>
      <w:r>
        <w:rPr>
          <w:rFonts w:ascii="Times New Roman" w:hAnsi="Times New Roman"/>
          <w:color w:val="000000"/>
          <w:sz w:val="24"/>
        </w:rPr>
        <w:t>. In partial consideration for the licenses and rights granted to United Therapeutics hereunder, and on the terms and subject to the conditions set forth herein, United Therapeutics shall pay to MannKind the following non-refundable, non-creditable milestone payments set out below (the “</w:t>
      </w:r>
      <w:r>
        <w:rPr>
          <w:rFonts w:ascii="Times New Roman" w:hAnsi="Times New Roman"/>
          <w:b/>
          <w:i/>
          <w:color w:val="000000"/>
          <w:sz w:val="24"/>
        </w:rPr>
        <w:t>Milestone Payments</w:t>
      </w:r>
      <w:r>
        <w:rPr>
          <w:color w:val="000000"/>
        </w:rPr>
        <w:t>”</w:t>
      </w:r>
      <w:r>
        <w:rPr>
          <w:rFonts w:ascii="Times New Roman" w:hAnsi="Times New Roman"/>
          <w:color w:val="000000"/>
          <w:sz w:val="24"/>
        </w:rPr>
        <w:t>) following the achievement of the corresponding milestone events (each, a “</w:t>
      </w:r>
      <w:r>
        <w:rPr>
          <w:rFonts w:ascii="Times New Roman" w:hAnsi="Times New Roman"/>
          <w:b/>
          <w:i/>
          <w:color w:val="000000"/>
          <w:sz w:val="24"/>
        </w:rPr>
        <w:t>Milestone</w:t>
      </w:r>
      <w:r>
        <w:rPr>
          <w:color w:val="000000"/>
        </w:rPr>
        <w:t>”</w:t>
      </w:r>
      <w:r>
        <w:rPr>
          <w:rFonts w:ascii="Times New Roman" w:hAnsi="Times New Roman"/>
          <w:color w:val="000000"/>
          <w:sz w:val="24"/>
        </w:rPr>
        <w:t xml:space="preserve">). Such payment shall be made within 10 Business Days of the achievement of the applicable milestone event by United Therapeutics. </w:t>
      </w:r>
    </w:p>
    <w:tbl>
      <w:tblPr>
        <w:tblW w:w="4562" w:type="dxa"/>
        <w:jc w:val="left"/>
        <w:tblInd w:w="0" w:type="dxa"/>
        <w:tblLayout w:type="fixed"/>
        <w:tblCellMar>
          <w:top w:w="28" w:type="dxa"/>
          <w:left w:w="28" w:type="dxa"/>
          <w:bottom w:w="28" w:type="dxa"/>
          <w:right w:w="28" w:type="dxa"/>
        </w:tblCellMar>
      </w:tblPr>
      <w:tblGrid>
        <w:gridCol w:w="1756"/>
        <w:gridCol w:w="2806"/>
      </w:tblGrid>
      <w:tr>
        <w:trPr/>
        <w:tc>
          <w:tcPr>
            <w:tcW w:w="175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17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Milestone Event</w:t>
            </w:r>
          </w:p>
        </w:tc>
        <w:tc>
          <w:tcPr>
            <w:tcW w:w="28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720"/>
              <w:jc w:val="center"/>
              <w:rPr>
                <w:rFonts w:ascii="Times New Roman" w:hAnsi="Times New Roman"/>
                <w:b/>
                <w:color w:val="000000"/>
                <w:sz w:val="24"/>
              </w:rPr>
            </w:pPr>
            <w:r>
              <w:rPr>
                <w:rFonts w:ascii="Times New Roman" w:hAnsi="Times New Roman"/>
                <w:b/>
                <w:color w:val="000000"/>
                <w:sz w:val="24"/>
              </w:rPr>
              <w:t>Milestone Payment</w:t>
            </w:r>
          </w:p>
        </w:tc>
      </w:tr>
      <w:tr>
        <w:trPr/>
        <w:tc>
          <w:tcPr>
            <w:tcW w:w="17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0" w:after="240"/>
              <w:ind w:left="0" w:right="0" w:hanging="720"/>
              <w:jc w:val="left"/>
              <w:rPr>
                <w:rFonts w:ascii="Times New Roman" w:hAnsi="Times New Roman"/>
                <w:sz w:val="24"/>
              </w:rPr>
            </w:pPr>
            <w:r>
              <w:rPr>
                <w:rFonts w:ascii="Times New Roman" w:hAnsi="Times New Roman"/>
                <w:b/>
                <w:color w:val="000000"/>
                <w:sz w:val="24"/>
              </w:rPr>
              <w:t>(A)</w:t>
            </w:r>
            <w:r>
              <w:rPr>
                <w:rFonts w:ascii="Times New Roman" w:hAnsi="Times New Roman"/>
                <w:color w:val="000000"/>
                <w:sz w:val="24"/>
              </w:rPr>
              <w:t>  [***]</w:t>
            </w:r>
          </w:p>
        </w:tc>
        <w:tc>
          <w:tcPr>
            <w:tcW w:w="28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$12,500,000</w:t>
            </w:r>
          </w:p>
        </w:tc>
      </w:tr>
      <w:tr>
        <w:trPr/>
        <w:tc>
          <w:tcPr>
            <w:tcW w:w="17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0" w:after="240"/>
              <w:ind w:left="0" w:right="0" w:hanging="720"/>
              <w:jc w:val="left"/>
              <w:rPr>
                <w:rFonts w:ascii="Times New Roman" w:hAnsi="Times New Roman"/>
                <w:sz w:val="24"/>
              </w:rPr>
            </w:pPr>
            <w:r>
              <w:rPr>
                <w:rFonts w:ascii="Times New Roman" w:hAnsi="Times New Roman"/>
                <w:b/>
                <w:color w:val="000000"/>
                <w:sz w:val="24"/>
              </w:rPr>
              <w:t>(B)</w:t>
            </w:r>
            <w:r>
              <w:rPr>
                <w:rFonts w:ascii="Times New Roman" w:hAnsi="Times New Roman"/>
                <w:color w:val="000000"/>
                <w:sz w:val="24"/>
              </w:rPr>
              <w:t> [***]</w:t>
            </w:r>
          </w:p>
        </w:tc>
        <w:tc>
          <w:tcPr>
            <w:tcW w:w="28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$12,500,000</w:t>
            </w:r>
          </w:p>
        </w:tc>
      </w:tr>
      <w:tr>
        <w:trPr/>
        <w:tc>
          <w:tcPr>
            <w:tcW w:w="17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0" w:after="240"/>
              <w:ind w:left="0" w:right="0" w:hanging="720"/>
              <w:jc w:val="left"/>
              <w:rPr>
                <w:rFonts w:ascii="Times New Roman" w:hAnsi="Times New Roman"/>
                <w:sz w:val="24"/>
              </w:rPr>
            </w:pPr>
            <w:r>
              <w:rPr>
                <w:rFonts w:ascii="Times New Roman" w:hAnsi="Times New Roman"/>
                <w:b/>
                <w:color w:val="000000"/>
                <w:sz w:val="24"/>
              </w:rPr>
              <w:t xml:space="preserve">(C) </w:t>
            </w:r>
            <w:r>
              <w:rPr>
                <w:rFonts w:ascii="Times New Roman" w:hAnsi="Times New Roman"/>
                <w:color w:val="000000"/>
                <w:sz w:val="24"/>
              </w:rPr>
              <w:t xml:space="preserve">[***] </w:t>
            </w:r>
          </w:p>
        </w:tc>
        <w:tc>
          <w:tcPr>
            <w:tcW w:w="28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right"/>
              <w:rPr>
                <w:rFonts w:ascii="Times New Roman" w:hAnsi="Times New Roman"/>
                <w:color w:val="000000"/>
                <w:sz w:val="24"/>
              </w:rPr>
            </w:pPr>
            <w:r>
              <w:rPr>
                <w:rFonts w:ascii="Times New Roman" w:hAnsi="Times New Roman"/>
                <w:color w:val="000000"/>
                <w:sz w:val="24"/>
              </w:rPr>
              <w:t>$12,500,000</w:t>
            </w:r>
          </w:p>
        </w:tc>
      </w:tr>
    </w:tbl>
    <w:p>
      <w:pPr>
        <w:pStyle w:val="TextBody"/>
        <w:bidi w:val="0"/>
        <w:jc w:val="left"/>
        <w:rPr>
          <w:rFonts w:ascii="Times New Roman" w:hAnsi="Times New Roman"/>
          <w:sz w:val="20"/>
        </w:rPr>
      </w:pPr>
      <w:r>
        <w:rPr>
          <w:rFonts w:ascii="Times New Roman" w:hAnsi="Times New Roman"/>
          <w:color w:val="000000"/>
          <w:sz w:val="24"/>
        </w:rPr>
        <w:t>26</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tbl>
      <w:tblPr>
        <w:tblW w:w="3092" w:type="dxa"/>
        <w:jc w:val="left"/>
        <w:tblInd w:w="0" w:type="dxa"/>
        <w:tblLayout w:type="fixed"/>
        <w:tblCellMar>
          <w:top w:w="28" w:type="dxa"/>
          <w:left w:w="28" w:type="dxa"/>
          <w:bottom w:w="28" w:type="dxa"/>
          <w:right w:w="28" w:type="dxa"/>
        </w:tblCellMar>
      </w:tblPr>
      <w:tblGrid>
        <w:gridCol w:w="1021"/>
        <w:gridCol w:w="2071"/>
      </w:tblGrid>
      <w:tr>
        <w:trPr/>
        <w:tc>
          <w:tcPr>
            <w:tcW w:w="102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02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pBdr/>
              <w:bidi w:val="0"/>
              <w:spacing w:before="0" w:after="240"/>
              <w:ind w:left="0" w:right="0" w:hanging="720"/>
              <w:jc w:val="left"/>
              <w:rPr>
                <w:rFonts w:ascii="Times New Roman" w:hAnsi="Times New Roman"/>
                <w:sz w:val="24"/>
              </w:rPr>
            </w:pPr>
            <w:r>
              <w:rPr>
                <w:rFonts w:ascii="Times New Roman" w:hAnsi="Times New Roman"/>
                <w:b/>
                <w:color w:val="000000"/>
                <w:sz w:val="24"/>
              </w:rPr>
              <w:t>(D)</w:t>
            </w:r>
            <w:r>
              <w:rPr>
                <w:rFonts w:ascii="Times New Roman" w:hAnsi="Times New Roman"/>
                <w:color w:val="000000"/>
                <w:sz w:val="24"/>
              </w:rPr>
              <w:t> [***]</w:t>
            </w:r>
          </w:p>
        </w:tc>
        <w:tc>
          <w:tcPr>
            <w:tcW w:w="20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$12,500,000</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0" w:after="240"/>
              <w:ind w:left="0" w:right="0" w:hanging="720"/>
              <w:jc w:val="left"/>
              <w:rPr>
                <w:rFonts w:ascii="Times New Roman" w:hAnsi="Times New Roman"/>
                <w:sz w:val="24"/>
              </w:rPr>
            </w:pPr>
            <w:r>
              <w:rPr>
                <w:rFonts w:ascii="Times New Roman" w:hAnsi="Times New Roman"/>
                <w:b/>
                <w:color w:val="000000"/>
                <w:sz w:val="24"/>
              </w:rPr>
              <w:t>(E)</w:t>
            </w:r>
            <w:r>
              <w:rPr>
                <w:rFonts w:ascii="Times New Roman" w:hAnsi="Times New Roman"/>
                <w:color w:val="000000"/>
                <w:sz w:val="24"/>
              </w:rPr>
              <w:t> [***]</w:t>
            </w:r>
          </w:p>
        </w:tc>
        <w:tc>
          <w:tcPr>
            <w:tcW w:w="20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$15,000,000</w:t>
            </w:r>
          </w:p>
        </w:tc>
      </w:tr>
      <w:tr>
        <w:trPr/>
        <w:tc>
          <w:tcPr>
            <w:tcW w:w="1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0" w:after="240"/>
              <w:ind w:left="0" w:right="0" w:hanging="720"/>
              <w:jc w:val="left"/>
              <w:rPr>
                <w:rFonts w:ascii="Times New Roman" w:hAnsi="Times New Roman"/>
                <w:sz w:val="24"/>
              </w:rPr>
            </w:pPr>
            <w:r>
              <w:rPr>
                <w:rFonts w:ascii="Times New Roman" w:hAnsi="Times New Roman"/>
                <w:b/>
                <w:color w:val="000000"/>
                <w:sz w:val="24"/>
              </w:rPr>
              <w:t xml:space="preserve">(F) </w:t>
            </w:r>
            <w:r>
              <w:rPr>
                <w:rFonts w:ascii="Times New Roman" w:hAnsi="Times New Roman"/>
                <w:color w:val="000000"/>
                <w:sz w:val="24"/>
              </w:rPr>
              <w:t>[***]</w:t>
            </w:r>
          </w:p>
        </w:tc>
        <w:tc>
          <w:tcPr>
            <w:tcW w:w="20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right"/>
              <w:rPr>
                <w:rFonts w:ascii="Times New Roman" w:hAnsi="Times New Roman"/>
                <w:color w:val="000000"/>
                <w:sz w:val="24"/>
              </w:rPr>
            </w:pPr>
            <w:r>
              <w:rPr>
                <w:rFonts w:ascii="Times New Roman" w:hAnsi="Times New Roman"/>
                <w:color w:val="000000"/>
                <w:sz w:val="24"/>
              </w:rPr>
              <w:t>$15,000,000</w:t>
            </w:r>
          </w:p>
        </w:tc>
      </w:tr>
    </w:tbl>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Certain Additional Terms. </w:t>
      </w:r>
      <w:r>
        <w:rPr>
          <w:rFonts w:ascii="Times New Roman" w:hAnsi="Times New Roman"/>
          <w:color w:val="000000"/>
          <w:sz w:val="24"/>
        </w:rPr>
        <w:t>For the avoidance of doubt, the following shall apply to Milestone Payments: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Milestone Payments (A) through (D) above shall be made no more than once (and each only upon the first achievement of the corresponding milestone), irrespective of how many Products achieve the corresponding milestone. Milestone Payments (E) and (F) above may be paid more than once (i.e., if there are multiple Optioned Agents), but each shall be paid only once for the first Optioned Product for each Optioned Agent that reaches the corresponding milestone.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unachieved Milestone Payments shall accrue and be due once notice has been given by United Therapeutics for termination of this Agreement in its entirety under Article 12.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Royalty Payments.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Royalty Rate.</w:t>
      </w:r>
      <w:r>
        <w:rPr>
          <w:color w:val="000000"/>
        </w:rPr>
        <w:t xml:space="preserve"> </w:t>
      </w:r>
      <w:r>
        <w:rPr>
          <w:rFonts w:ascii="Times New Roman" w:hAnsi="Times New Roman"/>
          <w:color w:val="000000"/>
          <w:sz w:val="24"/>
        </w:rPr>
        <w:t>Subject to the terms and conditions of this Agreement, in partial consideration for the licenses and rights granted to United Therapeutics under this Agreement, United Therapeutics shall pay to MannKind a royalty of 10% on aggregate Net Sales of Product in the Territory.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27</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Royalty Term.</w:t>
      </w:r>
      <w:r>
        <w:rPr>
          <w:color w:val="000000"/>
        </w:rPr>
        <w:t xml:space="preserve"> </w:t>
      </w:r>
      <w:r>
        <w:rPr>
          <w:rFonts w:ascii="Times New Roman" w:hAnsi="Times New Roman"/>
          <w:color w:val="000000"/>
          <w:sz w:val="24"/>
        </w:rPr>
        <w:t>On a Product-by-Product and country-by-country basis, United Therapeutics will be obligated to make royalty payments pursuant to this Section 6.3 beginning upon the First Commercial Sale of Product in such country and continuing until the later of (i) the expiration of the last-to-expire Valid Claim covering Product (or the Formulation or Device included in Product) or its manufacture or use in such country and (ii) the expiration of Regulatory Exclusivity in such country. After the later date described in Section 6.3(c)(i) and (ii), in consideration of the continuing license of MannKind Know-How and Joint Inventions, royalties shall continue to be payable with respect to Net Sales of Product in such country, but the amount of periodic Net Sales shall be reduced by [***]%for purposes of calculating royalties payable in accordance with Section 6.3(a).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Loss of Market Exclusivity</w:t>
      </w:r>
      <w:r>
        <w:rPr>
          <w:rFonts w:ascii="Times New Roman" w:hAnsi="Times New Roman"/>
          <w:color w:val="000000"/>
          <w:sz w:val="24"/>
        </w:rPr>
        <w:t>. On a Product-by-Product and country-by-country basis, in the event of Loss of Market Exclusivity, the royalty payment due to United Therapeutics for Net Sales of Product in such country shall be reduced to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Aggregate Floor for Royalty Reductions</w:t>
      </w:r>
      <w:r>
        <w:rPr>
          <w:rFonts w:ascii="Times New Roman" w:hAnsi="Times New Roman"/>
          <w:color w:val="000000"/>
          <w:sz w:val="24"/>
        </w:rPr>
        <w:t>. Notwithstanding Sections 6.3(b), (c) and (d), the royalty payment to MannKind shall not be reduced in any Calendar Quarter to less than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0" w:after="240"/>
        <w:jc w:val="both"/>
        <w:rPr/>
      </w:pPr>
      <w:r>
        <w:rPr>
          <w:rFonts w:ascii="Times New Roman" w:hAnsi="Times New Roman"/>
          <w:b/>
          <w:color w:val="000000"/>
          <w:sz w:val="24"/>
        </w:rPr>
        <w:t>Reimbursement of Development Expenses.</w:t>
      </w:r>
      <w:r>
        <w:rPr>
          <w:color w:val="000000"/>
        </w:rPr>
        <w:t xml:space="preserve"> </w:t>
      </w:r>
      <w:r>
        <w:rPr>
          <w:rFonts w:ascii="Times New Roman" w:hAnsi="Times New Roman"/>
          <w:color w:val="000000"/>
          <w:sz w:val="24"/>
        </w:rPr>
        <w:t xml:space="preserve">Subject to the terms of this Section 6.4, (i) United Therapeutics shall reimburse MannKind for the Development Expenses it incurs in carrying out those obligations under a Development Plan which are expressly designated as being subject to reimbursement by United Therapeutics;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United Therapeutics shall not be responsible for reimbursing MannKind for Development Expenses that exceed the amount budgeted for such activities in the applicable Budget by more than [***]% unless otherwise approved by the ESC.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Payment.</w:t>
      </w:r>
      <w:r>
        <w:rPr>
          <w:color w:val="000000"/>
        </w:rPr>
        <w:t xml:space="preserve"> </w:t>
      </w:r>
      <w:r>
        <w:rPr>
          <w:rFonts w:ascii="Times New Roman" w:hAnsi="Times New Roman"/>
          <w:color w:val="000000"/>
          <w:sz w:val="24"/>
        </w:rPr>
        <w:t>Within 30 days after the end of each Calendar Quarter, MannKind will provide United Therapeutics a written report (each, a “</w:t>
      </w:r>
      <w:r>
        <w:rPr>
          <w:rFonts w:ascii="Times New Roman" w:hAnsi="Times New Roman"/>
          <w:b/>
          <w:i/>
          <w:color w:val="000000"/>
          <w:sz w:val="24"/>
        </w:rPr>
        <w:t>Quarterly Report</w:t>
      </w:r>
      <w:r>
        <w:rPr>
          <w:color w:val="000000"/>
        </w:rPr>
        <w:t>”</w:t>
      </w:r>
      <w:r>
        <w:rPr>
          <w:rFonts w:ascii="Times New Roman" w:hAnsi="Times New Roman"/>
          <w:color w:val="000000"/>
          <w:sz w:val="24"/>
        </w:rPr>
        <w:t>) setting forth in reasonable detail the Development Expenses for such Calendar Quarter that are reimbursable by United Therapeutics to MannKind in accordance with Section 6.4(a). United Therapeutics shall pay the amount due to MannKind as set forth in the applicable Quarterly Report within 30 days after receipt of such Quarterly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28</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7</w:t>
      </w:r>
    </w:p>
    <w:p>
      <w:pPr>
        <w:pStyle w:val="TextBody"/>
        <w:bidi w:val="0"/>
        <w:spacing w:before="0" w:after="240"/>
        <w:jc w:val="center"/>
        <w:rPr/>
      </w:pPr>
      <w:r>
        <w:rPr>
          <w:rFonts w:ascii="Times New Roman" w:hAnsi="Times New Roman"/>
          <w:b/>
          <w:caps/>
          <w:color w:val="000000"/>
          <w:sz w:val="24"/>
          <w:u w:val="single"/>
        </w:rPr>
        <w:br/>
        <w:br/>
      </w:r>
      <w:r>
        <w:rPr>
          <w:rFonts w:ascii="Times New Roman" w:hAnsi="Times New Roman"/>
          <w:b/>
          <w:caps/>
          <w:color w:val="000000"/>
          <w:sz w:val="24"/>
        </w:rPr>
        <w:t>Payments, Books and Records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Royalty Report and Payment.</w:t>
      </w:r>
      <w:r>
        <w:rPr>
          <w:color w:val="000000"/>
        </w:rPr>
        <w:t xml:space="preserve"> </w:t>
      </w:r>
      <w:r>
        <w:rPr>
          <w:rFonts w:ascii="Times New Roman" w:hAnsi="Times New Roman"/>
          <w:color w:val="000000"/>
          <w:sz w:val="24"/>
        </w:rPr>
        <w:t>During the Term, within [***] days after the end of each Calendar Quarter, United Therapeutics shall deliver to MannKind a report setting forth the gross sales of Product and Net Sales in the relevant Calendar Quarter and a calculation of the payments due under Section 6.3 (a “</w:t>
      </w:r>
      <w:r>
        <w:rPr>
          <w:rFonts w:ascii="Times New Roman" w:hAnsi="Times New Roman"/>
          <w:b/>
          <w:i/>
          <w:color w:val="000000"/>
          <w:sz w:val="24"/>
        </w:rPr>
        <w:t>Royalty Report</w:t>
      </w:r>
      <w:r>
        <w:rPr>
          <w:color w:val="000000"/>
        </w:rPr>
        <w:t>”</w:t>
      </w:r>
      <w:r>
        <w:rPr>
          <w:rFonts w:ascii="Times New Roman" w:hAnsi="Times New Roman"/>
          <w:color w:val="000000"/>
          <w:sz w:val="24"/>
        </w:rPr>
        <w:t xml:space="preserve">). Following receipt of any Royalty Report, MannKind shall issue an invoice for the amount stated by United Therapeutics to be payable to MannKind in such Royalty Report, and payment shall be due to MannKind by United Therapeutics within [***] days of its receipt of such invoice.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Payment Method.</w:t>
      </w:r>
      <w:r>
        <w:rPr>
          <w:color w:val="000000"/>
        </w:rPr>
        <w:t xml:space="preserve"> </w:t>
      </w:r>
      <w:r>
        <w:rPr>
          <w:rFonts w:ascii="Times New Roman" w:hAnsi="Times New Roman"/>
          <w:color w:val="000000"/>
          <w:sz w:val="24"/>
        </w:rPr>
        <w:t>All payments under this Agreement shall be made by bank wire transfer in immediately available funds to an account in the name of MannKind designated in writing by MannKind. Payments hereunder will be considered to be made as of the day on which they are received by MannKind’s designated bank.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Payment Currency.</w:t>
      </w:r>
      <w:bookmarkStart w:id="47" w:name="ole_link40"/>
      <w:bookmarkEnd w:id="47"/>
      <w:r>
        <w:rPr>
          <w:color w:val="000000"/>
        </w:rPr>
        <w:t xml:space="preserve"> </w:t>
      </w:r>
      <w:r>
        <w:rPr>
          <w:rFonts w:ascii="Times New Roman" w:hAnsi="Times New Roman"/>
          <w:color w:val="000000"/>
          <w:sz w:val="24"/>
        </w:rPr>
        <w:t>Unless otherwise expressly stated in this Agreement, all amounts specified to be payable under this Agreement are in United States Dollars and shall be paid in United States Dollars. Net Sales in the Territory invoiced in currency other than United States Dollars, as appropriate, shall be translated to United States Dollars using the exchange rate utilized by United Therapeutics in calculating its own revenues for financial reporting purposes.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Taxes.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Cooperation and Coordination. </w:t>
      </w:r>
      <w:r>
        <w:rPr>
          <w:rFonts w:ascii="Times New Roman" w:hAnsi="Times New Roman"/>
          <w:color w:val="000000"/>
          <w:sz w:val="24"/>
        </w:rPr>
        <w:t xml:space="preserve">The Parties acknowledge and agree that it is their mutual objective and intent to minimize, to the extent feasible, taxes payable with respect to their collaborative efforts under this Agreement and that they shall use their reasonable efforts to cooperate and coordinate with each other to achieve such objective. For the avoidance of doubt, the Parties expect that only United Therapeutics shall be responsible for the annual fee on prescription drug manufacturers imposed by the Patient Protection and Affordable Care Act, Pub. L. No. 111-148 (as amended) as a result of the sale of Products.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Payment of Tax. </w:t>
      </w:r>
      <w:r>
        <w:rPr>
          <w:rFonts w:ascii="Times New Roman" w:hAnsi="Times New Roman"/>
          <w:color w:val="000000"/>
          <w:sz w:val="24"/>
        </w:rPr>
        <w:t xml:space="preserve">A Party receiving a payment shall pay any and all taxes levied on such payment. If Applicable Laws require that taxes be deducted and withheld from a payment, the remitting Party shall (i) deduct those taxes from the payment; (ii) pay the taxes to the proper taxing authority; and (iii) send evidence of the obligation together with proof of payment to the other Party within 60 days following that payment.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29</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rPr>
        <w:t>Audits.</w:t>
      </w:r>
      <w:r>
        <w:rPr>
          <w:color w:val="000000"/>
        </w:rPr>
        <w:t xml:space="preserve"> </w:t>
      </w:r>
      <w:r>
        <w:rPr>
          <w:rFonts w:ascii="Times New Roman" w:hAnsi="Times New Roman"/>
          <w:color w:val="000000"/>
          <w:sz w:val="24"/>
        </w:rPr>
        <w:t>Upon not less than 60 days’ prior written notice, United Therapeutics shall permit an independent, certified public accountant selected by MannKind and reasonably acceptable to United Therapeutics, which acceptance will not be unreasonably withheld or delayed (for the purposes of this Section 7.6, the “</w:t>
      </w:r>
      <w:r>
        <w:rPr>
          <w:rFonts w:ascii="Times New Roman" w:hAnsi="Times New Roman"/>
          <w:b/>
          <w:i/>
          <w:color w:val="000000"/>
          <w:sz w:val="24"/>
        </w:rPr>
        <w:t>Auditor</w:t>
      </w:r>
      <w:r>
        <w:rPr>
          <w:color w:val="000000"/>
        </w:rPr>
        <w:t>”</w:t>
      </w:r>
      <w:r>
        <w:rPr>
          <w:rFonts w:ascii="Times New Roman" w:hAnsi="Times New Roman"/>
          <w:color w:val="000000"/>
          <w:sz w:val="24"/>
        </w:rPr>
        <w:t xml:space="preserve">), to audit or inspect those books or records of United Therapeutics and its Affiliates and sublicensees (to the extent United Therapeutics has the contractual right to audit and inspect the books and records of sublicensees) that relate to Net Sales and Royalty Reports for the sole purpose of verifying the: (a) royalties payable hereunder in respect of Net Sales; and (b) withholding taxes, if any, required by Applicable Laws to be deducted as a payment by United Therapeutics in respect of such Net Sales. The Auditor will disclose to MannKind only the amount and accuracy of payments reported and actually paid or otherwise payable under this Agreement. The Auditor will send a copy of the report to United Therapeutics at the same time it is sent to MannKind. Such inspections may be made no more than once each Calendar Year and during normal business hours. Such records for any particular Calendar Quarter shall be subject to no more than one inspection. The Auditor shall be obligated to execute a reasonable confidentiality agreement prior to commencing any such inspection. Inspections conducted under this Section 7.6 shall be at the expense of MannKind, unless a variation or error producing an underpayment in amounts payable exceeding 5% of the amount paid for a period covered by the inspection is established, in which case all reasonable costs relating to the inspection for such period and any unpaid amounts that are discovered shall be paid by United Therapeutics. The Parties will endeavor in such inspection to minimize disruption of United Therapeutics’ normal business activities to the extent reasonably practicable.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pPr>
      <w:r>
        <w:rPr>
          <w:rFonts w:ascii="Times New Roman" w:hAnsi="Times New Roman"/>
          <w:b/>
          <w:color w:val="000000"/>
          <w:sz w:val="24"/>
        </w:rPr>
        <w:t>Late Payments.</w:t>
      </w:r>
      <w:r>
        <w:rPr>
          <w:color w:val="000000"/>
        </w:rPr>
        <w:t xml:space="preserve"> </w:t>
      </w:r>
      <w:r>
        <w:rPr>
          <w:rFonts w:ascii="Times New Roman" w:hAnsi="Times New Roman"/>
          <w:color w:val="000000"/>
          <w:sz w:val="24"/>
        </w:rPr>
        <w:t>In the event that any payment due under this Agreement is not made when due, the payment shall accrue interest from the date due at a rate per annum equal to the U.S. Prime Rate (as set forth in the Wall Street Journal, Eastern Edition) for the date on which payment was due, calculated daily on the basis of a 365-day year, or similar reputable data source; provided that, in no event shall such rate exceed the maximum legal annual interest rate. The payment of such interest shall not limit the Party entitled to receive such payment from exercising any other rights it may have as a consequence of the lateness of any payment.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8</w:t>
      </w:r>
    </w:p>
    <w:p>
      <w:pPr>
        <w:pStyle w:val="TextBody"/>
        <w:bidi w:val="0"/>
        <w:spacing w:before="0" w:after="240"/>
        <w:jc w:val="center"/>
        <w:rPr/>
      </w:pPr>
      <w:r>
        <w:rPr>
          <w:rFonts w:ascii="Times New Roman" w:hAnsi="Times New Roman"/>
          <w:b/>
          <w:caps/>
          <w:color w:val="000000"/>
          <w:sz w:val="24"/>
          <w:u w:val="single"/>
        </w:rPr>
        <w:br/>
      </w:r>
      <w:r>
        <w:rPr>
          <w:rFonts w:ascii="Times New Roman" w:hAnsi="Times New Roman"/>
          <w:b/>
          <w:caps/>
          <w:color w:val="000000"/>
          <w:sz w:val="24"/>
        </w:rPr>
        <w:br/>
        <w:t>Confidentiality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Confidential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30</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pPr>
      <w:r>
        <w:rPr>
          <w:rFonts w:ascii="Times New Roman" w:hAnsi="Times New Roman"/>
          <w:b/>
          <w:color w:val="000000"/>
          <w:sz w:val="24"/>
        </w:rPr>
        <w:t>Exceptions.</w:t>
      </w:r>
      <w:r>
        <w:rPr>
          <w:color w:val="000000"/>
        </w:rPr>
        <w:t xml:space="preserve"> </w:t>
      </w:r>
      <w:r>
        <w:rPr>
          <w:rFonts w:ascii="Times New Roman" w:hAnsi="Times New Roman"/>
          <w:color w:val="000000"/>
          <w:sz w:val="24"/>
        </w:rPr>
        <w:t>Notwithstanding Section 8.1, the obligations of confidentiality and non</w:t>
        <w:noBreakHyphen/>
        <w:t>use shall not apply to Confidential Information that, in each case as demonstrated by competent evidence: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already known to the Receiving Party or any of its Affiliates, other than under an obligation of confidentiality, at the time of disclosure;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generally available to the public or was otherwise part of the public domain at the time of its disclosure to the Receiving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became generally available to the public or otherwise part of the public domain after its disclosure to the Receiving Party and other than through any act or omission of the Receiving Party or any of its Affiliates in breach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subsequently lawfully disclosed to the Receiving Party or any of its Affiliates by a Person other than the Disclosing Party, and who, to the best knowledge of the Receiving Party, did not directly or indirectly receive such information directly or indirectly from the Disclosing Party under an obligation of confidence;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developed by the Receiving Party or its Affiliate without use of or reference to any information or materials disclosed by the Disclosing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w:t>
      </w:r>
    </w:p>
    <w:p>
      <w:pPr>
        <w:pStyle w:val="TextBody"/>
        <w:bidi w:val="0"/>
        <w:spacing w:before="0" w:after="240"/>
        <w:jc w:val="both"/>
        <w:rPr/>
      </w:pPr>
      <w:r>
        <w:rPr>
          <w:rFonts w:ascii="Times New Roman" w:hAnsi="Times New Roman"/>
          <w:b/>
          <w:color w:val="000000"/>
          <w:sz w:val="24"/>
        </w:rPr>
        <w:t>Permitted Disclosures.</w:t>
      </w:r>
      <w:r>
        <w:rPr>
          <w:color w:val="000000"/>
        </w:rPr>
        <w:t xml:space="preserve"> </w:t>
      </w:r>
      <w:r>
        <w:rPr>
          <w:rFonts w:ascii="Times New Roman" w:hAnsi="Times New Roman"/>
          <w:color w:val="000000"/>
          <w:sz w:val="24"/>
        </w:rPr>
        <w:t>Notwithstanding Section 8.1, the Receiving Party may disclose Confidential Information of the Disclosing Party as expressly permitted by this Agreement or if and to the extent such disclosure is reasonably necessary in the following instances: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exercising its or its Affiliates’ rights under this Agreement, including in the case of United Therapeutics, for the purpose of developing the Product, seeking, obtaining and maintaining Marketing Approvals of Product (including complying with the requirement of Regulatory Authorities with respect to filing for, obtaining and maintaining Marketing Approval of the Product) and manufacturing or commercializing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filing or prosecuting Patents as permitted by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prosecuting or defending litigation as permitted by this Agreement; </w:t>
      </w:r>
    </w:p>
    <w:p>
      <w:pPr>
        <w:pStyle w:val="TextBody"/>
        <w:bidi w:val="0"/>
        <w:jc w:val="left"/>
        <w:rPr>
          <w:rFonts w:ascii="Times New Roman" w:hAnsi="Times New Roman"/>
          <w:sz w:val="20"/>
        </w:rPr>
      </w:pPr>
      <w:r>
        <w:rPr>
          <w:rFonts w:ascii="Times New Roman" w:hAnsi="Times New Roman"/>
          <w:color w:val="000000"/>
          <w:sz w:val="24"/>
        </w:rPr>
        <w:t>31</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complying with Applicable Laws, including regulations promulgated by security exchanges (specifically recommendations and requests from NASDAQ stock exchange), court order or administrative subpoenas or orders or otherwise submitting information to tax or other Governmental Authorities;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disclosure to Affiliates, contractors, employees, agents, consultants, licensees or sublicensees who need to know such information in connection with development, manufacturing, regulatory and commercialization activities with respect to Product as contemplated by this Agreement. provided that in each case the recipients of such Confidential Information are subject to confidentiality and non-use obligations consistent in scope with those set forth in this Article 8; and;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communication with existing and potential investors, consultants, advisors (including financial advisors, lawyers and accountants) and others on a need to know basis in order to further the purposes of this Agreement; provided that in connection with such disclosure, the Disclosing Party shall inform each disclosee of the confidential nature of such Confidential Information and cause each disclosee to treat such Confidential Information as confidential.</w:t>
      </w:r>
    </w:p>
    <w:p>
      <w:pPr>
        <w:pStyle w:val="TextBody"/>
        <w:bidi w:val="0"/>
        <w:spacing w:before="0" w:after="240"/>
        <w:jc w:val="both"/>
        <w:rPr>
          <w:rFonts w:ascii="Times New Roman" w:hAnsi="Times New Roman"/>
          <w:sz w:val="20"/>
        </w:rPr>
      </w:pPr>
      <w:r>
        <w:rPr>
          <w:rFonts w:ascii="Times New Roman" w:hAnsi="Times New Roman"/>
          <w:color w:val="000000"/>
          <w:sz w:val="24"/>
        </w:rPr>
        <w:t>In the event the Receiving Party is required to make a disclosure of the Disclosing Party’s Confidential Information pursuant to Section 8.3(c) or (d), it shall promptly notify the other Party of such required disclosure and shall use reasonable efforts to obtain, or to assist the other Party in obtaining, a protective order or confidential treatment limiting or preventing the required disclosure, and disclose only the minimum information necessary for such disclosure; provided that such Confidential Information disclosed accordingly shall only lose its confidentiality protection for purposes of such disclosure.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w:t>
      </w:r>
    </w:p>
    <w:p>
      <w:pPr>
        <w:pStyle w:val="TextBody"/>
        <w:bidi w:val="0"/>
        <w:spacing w:before="0" w:after="240"/>
        <w:jc w:val="both"/>
        <w:rPr/>
      </w:pPr>
      <w:r>
        <w:rPr>
          <w:rFonts w:ascii="Times New Roman" w:hAnsi="Times New Roman"/>
          <w:b/>
          <w:color w:val="000000"/>
          <w:sz w:val="24"/>
        </w:rPr>
        <w:t>Confidentiality of this Agreement and its Terms.</w:t>
      </w:r>
      <w:r>
        <w:rPr>
          <w:color w:val="000000"/>
        </w:rPr>
        <w:t xml:space="preserve"> </w:t>
      </w:r>
      <w:r>
        <w:rPr>
          <w:rFonts w:ascii="Times New Roman" w:hAnsi="Times New Roman"/>
          <w:color w:val="000000"/>
          <w:sz w:val="24"/>
        </w:rPr>
        <w:t>Except as otherwise provided in this Article 8, each Party agrees not to disclose to any Third Party terms of this Agreement without the prior written consent of the other Party hereto, except that each Party may disclose the terms of this Agreement, which are not otherwise made public as contemplated by Section 8.5, as permitted under Section 8.3.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Public Announcements.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32</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Filing of Agreement.</w:t>
      </w:r>
      <w:r>
        <w:rPr>
          <w:color w:val="000000"/>
        </w:rPr>
        <w:t xml:space="preserve"> </w:t>
      </w:r>
      <w:r>
        <w:rPr>
          <w:rFonts w:ascii="Times New Roman" w:hAnsi="Times New Roman"/>
          <w:color w:val="000000"/>
          <w:sz w:val="24"/>
        </w:rPr>
        <w:t>The Parties will coordinate in advance with each other in connection with the filing of this Agreement (including redaction of certain provisions of this Agreement) with the SEC, the NASDAQ stock exchange or any other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the NASDAQ stock exchange or any other stock exchange or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the NASDAQ stock exchange or any other stock exchange or governmental agency.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w:t>
      </w:r>
    </w:p>
    <w:p>
      <w:pPr>
        <w:pStyle w:val="TextBody"/>
        <w:bidi w:val="0"/>
        <w:spacing w:before="0" w:after="240"/>
        <w:jc w:val="both"/>
        <w:rPr/>
      </w:pPr>
      <w:r>
        <w:rPr>
          <w:rFonts w:ascii="Times New Roman" w:hAnsi="Times New Roman"/>
          <w:b/>
          <w:color w:val="000000"/>
          <w:sz w:val="24"/>
        </w:rPr>
        <w:t>Publication of the Product Information.</w:t>
      </w:r>
      <w:r>
        <w:rPr>
          <w:color w:val="000000"/>
        </w:rPr>
        <w:t xml:space="preserve"> </w:t>
      </w:r>
      <w:r>
        <w:rPr>
          <w:rFonts w:ascii="Times New Roman" w:hAnsi="Times New Roman"/>
          <w:color w:val="000000"/>
          <w:sz w:val="24"/>
        </w:rPr>
        <w:t>Prior to a Party publishing, publicly presenting, and/or submitting for written or oral publication a manuscript, abstract or the like that includes Information or Data relating to any Product that has not been previously published, such Party shall provide to the other Party a draft copy thereof for its review at least thirty (30) days prior to the proposed date of submission or presentation (unless such Party is required by Applicable Laws to publish such information sooner, in which case such Party shall provide such draft copy to the other Party as much in advance of such publication as possible). The publishing or presenting Party shall consider in good faith any comments provided by the other Party during such 30-day period and any such publication shall be subject to the limitations of Sections 8.1, 8.2 and 8.3. In addition, the publishing Party shall, at the other Party’s request, remove therefrom any Confidential Information of such other Party. The contribution of each Party shall be noted in all publications or presentations by acknowledgment or co-authorship, whichever is appropriate. Notwithstanding the foregoing, any publication, presentation or submission thereof by a Third Party clinical collaborator, clinical site or academic or government run non-clinical site, including investigators within such institutions, to which a Party delegates the performance of non-clinical, pre-clinical or clinical research, shall be subject to the terms and conditions of the delegating Party’s agreement with such Third Party to the extent inconsistent with the terms and conditions of this Section 8.6.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w:t>
      </w:r>
    </w:p>
    <w:p>
      <w:pPr>
        <w:pStyle w:val="TextBody"/>
        <w:bidi w:val="0"/>
        <w:spacing w:before="0" w:after="240"/>
        <w:jc w:val="both"/>
        <w:rPr/>
      </w:pPr>
      <w:r>
        <w:rPr>
          <w:rFonts w:ascii="Times New Roman" w:hAnsi="Times New Roman"/>
          <w:b/>
          <w:color w:val="000000"/>
          <w:sz w:val="24"/>
        </w:rPr>
        <w:t>Prior Non-Disclosure Agreements.</w:t>
      </w:r>
      <w:r>
        <w:rPr>
          <w:color w:val="000000"/>
        </w:rPr>
        <w:t xml:space="preserve"> </w:t>
      </w:r>
      <w:r>
        <w:rPr>
          <w:rFonts w:ascii="Times New Roman" w:hAnsi="Times New Roman"/>
          <w:color w:val="000000"/>
          <w:sz w:val="24"/>
        </w:rPr>
        <w:t>As of the Effective Date, the terms of this Article 8 shall supersede any prior non-disclosure, secrecy or confidentiality agreement between the Parties (or their Affiliates) dealing with the subject of this Agreement, including without limitation the Confidentiality Agreement. Any information disclosed under such prior agreements shall be deemed disclosed under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33</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9</w:t>
      </w:r>
    </w:p>
    <w:p>
      <w:pPr>
        <w:pStyle w:val="TextBody"/>
        <w:bidi w:val="0"/>
        <w:spacing w:before="0" w:after="240"/>
        <w:jc w:val="center"/>
        <w:rPr/>
      </w:pPr>
      <w:r>
        <w:rPr>
          <w:rFonts w:ascii="Times New Roman" w:hAnsi="Times New Roman"/>
          <w:b/>
          <w:caps/>
          <w:color w:val="000000"/>
          <w:sz w:val="24"/>
          <w:u w:val="single"/>
        </w:rPr>
        <w:br/>
      </w:r>
      <w:r>
        <w:rPr>
          <w:rFonts w:ascii="Times New Roman" w:hAnsi="Times New Roman"/>
          <w:b/>
          <w:caps/>
          <w:color w:val="000000"/>
          <w:sz w:val="24"/>
        </w:rPr>
        <w:br/>
        <w:t>INTELLECTUAL PROPERTY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Ownership of Intellectual Property.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MannKind Know-How, MannKind Patents.</w:t>
      </w:r>
      <w:r>
        <w:rPr>
          <w:color w:val="000000"/>
        </w:rPr>
        <w:t xml:space="preserve"> </w:t>
      </w:r>
      <w:r>
        <w:rPr>
          <w:rFonts w:ascii="Times New Roman" w:hAnsi="Times New Roman"/>
          <w:color w:val="000000"/>
          <w:sz w:val="24"/>
        </w:rPr>
        <w:t xml:space="preserve">MannKind has, and shall retain all right, title and interest in and to, the MannKind Know-How and the MannKind Patents.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Inventions.</w:t>
      </w:r>
      <w:r>
        <w:rPr>
          <w:color w:val="000000"/>
        </w:rPr>
        <w:t xml:space="preserve"> </w:t>
      </w:r>
      <w:r>
        <w:rPr>
          <w:rFonts w:ascii="Times New Roman" w:hAnsi="Times New Roman"/>
          <w:color w:val="000000"/>
          <w:sz w:val="24"/>
        </w:rPr>
        <w:t>As between the Parties, all right, title and interest to inventions and other subject matter (together with all intellectual property rights therein) conceived or created or first reduced to practice (in the case of patentable inventions) or made or developed (in the case of non-patentable inventions) in the course of performing activities contemplated by this Agreement (“</w:t>
      </w:r>
      <w:r>
        <w:rPr>
          <w:rFonts w:ascii="Times New Roman" w:hAnsi="Times New Roman"/>
          <w:b/>
          <w:i/>
          <w:color w:val="000000"/>
          <w:sz w:val="24"/>
        </w:rPr>
        <w:t>Inventions</w:t>
      </w:r>
      <w:r>
        <w:rPr>
          <w:color w:val="000000"/>
        </w:rPr>
        <w:t>”</w:t>
      </w:r>
      <w:r>
        <w:rPr>
          <w:rFonts w:ascii="Times New Roman" w:hAnsi="Times New Roman"/>
          <w:color w:val="000000"/>
          <w:sz w:val="24"/>
        </w:rPr>
        <w:t>) (i) by or under the authority of United Therapeutics or its Affiliates, independently of MannKind and its Affiliates, shall be owned by United Therapeutics (“</w:t>
      </w:r>
      <w:r>
        <w:rPr>
          <w:rFonts w:ascii="Times New Roman" w:hAnsi="Times New Roman"/>
          <w:b/>
          <w:i/>
          <w:color w:val="000000"/>
          <w:sz w:val="24"/>
        </w:rPr>
        <w:t>United Therapeutics Inventions</w:t>
      </w:r>
      <w:r>
        <w:rPr>
          <w:color w:val="000000"/>
        </w:rPr>
        <w:t>”</w:t>
      </w:r>
      <w:r>
        <w:rPr>
          <w:rFonts w:ascii="Times New Roman" w:hAnsi="Times New Roman"/>
          <w:color w:val="000000"/>
          <w:sz w:val="24"/>
        </w:rPr>
        <w:t>), (ii) by or under the authority of MannKind or its Affiliates, independently of United Therapeutics and its Affiliates, shall be owned by MannKind (“</w:t>
      </w:r>
      <w:r>
        <w:rPr>
          <w:rFonts w:ascii="Times New Roman" w:hAnsi="Times New Roman"/>
          <w:b/>
          <w:i/>
          <w:color w:val="000000"/>
          <w:sz w:val="24"/>
        </w:rPr>
        <w:t>MannKind Inventions</w:t>
      </w:r>
      <w:r>
        <w:rPr>
          <w:color w:val="000000"/>
        </w:rPr>
        <w:t>”</w:t>
      </w:r>
      <w:r>
        <w:rPr>
          <w:rFonts w:ascii="Times New Roman" w:hAnsi="Times New Roman"/>
          <w:color w:val="000000"/>
          <w:sz w:val="24"/>
        </w:rPr>
        <w:t>) and (iii) that is invented jointly by personnel of United Therapeutics or its Affiliates, on the one hand, and MannKind or its Affiliates, on the other hand, shall be jointly owned by United Therapeutics and MannKind (“</w:t>
      </w:r>
      <w:r>
        <w:rPr>
          <w:rFonts w:ascii="Times New Roman" w:hAnsi="Times New Roman"/>
          <w:b/>
          <w:i/>
          <w:color w:val="000000"/>
          <w:sz w:val="24"/>
        </w:rPr>
        <w:t>Joint Inventions</w:t>
      </w:r>
      <w:r>
        <w:rPr>
          <w:color w:val="000000"/>
        </w:rPr>
        <w:t>”</w:t>
      </w:r>
      <w:r>
        <w:rPr>
          <w:rFonts w:ascii="Times New Roman" w:hAnsi="Times New Roman"/>
          <w:color w:val="000000"/>
          <w:sz w:val="24"/>
        </w:rPr>
        <w:t xml:space="preserve">). For purposes of determining questions of inventorship for Inventions, the Parties shall apply the laws of the United States. Subject to the rights and licenses granted under this Agreement, each Party shall have the right to use, and grant licenses to use, any Joint Invention and Joint Patent without the other Party’s consent and shall have no duty to account to the other Party for such use or license, and each Party hereby waives any right it may have under the laws of any country to require any such consent or accounting.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Data</w:t>
      </w:r>
      <w:r>
        <w:rPr>
          <w:rFonts w:ascii="Times New Roman" w:hAnsi="Times New Roman"/>
          <w:color w:val="000000"/>
          <w:sz w:val="24"/>
        </w:rPr>
        <w:t>. All Data generated in connection with development and regulatory activities performed by MannKind or United Therapeutics pursuant to this Agreement shall be owned by United Therapeutics. Notwithstanding the foregoing, MannKind shall have the right to use, make reference to and incorporate the Data in Regulatory Filings with Regulatory Authorities for products other than Product in accordance with Section 4.3(b).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Patent Prosecution and Maintenance.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MannKind Patents.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Initial Responsibility.</w:t>
      </w:r>
      <w:r>
        <w:rPr>
          <w:color w:val="000000"/>
        </w:rPr>
        <w:t xml:space="preserve"> </w:t>
      </w:r>
      <w:r>
        <w:rPr>
          <w:rFonts w:ascii="Times New Roman" w:hAnsi="Times New Roman"/>
          <w:color w:val="000000"/>
          <w:sz w:val="24"/>
        </w:rPr>
        <w:t xml:space="preserve">MannKind shall be responsible, in its discretion, for the preparation, filing, prosecution and maintenance of all MannKind Patents (including the right to conduct any interferences, oppositions, or reexaminations thereon and to request any reissues or patent term extensions thereof), at MannKind’s sole expense. </w:t>
      </w:r>
    </w:p>
    <w:p>
      <w:pPr>
        <w:pStyle w:val="TextBody"/>
        <w:bidi w:val="0"/>
        <w:jc w:val="left"/>
        <w:rPr>
          <w:rFonts w:ascii="Times New Roman" w:hAnsi="Times New Roman"/>
          <w:sz w:val="20"/>
        </w:rPr>
      </w:pPr>
      <w:r>
        <w:rPr>
          <w:rFonts w:ascii="Times New Roman" w:hAnsi="Times New Roman"/>
          <w:color w:val="000000"/>
          <w:sz w:val="24"/>
        </w:rPr>
        <w:t>34</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Cooperation.</w:t>
      </w:r>
      <w:r>
        <w:rPr>
          <w:color w:val="000000"/>
        </w:rPr>
        <w:t xml:space="preserve"> </w:t>
      </w:r>
      <w:r>
        <w:rPr>
          <w:rFonts w:ascii="Times New Roman" w:hAnsi="Times New Roman"/>
          <w:color w:val="000000"/>
          <w:sz w:val="24"/>
        </w:rPr>
        <w:t>MannKind shall keep United Therapeutics fully informed of progress with regard to the preparation, filing, prosecution and maintenance of the MannKind Patents in the Territory. MannKind shall: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provide United Therapeutics with a copy of the final draft of any proposed application prior to filing the same in any patent office worldwide with sufficient time to review and comment, unless otherwise agreed by patent counsel for both parties, and MannKind shall consider in good faith any comments or revisions suggested by United Therapeutics or its counsel;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provide United Therapeutics with a copy of all Patent applications as filed, together with a notice of its filing date and serial number;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promptly provide United Therapeutics with a copy of any action, communication, letter, or other correspondence issued by the relevant patent office, and MannKind shall consult with United Therapeutics regarding responding to the same and will consider in good faith any comments, strategies, and the like proposed by United Therapeutics.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provide United Therapeutics with a copy of any response, amendment, paper, or other correspondence filed with the relevant patent office upon MannKind’s receipt of the as-filed document;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notify United Therapeutics of the allowance, grant, or issuance of such MannKind Patents;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 with United Therapeutics regarding the countries where MannKind Patents are to be filed and maintained.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Option of United Therapeutics to Prosecute and Maintain.</w:t>
      </w:r>
      <w:r>
        <w:rPr>
          <w:color w:val="000000"/>
        </w:rPr>
        <w:t xml:space="preserve"> </w:t>
      </w:r>
      <w:r>
        <w:rPr>
          <w:rFonts w:ascii="Times New Roman" w:hAnsi="Times New Roman"/>
          <w:color w:val="000000"/>
          <w:sz w:val="24"/>
        </w:rPr>
        <w:t xml:space="preserve">In the event that MannKind desires to abandon or cease prosecution or maintenance of any MannKind Patent in the Territory under which United Therapeutics then has a license under this Agreement, MannKind shall provide reasonable prior written notice to United Therapeutics of such intention to abandon (which notice shall, to the extent possible, be given no later than 90 days prior to the next deadline for any action that must be taken with respect to any such MannKind Patent in the relevant patent office). In such case, MannKind shall permit United Therapeutics, at United Therapeutics’ sole discretion, to continue prosecution and maintenance of such MannKind Patent in the Territory, in MannKind’s name and at United Therapeutics’ own expense and United Therapeutics shall provide to MannKind the rights and information described in Sections 9.2(a)(ii)(A) through (F) with respect to such MannKind Patents.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United Therapeutics Patents. </w:t>
      </w:r>
      <w:r>
        <w:rPr>
          <w:rFonts w:ascii="Times New Roman" w:hAnsi="Times New Roman"/>
          <w:color w:val="000000"/>
          <w:sz w:val="24"/>
        </w:rPr>
        <w:t xml:space="preserve">United Therapeutics shall be responsible, in its discretion, for the preparation, filing, prosecution and maintenance of United Therapeutics Patents (including the right to conduct any interferences, oppositions, or reexaminations thereon and to request any reissues or patent term extensions thereof), at United Therapeutics’ sole expense.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Joint Patents.</w:t>
      </w:r>
    </w:p>
    <w:p>
      <w:pPr>
        <w:pStyle w:val="TextBody"/>
        <w:bidi w:val="0"/>
        <w:jc w:val="left"/>
        <w:rPr>
          <w:rFonts w:ascii="Times New Roman" w:hAnsi="Times New Roman"/>
          <w:sz w:val="20"/>
        </w:rPr>
      </w:pPr>
      <w:r>
        <w:rPr>
          <w:rFonts w:ascii="Times New Roman" w:hAnsi="Times New Roman"/>
          <w:color w:val="000000"/>
          <w:sz w:val="24"/>
        </w:rPr>
        <w:t>35</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Initial Responsibility.</w:t>
      </w:r>
      <w:r>
        <w:rPr>
          <w:color w:val="000000"/>
        </w:rPr>
        <w:t xml:space="preserve"> </w:t>
      </w:r>
      <w:r>
        <w:rPr>
          <w:rFonts w:ascii="Times New Roman" w:hAnsi="Times New Roman"/>
          <w:color w:val="000000"/>
          <w:sz w:val="24"/>
        </w:rPr>
        <w:t>With regard to Joint Patents worldwide, (A) MannKind shall be responsible, in its discretion, for the preparation, filing, prosecution and maintenance of Joint Patents that primarily claim or cover a Formulation or Device, where (1) the Formulation so covered or claimed is generally applicable to any Formulation and is neither specific nor primarily related to the Formulation contained or used in a Product or any other Formulation of API (including as the definition of “API” may be expanded by operation of Section 2.6) and (2) the Device so covered or claimed is generally applicable to any Formulation and is neither specific nor primarily related to the Formulation contained or used in a Product or any other Formulation of API (including as the definition of “API” may be expanded by operation of Section 2.6) (“</w:t>
      </w:r>
      <w:r>
        <w:rPr>
          <w:rFonts w:ascii="Times New Roman" w:hAnsi="Times New Roman"/>
          <w:b/>
          <w:i/>
          <w:color w:val="000000"/>
          <w:sz w:val="24"/>
        </w:rPr>
        <w:t>General Joint Patents</w:t>
      </w:r>
      <w:r>
        <w:rPr>
          <w:color w:val="000000"/>
        </w:rPr>
        <w:t>”</w:t>
      </w:r>
      <w:r>
        <w:rPr>
          <w:rFonts w:ascii="Times New Roman" w:hAnsi="Times New Roman"/>
          <w:color w:val="000000"/>
          <w:sz w:val="24"/>
        </w:rPr>
        <w:t>) (including the right to conduct any interferences, oppositions, or reexaminations thereon and to request any reissues or patent term extensions thereof), subject to this Section 9.2(c) and at MannKind’s sole expense; and (B) United Therapeutics shall be responsible, in its discretion, for the preparation, filing, prosecution and maintenance of Joint Patents other than General Joint Patents (“</w:t>
      </w:r>
      <w:r>
        <w:rPr>
          <w:rFonts w:ascii="Times New Roman" w:hAnsi="Times New Roman"/>
          <w:b/>
          <w:i/>
          <w:color w:val="000000"/>
          <w:sz w:val="24"/>
        </w:rPr>
        <w:t>Other Joint Patents</w:t>
      </w:r>
      <w:r>
        <w:rPr>
          <w:color w:val="000000"/>
        </w:rPr>
        <w:t>”</w:t>
      </w:r>
      <w:r>
        <w:rPr>
          <w:rFonts w:ascii="Times New Roman" w:hAnsi="Times New Roman"/>
          <w:color w:val="000000"/>
          <w:sz w:val="24"/>
        </w:rPr>
        <w:t>) (including the right to conduct any interferences, oppositions, or reexaminations thereon and to request any reissues or patent term extensions thereof), subject to this Section 9.2(c) and at United Therapeutics’ sole expense. MannKind in its role as the Party responsible for General Joint Patents and United Therapeutics in its role as the Party responsible for Other Joint Patents shall be referred to as the “</w:t>
      </w:r>
      <w:r>
        <w:rPr>
          <w:rFonts w:ascii="Times New Roman" w:hAnsi="Times New Roman"/>
          <w:b/>
          <w:i/>
          <w:color w:val="000000"/>
          <w:sz w:val="24"/>
        </w:rPr>
        <w:t>Joint Patent Lead</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Cooperation.</w:t>
      </w:r>
      <w:r>
        <w:rPr>
          <w:color w:val="000000"/>
        </w:rPr>
        <w:t xml:space="preserve"> </w:t>
      </w:r>
      <w:r>
        <w:rPr>
          <w:rFonts w:ascii="Times New Roman" w:hAnsi="Times New Roman"/>
          <w:color w:val="000000"/>
          <w:sz w:val="24"/>
        </w:rPr>
        <w:t>For any Joint Patents for which it is the Joint Patent Lead, the Joint Patent Lead shall keep the other Party fully informed of progress with regard to the preparation, filing, prosecution and maintenance of the Joint Patents in the Territory. The Joint Patent Lead shall: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the other Party with a copy of the final draft of any proposed application prior to filing the same in any patent office worldwide with sufficient time to review and comment, unless otherwise agreed by patent counsel for both Parties, and the Joint Patent Lead shall consider in good faith any comments or revisions suggested by the other Party or its counsel;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provide the other Party with a copy of all Patent applications as filed, together with a notice of its filing date and serial number;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provide the other Party with a copy of any action, communication, letter, or other correspondence issued by the relevant patent office, and the Joint Patent Lead shall consult with the other Party regarding responding to the same and shall consider in good faith any comments, strategies, and the like proposed by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provide the other Party with a copy of any response, amendment, paper, or other correspondence filed with the relevant patent office upon Joint Patent Lead’s receipt of the as-filed document;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notify the other Party of the allowance, grant, or issuance of such Joint Patents; and</w:t>
      </w:r>
    </w:p>
    <w:p>
      <w:pPr>
        <w:pStyle w:val="TextBody"/>
        <w:bidi w:val="0"/>
        <w:jc w:val="left"/>
        <w:rPr>
          <w:rFonts w:ascii="Times New Roman" w:hAnsi="Times New Roman"/>
          <w:sz w:val="20"/>
        </w:rPr>
      </w:pPr>
      <w:r>
        <w:rPr>
          <w:rFonts w:ascii="Times New Roman" w:hAnsi="Times New Roman"/>
          <w:color w:val="000000"/>
          <w:sz w:val="24"/>
        </w:rPr>
        <w:t>36</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 with the other Party regarding the countries to be filed and maintained, the payment of annuities, taxes and maintenance fees for any such Joint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4"/>
        </w:rPr>
        <w:t>Option of Other Party to Prosecute, Maintain and Enforce.</w:t>
      </w:r>
      <w:r>
        <w:rPr>
          <w:color w:val="000000"/>
        </w:rPr>
        <w:t xml:space="preserve"> </w:t>
      </w:r>
      <w:r>
        <w:rPr>
          <w:rFonts w:ascii="Times New Roman" w:hAnsi="Times New Roman"/>
          <w:color w:val="000000"/>
          <w:sz w:val="24"/>
        </w:rPr>
        <w:t>In the event that the Party that is the Joint Patent Lead desires to abandon or cease prosecution or maintenance of any Joint Patent for which it is responsible, such Party shall provide reasonable prior written notice to the other Party of such intention to abandon (which notice shall, to the extent possible, be given no later than 90 days prior to the next deadline for any action that must be taken with respect to such Joint Patent in the relevant patent office and, in any case, shall be prior to abandonment). In such case, at the other Party’s sole discretion, upon written notice from such other Party, such other Party may elect to continue prosecution and maintenance of any such Joint Patent at its own expense, and the Party that elected to abandon or cease prosecution or maintenance of such Joint Patent shall execute such documents and perform such acts, at its own expense, as may be reasonably necessary to effect an assignment of such Party’s entire right, title, and interest in and to such Joint Patent to the other Party. Any such assignment shall be completed in a timely manner to allow such other Party to continue prosecution and maintenance of any such Joint Patent. Any Patents so assigned shall no longer be considered Joint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9.3</w:t>
      </w:r>
    </w:p>
    <w:p>
      <w:pPr>
        <w:pStyle w:val="TextBody"/>
        <w:bidi w:val="0"/>
        <w:spacing w:before="0" w:after="240"/>
        <w:jc w:val="both"/>
        <w:rPr/>
      </w:pPr>
      <w:r>
        <w:rPr>
          <w:rFonts w:ascii="Times New Roman" w:hAnsi="Times New Roman"/>
          <w:b/>
          <w:color w:val="000000"/>
          <w:sz w:val="24"/>
        </w:rPr>
        <w:t>Infringement by Third Parties</w:t>
      </w:r>
      <w:r>
        <w:rPr>
          <w:rFonts w:ascii="Times New Roman" w:hAnsi="Times New Roman"/>
          <w:b/>
          <w:i/>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Notice.</w:t>
      </w:r>
      <w:r>
        <w:rPr>
          <w:color w:val="000000"/>
        </w:rPr>
        <w:t xml:space="preserve"> </w:t>
      </w:r>
      <w:r>
        <w:rPr>
          <w:rFonts w:ascii="Times New Roman" w:hAnsi="Times New Roman"/>
          <w:color w:val="000000"/>
          <w:sz w:val="24"/>
        </w:rPr>
        <w:t xml:space="preserve">In the event that either MannKind or United Therapeutics becomes aware of any infringement or threatened infringement by a Third Party of any Patents that are subject to the prosecution, maintenance or enforcement rights of the other Party under this Agreement, it will notify the other Party in writing to that effect. Any such notice shall include evidence to support an allegation of infringement or threatened infringement by such Third Party.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MannKind Patents and Joint Patents.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Subject to this Section 9.3(b), MannKind shall have the right (but not the obligation), as between MannKind and United Therapeutics, to bring and control any action or proceeding with respect to infringement of any MannKind Patent or Joint Patent, at its own expense and by counsel of its own choice, to the extent the infringement does not include the manufacture, use, import, offer for sale or sale of a Product or any other product containing or comprising a dry powder formulation of API that is or is intended to be primarily administered in or through the lungs, in each case in the Territory (“</w:t>
      </w:r>
      <w:r>
        <w:rPr>
          <w:rFonts w:ascii="Times New Roman" w:hAnsi="Times New Roman"/>
          <w:b/>
          <w:i/>
          <w:color w:val="000000"/>
          <w:sz w:val="24"/>
        </w:rPr>
        <w:t>Competing Activity</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this Section 9.3(b), United Therapeutics shall have the first right (but not the obligation), as between MannKind and United Therapeutics, to bring and control any action or proceeding with respect to infringement of any MannKind Patent or Joint Patent, at its own expense and by counsel of its own choice, to the extent the infringement includes Competing Activity in the Territory. MannKind shall have the right, at its own expense, to be represented in any such action by counsel of its own choice, and United Therapeutics and its counsel will reasonably cooperate with MannKind and its counsel in strategizing, preparing and presenting any such action or proceeding. </w:t>
      </w:r>
    </w:p>
    <w:p>
      <w:pPr>
        <w:pStyle w:val="TextBody"/>
        <w:bidi w:val="0"/>
        <w:jc w:val="left"/>
        <w:rPr>
          <w:rFonts w:ascii="Times New Roman" w:hAnsi="Times New Roman"/>
          <w:sz w:val="20"/>
        </w:rPr>
      </w:pPr>
      <w:r>
        <w:rPr>
          <w:rFonts w:ascii="Times New Roman" w:hAnsi="Times New Roman"/>
          <w:color w:val="000000"/>
          <w:sz w:val="24"/>
        </w:rPr>
        <w:t>37</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United Therapeutics fails to bring an action or proceeding that it has the right to bring and control under pursuant to Section 9.3(b)(ii) with respect to infringement that is commercially significant Competing Activity in the Territory within (A) 90 days following the notice of alleged infringement or (B) 10 days before the time limit, if any, set forth in the appropriate laws and regulations for the filing of such actions, whichever comes first, MannKind shall have the right (but not the obligation) to bring and control any such action at its own expense and by counsel of its own choice, and United Therapeutics shall have the right, at its own expense, to be represented in any such action by counsel of its own choice.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as otherwise agreed to by the Parties as part of a cost-sharing arrangement, any recovery or damages actually received as a result of such action or proceeding shall be used first to reimburse the Parties’ documented out-of-pocket legal expenses relating to the action or proceeding, with any remaining compensatory damages relating to Product (including lost sales or lost profits with respect to Product) being retained by United Therapeutics (or if received by MannKind, paid to United Therapeutics) and deemed Net Sales subject to the royalty provisions of Section 6.3, and any punitive damages shall be shared equally by the Parties.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United Therapeutics Patents.</w:t>
      </w:r>
      <w:r>
        <w:rPr>
          <w:color w:val="000000"/>
        </w:rPr>
        <w:t xml:space="preserve"> </w:t>
      </w:r>
      <w:r>
        <w:rPr>
          <w:rFonts w:ascii="Times New Roman" w:hAnsi="Times New Roman"/>
          <w:color w:val="000000"/>
          <w:sz w:val="24"/>
        </w:rPr>
        <w:t xml:space="preserve">United Therapeutics shall have the right (but not the obligation) to bring and control any action or proceeding with respect to infringement of any United Therapeutics Patent worldwide, at its own expense and by counsel of its own choice.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Cooperation.</w:t>
      </w:r>
      <w:r>
        <w:rPr>
          <w:color w:val="000000"/>
        </w:rPr>
        <w:t xml:space="preserve"> </w:t>
      </w:r>
      <w:r>
        <w:rPr>
          <w:rFonts w:ascii="Times New Roman" w:hAnsi="Times New Roman"/>
          <w:color w:val="000000"/>
          <w:sz w:val="24"/>
        </w:rPr>
        <w:t xml:space="preserve">In the event a Party brings an infringement action in accordance with this Section 9.3, the other Party shall cooperate fully, including, if required to bring such action, the furnishing of a power of attorney or being named as a Party to such action.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9.4</w:t>
      </w:r>
    </w:p>
    <w:p>
      <w:pPr>
        <w:pStyle w:val="TextBody"/>
        <w:bidi w:val="0"/>
        <w:spacing w:before="0" w:after="240"/>
        <w:jc w:val="both"/>
        <w:rPr/>
      </w:pPr>
      <w:r>
        <w:rPr>
          <w:rFonts w:ascii="Times New Roman" w:hAnsi="Times New Roman"/>
          <w:b/>
          <w:color w:val="000000"/>
          <w:sz w:val="24"/>
        </w:rPr>
        <w:t xml:space="preserve">Infringement of Third Party Rights. </w:t>
      </w:r>
      <w:r>
        <w:rPr>
          <w:rFonts w:ascii="Times New Roman" w:hAnsi="Times New Roman"/>
          <w:color w:val="000000"/>
          <w:sz w:val="24"/>
        </w:rPr>
        <w:t>Each Party shall promptly notify the other in writing of any allegation by a Third Party that the activity of either of the Parties pursuant to this Agreement infringes or may infringe the intellectual property rights of such Third Party. MannKind shall have the sole right (but not the obligation), as between MannKind and United Therapeutics, to bring and control any defense of any such claim involving alleged infringement of Third Party rights by MannKind’s activities pursuant to this Agreement at its own expense and by counsel of its own choice, and United Therapeutics shall have the right, at its own expense, to be represented in any such defense by counsel of its own choice. United Therapeutics shall have the sole right (but not the obligation), as between United Therapeutics and MannKind, to bring and control any defense of any such claim involving alleged infringement of Third Party rights by United Therapeutics’ activities pursuant to this Agreement at its own expense and by counsel of its own choice, and MannKind shall have the right, at its own expense, to be represented in any such defense by counsel of its own choice. Nothing in this Section 9.4 limits MannKind’s indemnification obligations to United Therapeutics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9.5</w:t>
      </w:r>
    </w:p>
    <w:p>
      <w:pPr>
        <w:pStyle w:val="TextBody"/>
        <w:bidi w:val="0"/>
        <w:spacing w:before="0" w:after="240"/>
        <w:jc w:val="both"/>
        <w:rPr/>
      </w:pPr>
      <w:r>
        <w:rPr>
          <w:rFonts w:ascii="Times New Roman" w:hAnsi="Times New Roman"/>
          <w:b/>
          <w:color w:val="000000"/>
          <w:sz w:val="24"/>
        </w:rPr>
        <w:t>Consent for Settlement.</w:t>
      </w:r>
      <w:r>
        <w:rPr>
          <w:color w:val="000000"/>
        </w:rPr>
        <w:t xml:space="preserve"> </w:t>
      </w:r>
      <w:r>
        <w:rPr>
          <w:rFonts w:ascii="Times New Roman" w:hAnsi="Times New Roman"/>
          <w:color w:val="000000"/>
          <w:sz w:val="24"/>
        </w:rPr>
        <w:t>Neither Party shall enter into any settlement or compromise of any action or proceeding under this Article 9 which would in any manner alter, diminish, or be in derogation of the other Party’s rights under this Agreement without the prior written consent of such other Party, which consent shall not be unreasonably withheld.</w:t>
      </w:r>
    </w:p>
    <w:p>
      <w:pPr>
        <w:pStyle w:val="TextBody"/>
        <w:bidi w:val="0"/>
        <w:jc w:val="left"/>
        <w:rPr>
          <w:rFonts w:ascii="Times New Roman" w:hAnsi="Times New Roman"/>
          <w:sz w:val="20"/>
        </w:rPr>
      </w:pPr>
      <w:r>
        <w:rPr>
          <w:rFonts w:ascii="Times New Roman" w:hAnsi="Times New Roman"/>
          <w:color w:val="000000"/>
          <w:sz w:val="24"/>
        </w:rPr>
        <w:t>38</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9.6</w:t>
      </w:r>
    </w:p>
    <w:p>
      <w:pPr>
        <w:pStyle w:val="TextBody"/>
        <w:bidi w:val="0"/>
        <w:spacing w:before="0" w:after="240"/>
        <w:jc w:val="both"/>
        <w:rPr/>
      </w:pPr>
      <w:r>
        <w:rPr>
          <w:rFonts w:ascii="Times New Roman" w:hAnsi="Times New Roman"/>
          <w:b/>
          <w:color w:val="000000"/>
          <w:sz w:val="24"/>
        </w:rPr>
        <w:t>Paragraph IV Notice.</w:t>
      </w:r>
      <w:r>
        <w:rPr>
          <w:color w:val="000000"/>
        </w:rPr>
        <w:t xml:space="preserve"> </w:t>
      </w:r>
      <w:r>
        <w:rPr>
          <w:rFonts w:ascii="Times New Roman" w:hAnsi="Times New Roman"/>
          <w:color w:val="000000"/>
          <w:sz w:val="24"/>
        </w:rPr>
        <w:t xml:space="preserve">If either Party receives a notice under 21 U.S.C. §355(b)(2)(A)(iv) or 355(j)(2)(A)(vii)(IV) concerning any MannKind Patent, Joint Patent or United Therapeutics Patent, then it shall provide a copy of such notice to the other Party within two Business Days after its receipt thereof. Patent infringement litigation based on such a notice concerning a MannKind Patent, Joint Patent or United Therapeutics Patent shall be brought and controlled as provided in Section 9.3(b) or 9.3(c) as applicable.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9.7</w:t>
      </w:r>
    </w:p>
    <w:p>
      <w:pPr>
        <w:pStyle w:val="TextBody"/>
        <w:bidi w:val="0"/>
        <w:spacing w:before="0" w:after="240"/>
        <w:jc w:val="both"/>
        <w:rPr/>
      </w:pPr>
      <w:r>
        <w:rPr>
          <w:rFonts w:ascii="Times New Roman" w:hAnsi="Times New Roman"/>
          <w:b/>
          <w:color w:val="000000"/>
          <w:sz w:val="24"/>
        </w:rPr>
        <w:t>Patent Term Extension.</w:t>
      </w:r>
      <w:r>
        <w:rPr>
          <w:color w:val="000000"/>
        </w:rPr>
        <w:t xml:space="preserve"> </w:t>
      </w:r>
      <w:r>
        <w:rPr>
          <w:rFonts w:ascii="Times New Roman" w:hAnsi="Times New Roman"/>
          <w:color w:val="000000"/>
          <w:sz w:val="24"/>
        </w:rPr>
        <w:t xml:space="preserve">MannKind shall cooperate with United Therapeutics to the extent reasonable requested by United Therapeutics to extend a MannKind Patent by way, for example, of a Patent Term Restoration and Supplementary Protection Certificate.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9.8</w:t>
      </w:r>
    </w:p>
    <w:p>
      <w:pPr>
        <w:pStyle w:val="TextBody"/>
        <w:bidi w:val="0"/>
        <w:spacing w:before="0" w:after="240"/>
        <w:jc w:val="both"/>
        <w:rPr/>
      </w:pPr>
      <w:r>
        <w:rPr>
          <w:rFonts w:ascii="Times New Roman" w:hAnsi="Times New Roman"/>
          <w:b/>
          <w:color w:val="000000"/>
          <w:sz w:val="24"/>
        </w:rPr>
        <w:t>Orange Book Listing.</w:t>
      </w:r>
      <w:r>
        <w:rPr>
          <w:color w:val="000000"/>
        </w:rPr>
        <w:t xml:space="preserve"> </w:t>
      </w:r>
      <w:r>
        <w:rPr>
          <w:rFonts w:ascii="Times New Roman" w:hAnsi="Times New Roman"/>
          <w:color w:val="000000"/>
          <w:sz w:val="24"/>
        </w:rPr>
        <w:t xml:space="preserve">After consultation with and consideration of input from MannKind, United Therapeutics shall have the sole authority and discretion to maintain with the applicable Regulatory Authorities during the Term listings of applicable MannKind Patents, Joint Patents or United Therapeutics Patents for Product then being commercialized by United Therapeutics in the Territory, including all Orange Book listings required under the Hatch-Waxman Act.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9.9</w:t>
      </w:r>
    </w:p>
    <w:p>
      <w:pPr>
        <w:pStyle w:val="TextBody"/>
        <w:bidi w:val="0"/>
        <w:spacing w:before="0" w:after="240"/>
        <w:jc w:val="both"/>
        <w:rPr/>
      </w:pPr>
      <w:r>
        <w:rPr>
          <w:rFonts w:ascii="Times New Roman" w:hAnsi="Times New Roman"/>
          <w:b/>
          <w:color w:val="000000"/>
          <w:sz w:val="24"/>
        </w:rPr>
        <w:t>Trademarks.</w:t>
      </w:r>
      <w:r>
        <w:rPr>
          <w:color w:val="000000"/>
        </w:rPr>
        <w:t xml:space="preserve"> </w:t>
      </w:r>
      <w:r>
        <w:rPr>
          <w:rFonts w:ascii="Times New Roman" w:hAnsi="Times New Roman"/>
          <w:color w:val="000000"/>
          <w:sz w:val="24"/>
        </w:rPr>
        <w:t>United Therapeutics shall own and be responsible for all trademarks, trade names, branding, or logos related to Product or commercialization thereof, and will be responsible for selecting, registering, defending, and maintaining the same.</w:t>
      </w:r>
      <w:r>
        <w:rPr>
          <w:color w:val="00000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10</w:t>
      </w:r>
    </w:p>
    <w:p>
      <w:pPr>
        <w:pStyle w:val="TextBody"/>
        <w:bidi w:val="0"/>
        <w:spacing w:before="0" w:after="240"/>
        <w:jc w:val="center"/>
        <w:rPr/>
      </w:pPr>
      <w:r>
        <w:rPr>
          <w:rFonts w:ascii="Times New Roman" w:hAnsi="Times New Roman"/>
          <w:b/>
          <w:caps/>
          <w:color w:val="000000"/>
          <w:sz w:val="24"/>
          <w:u w:val="single"/>
        </w:rPr>
        <w:br/>
      </w:r>
      <w:r>
        <w:rPr>
          <w:rFonts w:ascii="Times New Roman" w:hAnsi="Times New Roman"/>
          <w:b/>
          <w:caps/>
          <w:color w:val="000000"/>
          <w:sz w:val="24"/>
        </w:rPr>
        <w:br/>
        <w:t xml:space="preserve">Representations, Warranties and Covenants </w:t>
        <w:br/>
      </w:r>
      <w:r>
        <w:rPr>
          <w:caps/>
          <w:color w:val="000000"/>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Mutual Representations, Warranties and Covenants.</w:t>
      </w:r>
      <w:r>
        <w:rPr>
          <w:color w:val="000000"/>
        </w:rPr>
        <w:t xml:space="preserve"> </w:t>
      </w:r>
      <w:r>
        <w:rPr>
          <w:rFonts w:ascii="Times New Roman" w:hAnsi="Times New Roman"/>
          <w:color w:val="000000"/>
          <w:sz w:val="24"/>
        </w:rPr>
        <w:t>Each Party hereby represents and warrants to the other Party, as of the Effective Date,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Duly Organized.</w:t>
      </w:r>
      <w:r>
        <w:rPr>
          <w:color w:val="000000"/>
        </w:rPr>
        <w:t xml:space="preserve"> </w:t>
      </w:r>
      <w:r>
        <w:rPr>
          <w:rFonts w:ascii="Times New Roman" w:hAnsi="Times New Roman"/>
          <w:color w:val="000000"/>
          <w:sz w:val="24"/>
        </w:rPr>
        <w:t>Such Party is a corporation duly organized, validly existing and in good standing under the laws of the jurisdiction of its incorporation, is qualified to do business and is in good standing as a foreign corporation in each jurisdiction in which the conduct of its business or the ownership of its properties requires such qualification and failure to have such would prevent such Party from performing its obligations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Due Authorization; Binding Agreement.</w:t>
      </w:r>
      <w:r>
        <w:rPr>
          <w:color w:val="000000"/>
        </w:rPr>
        <w:t xml:space="preserve"> </w:t>
      </w:r>
      <w:r>
        <w:rPr>
          <w:rFonts w:ascii="Times New Roman" w:hAnsi="Times New Roman"/>
          <w:color w:val="000000"/>
          <w:sz w:val="24"/>
        </w:rPr>
        <w:t>The execution, delivery and performance of this Agreement by such Party have been duly authorized by all necessary corporate action. This Agreement is a legal and valid obligation binding on such Party and enforceable in accordance with its terms and does not: (i) to such Party’s knowledge and belief, violate any law, rule, regulation, order, writ, judgment, decree, determination or award of any court, governmental body or administrative or other agency having jurisdiction over such Party; nor (ii) conflict with, violate or breach, or constitute a default or require any consent under, any agreement, instrument or understanding, oral or written, to which such Party is a party or by which it is bound.</w:t>
      </w:r>
    </w:p>
    <w:p>
      <w:pPr>
        <w:pStyle w:val="TextBody"/>
        <w:bidi w:val="0"/>
        <w:jc w:val="left"/>
        <w:rPr>
          <w:rFonts w:ascii="Times New Roman" w:hAnsi="Times New Roman"/>
          <w:sz w:val="20"/>
        </w:rPr>
      </w:pPr>
      <w:r>
        <w:rPr>
          <w:rFonts w:ascii="Times New Roman" w:hAnsi="Times New Roman"/>
          <w:color w:val="000000"/>
          <w:sz w:val="24"/>
        </w:rPr>
        <w:t>39</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Consents.</w:t>
      </w:r>
      <w:r>
        <w:rPr>
          <w:color w:val="000000"/>
        </w:rPr>
        <w:t xml:space="preserve"> </w:t>
      </w:r>
      <w:r>
        <w:rPr>
          <w:rFonts w:ascii="Times New Roman" w:hAnsi="Times New Roman"/>
          <w:color w:val="000000"/>
          <w:sz w:val="24"/>
        </w:rPr>
        <w:t xml:space="preserve">Such Party has obtained, or is not required to obtain, the consent, approval, order or authorization of any Third Party (including under any agreements relating to MannKind indebtedness), or has completed, or is not required to complete any registration, qualification, designation, declaration, or filing with, any Regulatory Authority or Governmental Authority, in connection with the execution and delivery of this Agreement and the performance by such Party of its obligations under this Agreement, except as contemplated by Section 15.16.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No Conflicting Grant of Rights.</w:t>
      </w:r>
      <w:r>
        <w:rPr>
          <w:color w:val="000000"/>
        </w:rPr>
        <w:t xml:space="preserve"> </w:t>
      </w:r>
      <w:r>
        <w:rPr>
          <w:rFonts w:ascii="Times New Roman" w:hAnsi="Times New Roman"/>
          <w:color w:val="000000"/>
          <w:sz w:val="24"/>
        </w:rPr>
        <w:t xml:space="preserve">Such Party has the right to grant the licenses and rights as contemplated under this Agreement and has not, and will not during the Term, grant any right to any Third Party which would conflict with the licenses and rights granted to the other Party hereunder.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Employee/Contractor Agreements.</w:t>
      </w:r>
      <w:r>
        <w:rPr>
          <w:color w:val="000000"/>
        </w:rPr>
        <w:t xml:space="preserve"> </w:t>
      </w:r>
      <w:r>
        <w:rPr>
          <w:rFonts w:ascii="Times New Roman" w:hAnsi="Times New Roman"/>
          <w:color w:val="000000"/>
          <w:sz w:val="24"/>
        </w:rPr>
        <w:t>All of such Party’s and its Affiliates’ employees or contractors acting on its behalf pursuant to this Agreement are and will be obligated under a binding written agreement to assign to such Party or its designee all Inventions and to comply with obligations of confidentiality and non</w:t>
        <w:noBreakHyphen/>
        <w:t xml:space="preserve">use consistent in scope with those set forth in Article 8.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Debarment.</w:t>
      </w:r>
      <w:r>
        <w:rPr>
          <w:color w:val="000000"/>
        </w:rPr>
        <w:t xml:space="preserve"> </w:t>
      </w:r>
      <w:r>
        <w:rPr>
          <w:rFonts w:ascii="Times New Roman" w:hAnsi="Times New Roman"/>
          <w:color w:val="000000"/>
          <w:sz w:val="24"/>
        </w:rPr>
        <w:t xml:space="preserve">Such Party is not debarred under the United States Federal Food, Drug and Cosmetic Act, excluded from a federal health care program, or debarred from federal contracting, and such Party does not, and will not during the Term, employ or use the services of any Person who is so debarred or excluded, or who has been convicted of or pled nolo contendere to any felony, or to any federal or state legal violation (including misdemeanors) relating to prescription drug or device products or fraud, or convicted of any other crime for which an entity or person could be so debarred or excluded (including by the FDA under 21 U.S.C. § 335a (or subject to a similar sanction of any other Governmental Authority)), in connection with the development, manufacture or commercialization of the Products. In the event that either Party becomes aware of the debarment, exclusion, or threatened debarment or exclusion of any Person providing services to such Party, including the Party itself and its Affiliates, which directly or indirectly relate to activities under this Agreement, the other Party shall be immediately notified in writing, and at the other Party’s option this Agreement shall terminate automatically as of the first date of such noncompliance.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Representations and Warranties of MannKind.</w:t>
      </w:r>
      <w:r>
        <w:rPr>
          <w:color w:val="000000"/>
        </w:rPr>
        <w:t xml:space="preserve"> </w:t>
      </w:r>
      <w:r>
        <w:rPr>
          <w:rFonts w:ascii="Times New Roman" w:hAnsi="Times New Roman"/>
          <w:color w:val="000000"/>
          <w:sz w:val="24"/>
        </w:rPr>
        <w:t xml:space="preserve">MannKind represents and warrants to United Therapeutics that, as of the Execution Date and as of the Effective Date: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Scope of License.</w:t>
      </w:r>
      <w:r>
        <w:rPr>
          <w:color w:val="00000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40</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MannKind is the sole and exclusive owner of the entire right, title and interest in the Existing Patents, free of any encumbrance, lien, or claim of ownership by any Third Party other than the liens held by Deerfield.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Person who has or has had any rights in or to any MannKind Patents or any MannKind Know-How, has assigned and has executed an agreement assigning its entire right, title, and interest in and to such MannKind Patents or any MannKind Know-How to MannKind or its Affiliates. To MannKind’s knowledge, no current officer, employee, agent, or consultant of MannKind or any of its Affiliates is in violation of any term of any assignment or other agreement regarding the protection of Patents or Information that would constitute MannKind Know-How or of any provision regarding the assignment or protection of intellectual property or proprietary rights of MannKind in any employment contract or any other contractual obligation relating to the relationship of any such Person with MannKind.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MannKind nor any of its Affiliates has previously entered into any agreement, whether written or oral, with respect to the assignment, transfer, license, conveyance or encumbrance of, or otherwise assigned, transferred, licensed, conveyed or encumbered its right, title, or interest in or to any Material Patent or Information (including by granting any covenant not to sue with respect thereto) that would otherwise be included in the MannKind Patents or MannKind Know-How but for such assignment, transfer, license, conveyance, or encumbrance. As used herein, “Material Patent or Information” means a Patent or item of Information which if not included in the MannKind Patents or MannKind Know-How, would be expected to have a material adverse effect on United Therapeutics’ ability to develop or commercialize Product in the Field in the Territory in the manner currently conducted or proposed to be conducted.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Patent Status.</w:t>
      </w:r>
      <w:r>
        <w:rPr>
          <w:color w:val="000000"/>
        </w:rPr>
        <w:t xml:space="preserve"> </w:t>
      </w:r>
      <w:r>
        <w:rPr>
          <w:rFonts w:ascii="Times New Roman" w:hAnsi="Times New Roman"/>
          <w:color w:val="000000"/>
          <w:sz w:val="24"/>
        </w:rPr>
        <w:t xml:space="preserve">As of the Effective Date, (i) all issued MannKind Patents are in full force and effect and subsisting, and inventorship of each Patent is properly identified on such Patents; (ii) none of the MannKind Patents is currently involved in any interference, reissue, reexamination, or opposition proceeding; and (iii) neither MannKind nor any of its Affiliates has received any written notice from any Person, or has knowledge, of such actual or threatened proceeding.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Non-Infringement by Third Parties.</w:t>
      </w:r>
      <w:r>
        <w:rPr>
          <w:color w:val="000000"/>
        </w:rPr>
        <w:t xml:space="preserve"> </w:t>
      </w:r>
      <w:r>
        <w:rPr>
          <w:rFonts w:ascii="Times New Roman" w:hAnsi="Times New Roman"/>
          <w:color w:val="000000"/>
          <w:sz w:val="24"/>
        </w:rPr>
        <w:t xml:space="preserve">As of the Effective Date, to MannKind’s knowledge, there are no activities by Third Parties (whether actual or threatened) that would constitute infringement of the MannKind Patents or misappropriation of the MannKind Know-How.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41</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No Action or Claim.</w:t>
      </w:r>
      <w:r>
        <w:rPr>
          <w:color w:val="000000"/>
        </w:rPr>
        <w:t xml:space="preserve"> </w:t>
      </w:r>
      <w:r>
        <w:rPr>
          <w:rFonts w:ascii="Times New Roman" w:hAnsi="Times New Roman"/>
          <w:color w:val="000000"/>
          <w:sz w:val="24"/>
        </w:rPr>
        <w:t xml:space="preserve">As of the Effective Date, there are no actual, pending, or alleged or threatened in writing, adverse actions, suits, claims, interferences or formal governmental investigations by or against MannKind or any of its Affiliates in or before any court, Governmental Authority involving any MannKind Know-How, MannKind Patents or Product, including in connection with the conduct of any clinical trials or manufacturing activities. As of the Effective Date, there are no material unsatisfied judgments or outstanding orders, injunctions, decrees, stipulations or awards (whether rendered by a court, an administrative agency or by an arbitrator) against MannKind with respect to any MannKind Know-How, MannKind Patents or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No Governmental Funding.</w:t>
      </w:r>
      <w:r>
        <w:rPr>
          <w:color w:val="000000"/>
        </w:rPr>
        <w:t xml:space="preserve"> </w:t>
      </w:r>
      <w:r>
        <w:rPr>
          <w:rFonts w:ascii="Times New Roman" w:hAnsi="Times New Roman"/>
          <w:color w:val="000000"/>
          <w:sz w:val="24"/>
        </w:rPr>
        <w:t xml:space="preserve">As of the Effective Date: (i) none of the inventions claimed in the MannKind Patents has been conceived, discovered, developed or otherwise made in connection with any research activities funded, in whole or in part, by any Governmental Authority, and (ii) the inventions claimed in the MannKind Patents are not a “subject invention” as that term is described in 35 U.S.C. Section 201(f).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Compliance.</w:t>
      </w:r>
      <w:r>
        <w:rPr>
          <w:color w:val="000000"/>
        </w:rPr>
        <w:t xml:space="preserve"> </w:t>
      </w:r>
      <w:r>
        <w:rPr>
          <w:rFonts w:ascii="Times New Roman" w:hAnsi="Times New Roman"/>
          <w:color w:val="000000"/>
          <w:sz w:val="24"/>
        </w:rPr>
        <w:t xml:space="preserve">As of the Effective Date, MannKind and its Affiliates and, to MannKind’s knowledge, any contract research organization to which MannKind or its Affiliates have subcontracted activities in connection with Product have complied in all material respects with all Applicable Laws, including all good clinical practices, good laboratory practices and good manufacturing practices, permits, governmental licenses, registrations, approvals, authorizations, orders, injunctions and decrees, in the research, development, manufacture and use of Product, and neither MannKind nor any of its Affiliates nor, to MannKind’s knowledge, any contract research organization to which MannKind or its Affiliates have subcontracted activities in connection with Product, has received any written notice from any Governmental Authority claiming that any such activities as conducted by them are not in such compliance.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No Injunction.</w:t>
      </w:r>
      <w:r>
        <w:rPr>
          <w:color w:val="000000"/>
        </w:rPr>
        <w:t xml:space="preserve"> </w:t>
      </w:r>
      <w:r>
        <w:rPr>
          <w:rFonts w:ascii="Times New Roman" w:hAnsi="Times New Roman"/>
          <w:color w:val="000000"/>
          <w:sz w:val="24"/>
        </w:rPr>
        <w:t xml:space="preserve">No Governmental Authority (including the FDA) has commenced or, to MannKind’s knowledge, threatened to initiate any action to enjoin production of Product at any facility, nor has MannKind or any of its Affiliates or, to MannKind’s knowledge, any of its subcontractors involved in production of Product, received any notice to such effect.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Regulatory Information.</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42</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MannKind and its Affiliates have generated, prepared, maintained, and retained all Regulatory Filings for the Product that are required to be maintained or retained pursuant to and in accordance with good laboratory and clinical practice and Applicable Laws, and all such information is true, complete and correct. Neither MannKind nor any of its Affiliates, nor any of its or their respective officers, employees, or agents has knowingly made an untrue statement of material fact or fraudulent statement to the FDA or any other Regulatory Authority with respect to the development of the Device, Formulation or Product, failed to disclose a material fact required to be disclosed to the FDA or any other Regulatory Authority with respect to the Development of the Device, Formulation or Product, or committed an act, made a statement, or failed to make a statement with respect to the Development of the Device, Formulation or Product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MannKind has made available to United Therapeutics a true and correct copy, which is complete in all material respects, of (A) the IND associated with Product, (B) all data from nonclinical studies and clinical studies conducted under the IND for Product, (C) all material correspondence with the FDA regarding Product, and (D) all minutes of meetings and telephone conferences with the FDA with respect to the IND for Product. To MannKind's knowledge, MannKind has disclosed or otherwise provided United Therapeutics with all material information in MannKind’s possession as of the Effective Date relating to (1) the MannKind Know-How or MannKind Patents, (2) the nonclinical and clinical development activities undertaken with respect to the Product, (3) the safety or efficacy of Product, and (4) the manufacture of Product, all of which information is true, complete in all material respects, and correct.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time period between the Execution Date and the Effective Date, MannKind shall promptly inform United Therapeutics in writing if MannKind or any of its Affiliates becomes aware that the representations and warranties made by MannKind pursuant to Sections 10.1 and 10.2 as of the Execution Date are not true and correct in any material respects on and as of the Effective Date as though made on and as of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 xml:space="preserve">Representations and Warranties of United Therapeutics. </w:t>
      </w:r>
      <w:r>
        <w:rPr>
          <w:rFonts w:ascii="Times New Roman" w:hAnsi="Times New Roman"/>
          <w:color w:val="000000"/>
          <w:sz w:val="24"/>
        </w:rPr>
        <w:t>United Therapeutics represents and warrants to MannKind that there is no action, suit, proceeding or investigation pending or, to its knowledge, threatened before any court or administrative agency against United Therapeutics or its Affiliates which could, directly or indirectly, reasonably be expected to materially affect its ability to perform its obligations hereunder or the commercialization by United Therapeutics of the Product.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43</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11</w:t>
      </w:r>
    </w:p>
    <w:p>
      <w:pPr>
        <w:pStyle w:val="TextBody"/>
        <w:bidi w:val="0"/>
        <w:spacing w:before="0" w:after="240"/>
        <w:jc w:val="center"/>
        <w:rPr/>
      </w:pPr>
      <w:r>
        <w:rPr>
          <w:rFonts w:ascii="Times New Roman" w:hAnsi="Times New Roman"/>
          <w:b/>
          <w:caps/>
          <w:color w:val="000000"/>
          <w:sz w:val="24"/>
          <w:u w:val="single"/>
        </w:rPr>
        <w:br/>
        <w:br/>
      </w:r>
      <w:r>
        <w:rPr>
          <w:rFonts w:ascii="Times New Roman" w:hAnsi="Times New Roman"/>
          <w:b/>
          <w:caps/>
          <w:color w:val="000000"/>
          <w:sz w:val="24"/>
        </w:rPr>
        <w:t>Indemnification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rFonts w:ascii="Times New Roman" w:hAnsi="Times New Roman"/>
          <w:b/>
          <w:color w:val="000000"/>
          <w:sz w:val="24"/>
        </w:rPr>
        <w:t>Indemnification of MannKind.</w:t>
      </w:r>
      <w:r>
        <w:rPr>
          <w:color w:val="000000"/>
        </w:rPr>
        <w:t xml:space="preserve"> </w:t>
      </w:r>
      <w:r>
        <w:rPr>
          <w:rFonts w:ascii="Times New Roman" w:hAnsi="Times New Roman"/>
          <w:color w:val="000000"/>
          <w:sz w:val="24"/>
        </w:rPr>
        <w:t>United Therapeutics shall indemnify and hold harmless each of MannKind and its Affiliates and the directors, officers, shareholders and employees of such entities and the successors and assigns of any of the foregoing (the “</w:t>
      </w:r>
      <w:r>
        <w:rPr>
          <w:rFonts w:ascii="Times New Roman" w:hAnsi="Times New Roman"/>
          <w:b/>
          <w:i/>
          <w:color w:val="000000"/>
          <w:sz w:val="24"/>
        </w:rPr>
        <w:t>MannKind Indemnitees</w:t>
      </w:r>
      <w:r>
        <w:rPr>
          <w:color w:val="000000"/>
        </w:rPr>
        <w:t>”</w:t>
      </w:r>
      <w:r>
        <w:rPr>
          <w:rFonts w:ascii="Times New Roman" w:hAnsi="Times New Roman"/>
          <w:color w:val="000000"/>
          <w:sz w:val="24"/>
        </w:rPr>
        <w:t>), from and against any and all losses, liabilities, damages, penalties, fines, costs and expenses (including, reasonable attorneys’ fees and other expenses of litigation) (“</w:t>
      </w:r>
      <w:r>
        <w:rPr>
          <w:rFonts w:ascii="Times New Roman" w:hAnsi="Times New Roman"/>
          <w:b/>
          <w:i/>
          <w:color w:val="000000"/>
          <w:sz w:val="24"/>
        </w:rPr>
        <w:t>Losses</w:t>
      </w:r>
      <w:r>
        <w:rPr>
          <w:color w:val="000000"/>
        </w:rPr>
        <w:t>”</w:t>
      </w:r>
      <w:r>
        <w:rPr>
          <w:rFonts w:ascii="Times New Roman" w:hAnsi="Times New Roman"/>
          <w:color w:val="000000"/>
          <w:sz w:val="24"/>
        </w:rPr>
        <w:t>) from any claims, actions, suits or proceedings brought by a Third Party (a “</w:t>
      </w:r>
      <w:r>
        <w:rPr>
          <w:rFonts w:ascii="Times New Roman" w:hAnsi="Times New Roman"/>
          <w:b/>
          <w:i/>
          <w:color w:val="000000"/>
          <w:sz w:val="24"/>
        </w:rPr>
        <w:t>Third Party Claims</w:t>
      </w:r>
      <w:r>
        <w:rPr>
          <w:color w:val="000000"/>
        </w:rPr>
        <w:t>”</w:t>
      </w:r>
      <w:r>
        <w:rPr>
          <w:rFonts w:ascii="Times New Roman" w:hAnsi="Times New Roman"/>
          <w:color w:val="000000"/>
          <w:sz w:val="24"/>
        </w:rPr>
        <w:t xml:space="preserve">) incurred by any MannKind Indemnitee, arising from, or occurring as a result of: (a) the development, manufacture, use, handling, storage, sale, other disposition, marketing, promotion or commercialization of Product by United Therapeutics or its Affiliates as contemplated by this Agreement; (b) gross negligence or willful misconduct of United Therapeutics or its Affiliates and (c) any material breach of any representations, warranties or covenants by United Therapeutics under Article 10 or Section 4.9 of this Agreement; except to the extent such Third Party Claims fall within the scope of the indemnification obligations of MannKind set forth in Section 11.2.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rFonts w:ascii="Times New Roman" w:hAnsi="Times New Roman"/>
          <w:b/>
          <w:color w:val="000000"/>
          <w:sz w:val="24"/>
        </w:rPr>
        <w:t>Indemnification of United Therapeutics.</w:t>
      </w:r>
      <w:r>
        <w:rPr>
          <w:color w:val="000000"/>
        </w:rPr>
        <w:t xml:space="preserve"> </w:t>
      </w:r>
      <w:r>
        <w:rPr>
          <w:rFonts w:ascii="Times New Roman" w:hAnsi="Times New Roman"/>
          <w:color w:val="000000"/>
          <w:sz w:val="24"/>
        </w:rPr>
        <w:t>MannKind shall indemnify and hold harmless each of United Therapeutics and its Affiliates and the directors, officers, shareholders and employees of such entities, and the successors and assigns of any of the foregoing (the “</w:t>
      </w:r>
      <w:r>
        <w:rPr>
          <w:rFonts w:ascii="Times New Roman" w:hAnsi="Times New Roman"/>
          <w:b/>
          <w:i/>
          <w:color w:val="000000"/>
          <w:sz w:val="24"/>
        </w:rPr>
        <w:t>United Therapeutics Indemnitees</w:t>
      </w:r>
      <w:r>
        <w:rPr>
          <w:color w:val="000000"/>
        </w:rPr>
        <w:t>”</w:t>
      </w:r>
      <w:r>
        <w:rPr>
          <w:rFonts w:ascii="Times New Roman" w:hAnsi="Times New Roman"/>
          <w:color w:val="000000"/>
          <w:sz w:val="24"/>
        </w:rPr>
        <w:t>), from and against any and all Losses from any Third Party Claims incurred by any United Therapeutics Indemnitee, arising from, or occurring as a result of: (a) the development of Product by MannKind or its Affiliates prior to the Effective Date or during the Development Term as contemplated by this Agreement; (b) gross negligence or willful misconduct of MannKind or its Affiliates; (c) any material breach of any representations, warranties or covenants by MannKind under Article 10 or Section 4.9 of this Agreement; and (d) the Specified Matters, except to the extent such Third Party Claims (excluding Third Party Claims in relation to the Specified Matters) falls within the scope of the indemnification obligations of United Therapeutics set forth in Section 11.1.</w:t>
      </w:r>
    </w:p>
    <w:p>
      <w:pPr>
        <w:pStyle w:val="TextBody"/>
        <w:bidi w:val="0"/>
        <w:jc w:val="left"/>
        <w:rPr>
          <w:rFonts w:ascii="Times New Roman" w:hAnsi="Times New Roman"/>
          <w:sz w:val="20"/>
        </w:rPr>
      </w:pPr>
      <w:r>
        <w:rPr>
          <w:rFonts w:ascii="Times New Roman" w:hAnsi="Times New Roman"/>
          <w:color w:val="000000"/>
          <w:sz w:val="24"/>
        </w:rPr>
        <w:t>44</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Procedure.</w:t>
      </w:r>
      <w:r>
        <w:rPr>
          <w:color w:val="000000"/>
        </w:rPr>
        <w:t xml:space="preserve"> </w:t>
      </w:r>
      <w:r>
        <w:rPr>
          <w:rFonts w:ascii="Times New Roman" w:hAnsi="Times New Roman"/>
          <w:color w:val="000000"/>
          <w:sz w:val="24"/>
        </w:rPr>
        <w:t xml:space="preserve">A party that intends to claim indemnification under this </w:t>
      </w:r>
      <w:bookmarkStart w:id="48" w:name="ole_link8"/>
      <w:bookmarkEnd w:id="48"/>
      <w:r>
        <w:rPr>
          <w:rFonts w:ascii="Times New Roman" w:hAnsi="Times New Roman"/>
          <w:color w:val="000000"/>
          <w:sz w:val="24"/>
        </w:rPr>
        <w:t>Article 11</w:t>
      </w:r>
      <w:r>
        <w:rPr>
          <w:color w:val="000000"/>
        </w:rPr>
        <w:t xml:space="preserve"> </w:t>
      </w:r>
      <w:r>
        <w:rPr>
          <w:rFonts w:ascii="Times New Roman" w:hAnsi="Times New Roman"/>
          <w:color w:val="000000"/>
          <w:sz w:val="24"/>
        </w:rPr>
        <w:t>(the “</w:t>
      </w:r>
      <w:r>
        <w:rPr>
          <w:rFonts w:ascii="Times New Roman" w:hAnsi="Times New Roman"/>
          <w:b/>
          <w:i/>
          <w:color w:val="000000"/>
          <w:sz w:val="24"/>
        </w:rPr>
        <w:t>Indemnitee</w:t>
      </w:r>
      <w:r>
        <w:rPr>
          <w:color w:val="000000"/>
        </w:rPr>
        <w:t>”</w:t>
      </w:r>
      <w:r>
        <w:rPr>
          <w:rFonts w:ascii="Times New Roman" w:hAnsi="Times New Roman"/>
          <w:color w:val="000000"/>
          <w:sz w:val="24"/>
        </w:rPr>
        <w:t>) shall promptly notify the indemnifying Party (the “</w:t>
      </w:r>
      <w:r>
        <w:rPr>
          <w:rFonts w:ascii="Times New Roman" w:hAnsi="Times New Roman"/>
          <w:b/>
          <w:i/>
          <w:color w:val="000000"/>
          <w:sz w:val="24"/>
        </w:rPr>
        <w:t>Indemnitor</w:t>
      </w:r>
      <w:r>
        <w:rPr>
          <w:color w:val="000000"/>
        </w:rPr>
        <w:t>”</w:t>
      </w:r>
      <w:r>
        <w:rPr>
          <w:rFonts w:ascii="Times New Roman" w:hAnsi="Times New Roman"/>
          <w:color w:val="000000"/>
          <w:sz w:val="24"/>
        </w:rPr>
        <w:t>) in writing of any Third Party Claim, in respect of which the Indemnitee intends to claim such indemnification, and the Indemnitor shall have sole control of the defense and/or settlement thereof. The indemnity arrangement in this Article 11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 Party Claim shall only relieve the Indemnitor of its indemnification obligations under this Article 11 if and to the extent the Indemnitor is actually prejudiced thereby. The Indemnitee shall cooperate fully with the Indemnitor and its legal representatives in the investigation of any action with respect to a Third Party Claim covered by this indemnification.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rFonts w:ascii="Times New Roman" w:hAnsi="Times New Roman"/>
          <w:b/>
          <w:color w:val="000000"/>
          <w:sz w:val="24"/>
        </w:rPr>
        <w:t xml:space="preserve">Insurance. </w:t>
      </w:r>
      <w:r>
        <w:rPr>
          <w:rFonts w:ascii="Times New Roman" w:hAnsi="Times New Roman"/>
          <w:color w:val="000000"/>
          <w:sz w:val="24"/>
        </w:rPr>
        <w:t xml:space="preserve">Each Party, at its own expense, shall maintain product liability and other appropriate insurance (or self-insure) in an amount consistent with industry standards during the Term and shall name the other Party as an additional insured with respect to such insurance. Each Party shall provide a certificate of insurance (or evidence of self-insurance) evidencing such coverage to the other Party upon request.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12</w:t>
      </w:r>
    </w:p>
    <w:p>
      <w:pPr>
        <w:pStyle w:val="TextBody"/>
        <w:bidi w:val="0"/>
        <w:spacing w:before="0" w:after="240"/>
        <w:jc w:val="center"/>
        <w:rPr/>
      </w:pPr>
      <w:r>
        <w:rPr>
          <w:rFonts w:ascii="Times New Roman" w:hAnsi="Times New Roman"/>
          <w:b/>
          <w:caps/>
          <w:color w:val="000000"/>
          <w:sz w:val="24"/>
          <w:u w:val="single"/>
        </w:rPr>
        <w:br/>
      </w:r>
      <w:r>
        <w:rPr>
          <w:rFonts w:ascii="Times New Roman" w:hAnsi="Times New Roman"/>
          <w:b/>
          <w:caps/>
          <w:color w:val="000000"/>
          <w:sz w:val="24"/>
        </w:rP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rFonts w:ascii="Times New Roman" w:hAnsi="Times New Roman"/>
          <w:b/>
          <w:color w:val="000000"/>
          <w:sz w:val="24"/>
        </w:rPr>
        <w:t>Term.</w:t>
      </w:r>
      <w:r>
        <w:rPr>
          <w:color w:val="000000"/>
        </w:rPr>
        <w:t xml:space="preserve"> </w:t>
      </w:r>
      <w:r>
        <w:rPr>
          <w:rFonts w:ascii="Times New Roman" w:hAnsi="Times New Roman"/>
          <w:color w:val="000000"/>
          <w:sz w:val="24"/>
        </w:rPr>
        <w:t>This Agreement shall commence on the Effective Date, and unless terminated earlier as provided in this Article 12, shall continue in full force and effect until terminated pursuant to Section 12.2, 12.3, 12.4 or 12.5 (the “</w:t>
      </w:r>
      <w:r>
        <w:rPr>
          <w:rFonts w:ascii="Times New Roman" w:hAnsi="Times New Roman"/>
          <w:b/>
          <w:i/>
          <w:color w:val="000000"/>
          <w:sz w:val="24"/>
        </w:rPr>
        <w:t>Term</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rFonts w:ascii="Times New Roman" w:hAnsi="Times New Roman"/>
          <w:b/>
          <w:color w:val="000000"/>
          <w:sz w:val="24"/>
        </w:rPr>
        <w:t>Termination by the Parties.</w:t>
      </w:r>
      <w:r>
        <w:rPr>
          <w:color w:val="000000"/>
        </w:rPr>
        <w:t xml:space="preserve"> </w:t>
      </w:r>
      <w:r>
        <w:rPr>
          <w:rFonts w:ascii="Times New Roman" w:hAnsi="Times New Roman"/>
          <w:color w:val="000000"/>
          <w:sz w:val="24"/>
        </w:rPr>
        <w:t>The Parties may terminate this Agreement in its entirety before the end of the Term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mutual written agreement of the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written notice by a Party to the other Party if such other Party is in material breach of this Agreement and has not cured such breach within 90 days (10 days with respect to failure to pay any undisputed payment) after written notice from the terminating Party describing the breach and requesting that it be cured. Any such termination shall become effective at the end of such 90 day (10 day with respect to failure to pay any undisputed payment) period unless (i) the breaching Party has cured any such breach or default prior to the end of such period, or (ii) the Party alleged to be in breach of this Agreement disputes such breach within such ninety (90) day period, in which case the non-breaching Party shall not have the right to terminate this Agreement unless it has been determined by a court of competent jurisdiction pursuant to Article 14 that this Agreement was materially breached, and the breaching Party fails to comply with its obligations hereunder within ninety (90) days after such determination; or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45</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rFonts w:ascii="Times New Roman" w:hAnsi="Times New Roman"/>
          <w:b/>
          <w:color w:val="000000"/>
          <w:sz w:val="24"/>
        </w:rPr>
        <w:t>Additional United Therapeutics Termination Rights.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United Therapeutics shall have the right to terminate this Agreement in its entirety or with respect to (i) a Development Plan or (ii) any particular Product, at any time for any reason or for no reason upon delivery of at least 90 days’ prior written notice to MannKind.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United Therapeutics shall have the right to terminate this Agreement prior to the Effective Date immediately upon notice to MannKind if any of MannKind’s representations and warranties contained in Article 10 become untrue in any material respect or if MannKind fails to deliver the Closing Certificate to United Therapeutics as contemplated by Section 15.16.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rFonts w:ascii="Times New Roman" w:hAnsi="Times New Roman"/>
          <w:b/>
          <w:color w:val="000000"/>
          <w:sz w:val="24"/>
        </w:rPr>
        <w:t>Change of Control</w:t>
      </w:r>
      <w:r>
        <w:rPr>
          <w:rFonts w:ascii="Times New Roman" w:hAnsi="Times New Roman"/>
          <w:color w:val="000000"/>
          <w:sz w:val="24"/>
        </w:rPr>
        <w:t>. If a Change of Control of United Therapeutics is publicly announced and is reasonably anticipated to result in (a) a material reduction in Net Sales of Product or (b) access to Manufacturing Information by a Third Party with very competitive products or pipelines to MannKind’s products (each, a “</w:t>
      </w:r>
      <w:r>
        <w:rPr>
          <w:rFonts w:ascii="Times New Roman" w:hAnsi="Times New Roman"/>
          <w:b/>
          <w:i/>
          <w:color w:val="000000"/>
          <w:sz w:val="24"/>
        </w:rPr>
        <w:t>Subject Change of Control</w:t>
      </w:r>
      <w:r>
        <w:rPr>
          <w:color w:val="000000"/>
        </w:rPr>
        <w:t>”</w:t>
      </w:r>
      <w:r>
        <w:rPr>
          <w:rFonts w:ascii="Times New Roman" w:hAnsi="Times New Roman"/>
          <w:color w:val="000000"/>
          <w:sz w:val="24"/>
        </w:rPr>
        <w:t>), then United Therapeutics agrees that, in order to minimize the adverse impact to MannKind caused by such Subject Change of Control, United Therapeutics shall promptly inform MannKind thereof and in good faith endeavor to agree with MannKind about how to continue the development, manufacturing and commercialization of Product and/or put reasonable measures in place to prevent access to Manufacturing Information. If United Therapeutics and MannKind cannot reach an agreement about how to continue the development, manufacturing and commercialization of Product according to this Agreement, then MannKind shall have the right, effective upon the Subject Change of Control of United Therapeutics, to terminate this Agreement; provided that there shall be no termination right under this Section 12.4 if both (i) reasonable measures are put in place to prevent access to Manufacturing Information and (ii) clause (a) above does not apply.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rFonts w:ascii="Times New Roman" w:hAnsi="Times New Roman"/>
          <w:b/>
          <w:color w:val="000000"/>
          <w:sz w:val="24"/>
        </w:rPr>
        <w:t xml:space="preserve">Additional MannKind Termination Right. </w:t>
      </w:r>
      <w:r>
        <w:rPr>
          <w:rFonts w:ascii="Times New Roman" w:hAnsi="Times New Roman"/>
          <w:color w:val="000000"/>
          <w:sz w:val="24"/>
        </w:rPr>
        <w:t>MannKind shall have the right to terminate this Agreement immediately upon written notice to United Therapeutics if United Therapeutics or any of its Affiliates directly, or indirectly through any Third Party, commences any interference or opposition proceeding with respect to, challenges the validity or enforceability of, or opposes any extension of or the grant of a supplementary protection certificate with respect to, any MannKind Patent.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13</w:t>
      </w:r>
    </w:p>
    <w:p>
      <w:pPr>
        <w:pStyle w:val="TextBody"/>
        <w:bidi w:val="0"/>
        <w:spacing w:before="0" w:after="240"/>
        <w:jc w:val="center"/>
        <w:rPr/>
      </w:pPr>
      <w:r>
        <w:rPr>
          <w:rFonts w:ascii="Times New Roman" w:hAnsi="Times New Roman"/>
          <w:b/>
          <w:caps/>
          <w:color w:val="000000"/>
          <w:sz w:val="24"/>
          <w:u w:val="single"/>
        </w:rPr>
        <w:br/>
        <w:br/>
      </w:r>
      <w:r>
        <w:rPr>
          <w:rFonts w:ascii="Times New Roman" w:hAnsi="Times New Roman"/>
          <w:b/>
          <w:caps/>
          <w:color w:val="000000"/>
          <w:sz w:val="24"/>
        </w:rPr>
        <w:t>Effect of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rFonts w:ascii="Times New Roman" w:hAnsi="Times New Roman"/>
          <w:b/>
          <w:color w:val="000000"/>
          <w:sz w:val="24"/>
        </w:rPr>
        <w:t>Accrued Obligations.</w:t>
      </w:r>
      <w:r>
        <w:rPr>
          <w:color w:val="000000"/>
        </w:rPr>
        <w:t xml:space="preserve"> </w:t>
      </w:r>
      <w:r>
        <w:rPr>
          <w:rFonts w:ascii="Times New Roman" w:hAnsi="Times New Roman"/>
          <w:color w:val="000000"/>
          <w:sz w:val="24"/>
        </w:rPr>
        <w:t>The expiration or termination of this Agreement, in whole or part, for any reason shall not release either Party from any liability or deprive either Party of any right which, at the time of such expiration or termination, has already accrued to such Party or which is attributable to a period prior to such expiration or termination, nor will any expiration or termination of this Agreement preclude either Party from pursuing all rights and remedies it may have under this Agreement, at law or in equity, with respect to breach of this Agreement.</w:t>
      </w:r>
    </w:p>
    <w:p>
      <w:pPr>
        <w:pStyle w:val="TextBody"/>
        <w:bidi w:val="0"/>
        <w:jc w:val="left"/>
        <w:rPr>
          <w:rFonts w:ascii="Times New Roman" w:hAnsi="Times New Roman"/>
          <w:sz w:val="20"/>
        </w:rPr>
      </w:pPr>
      <w:r>
        <w:rPr>
          <w:rFonts w:ascii="Times New Roman" w:hAnsi="Times New Roman"/>
          <w:color w:val="000000"/>
          <w:sz w:val="24"/>
        </w:rPr>
        <w:t>46</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rFonts w:ascii="Times New Roman" w:hAnsi="Times New Roman"/>
          <w:b/>
          <w:color w:val="000000"/>
          <w:sz w:val="24"/>
        </w:rPr>
        <w:t>Rights on Termination Other than Termination By United Therapeutics for Cause.</w:t>
      </w:r>
      <w:r>
        <w:rPr>
          <w:color w:val="000000"/>
        </w:rPr>
        <w:t xml:space="preserve"> </w:t>
      </w:r>
      <w:r>
        <w:rPr>
          <w:rFonts w:ascii="Times New Roman" w:hAnsi="Times New Roman"/>
          <w:color w:val="000000"/>
          <w:sz w:val="24"/>
        </w:rPr>
        <w:t>This Section 13.2 shall apply upon the termination of this Agreement by agreement of the Parties under Section 12.2(a), by MannKind pursuant to Section 12.2(b) or (c), Section 12.4 or Section 12.5 or by United Therapeutics pursuant to Section 12.3(a). In the event of a termination by United Therapeutics pursuant to Section 12.3(a) for a particular Product, this Section 13.2 shall apply only to such terminated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Wind-down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Development.</w:t>
      </w:r>
      <w:r>
        <w:rPr>
          <w:color w:val="000000"/>
        </w:rPr>
        <w:t xml:space="preserve"> </w:t>
      </w:r>
      <w:r>
        <w:rPr>
          <w:rFonts w:ascii="Times New Roman" w:hAnsi="Times New Roman"/>
          <w:color w:val="000000"/>
          <w:sz w:val="24"/>
        </w:rPr>
        <w:t xml:space="preserve">In the event there are any on-going clinical trials of Product in the Territory, at MannKind’s request in writing, United Therapeutics agrees: (A) the Parties shall work together in good faith to adopt, and United Therapeutics shall have the final decision-making authority with respect to, a plan to wind-down any such clinical trials in an orderly fashion at United Therapeutics’ expense, with due regard for patient safety and the rights of any subjects that are participants in any clinical trials of Product and take any actions it deems reasonably necessary or appropriate to avoid any human health or safety problems and in compliance with all Applicable Laws, or (B) to the extent so requested by MannKind, to promptly transition to MannKind or its designee such clinical trials then being conducted by United Therapeutics, or portions thereof, for MannKind or its designee to complete at their expense. If United Therapeutics shall continue to conduct any such clinical trials, it shall do so in accordance with the terms and conditions of this Agreement. If MannKind elects to have United Therapeutics transition the clinical trial(s) to MannKind or its designee, MannKind shall reimburse United Therapeutics for the out-of-pocket costs incurred by United Therapeutics in carrying out such transfer. Notwithstanding anything to the contrary in this Section 13.2(a)(i), in no case shall United Therapeutics be obligated to pursue or support the activities described in this Section 13.2(a)(i) for a period exceeding 6 months after the date of notice of such termination.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4"/>
        </w:rPr>
        <w:t>Commercialization.</w:t>
      </w:r>
      <w:r>
        <w:rPr>
          <w:color w:val="000000"/>
        </w:rPr>
        <w:t xml:space="preserve"> </w:t>
      </w:r>
      <w:r>
        <w:rPr>
          <w:rFonts w:ascii="Times New Roman" w:hAnsi="Times New Roman"/>
          <w:color w:val="000000"/>
          <w:sz w:val="24"/>
        </w:rPr>
        <w:t>United Therapeutics and its Affiliates shall continue, to the extent that United Therapeutics and its Affiliates continue to have stocks of usable Product, to fulfill orders received from customers for Product in the Field in the Territory until up to 180 days after the effective date of termination. For clarity, United Therapeutics shall have no obligation to continue to market and promote the Product after the termination is effective. For Product sold by United Therapeutics after the effective date of a termination (i.e., after the expiration of the applicable termination notice period), United Therapeutics shall continue to pay royalties on Net Sales pursuant to Section 6.3. Notwithstanding the foregoing, United Therapeutics and its Affiliates shall cease such activities in the Territory upon 60 days written notice given by MannKind at any time after the effective date of a termination requesting that such activities (or portion thereof) cease. In the case of a termination of this Agreement in its entirety, within 30 days after MannKind has given notice to United Therapeutics requesting the cessation of activities pursuant to the provision of this Section, United Therapeutics shall notify MannKind of an estimate of the quantity of Product and its shelf life remaining in United Therapeutics’ inventory and MannKind shall have the right to purchase any such quantities of Product from United Therapeutics at a price mutually agreed by the Parties. To the extent MannKind does not purchase such quantities, United Therapeutics may sell such quantities during the 180 days after the effective date of such termination within the shelf life remaining for Product.</w:t>
      </w:r>
    </w:p>
    <w:p>
      <w:pPr>
        <w:pStyle w:val="TextBody"/>
        <w:bidi w:val="0"/>
        <w:jc w:val="left"/>
        <w:rPr>
          <w:rFonts w:ascii="Times New Roman" w:hAnsi="Times New Roman"/>
          <w:sz w:val="20"/>
        </w:rPr>
      </w:pPr>
      <w:r>
        <w:rPr>
          <w:rFonts w:ascii="Times New Roman" w:hAnsi="Times New Roman"/>
          <w:color w:val="000000"/>
          <w:sz w:val="24"/>
        </w:rPr>
        <w:t>47</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Assignment of Filings and Marketing Approvals.</w:t>
      </w:r>
      <w:r>
        <w:rPr>
          <w:color w:val="000000"/>
        </w:rPr>
        <w:t xml:space="preserve"> </w:t>
      </w:r>
      <w:r>
        <w:rPr>
          <w:rFonts w:ascii="Times New Roman" w:hAnsi="Times New Roman"/>
          <w:color w:val="000000"/>
          <w:sz w:val="24"/>
        </w:rPr>
        <w:t>At MannKind’s option, which shall be exercised by written notice to United Therapeutics, to the extent permitted under Applicable Laws, United Therapeutics shall assign or cause to be assigned to MannKind or its designee (or to the extent not so assignable, United Therapeutics shall take all reasonable actions to make available to MannKind or its designee the benefits of) all Regulatory Filings (including the Data incorporated therein and Marketing Approvals) for Product in the Territory, including any such Regulatory Filings made or owned by its Affiliates. MannKind shall notify United Therapeutics before the effective date of termination, whether the Regulatory Filings should be assigned to MannKind or its designee, and if the latter, identify the designee, and provide United Therapeutics with all necessary details to enable United Therapeutics to effect the assignment (or availability). If MannKind fails to provide such notification prior to the effective date of termination, United Therapeutics shall assign the Regulatory Filings to MannKind.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48</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Rights Become Non-Exclusive.</w:t>
      </w:r>
      <w:r>
        <w:rPr>
          <w:color w:val="000000"/>
        </w:rPr>
        <w:t xml:space="preserve"> </w:t>
      </w:r>
      <w:r>
        <w:rPr>
          <w:rFonts w:ascii="Times New Roman" w:hAnsi="Times New Roman"/>
          <w:color w:val="000000"/>
          <w:sz w:val="24"/>
        </w:rPr>
        <w:t xml:space="preserve">Notwithstanding any other provision of this Agreement, following the effective date of termination and during the Wind-down Period, United Therapeutics’ and its Affiliates’ rights with respect to Product in the Field in the Territory shall be non-exclusive, and, without limiting the foregoing, MannKind shall have the right to engage one or more other distributors and/or licensees of Product in the Field in the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Continuing Payment Obligations.</w:t>
      </w:r>
      <w:r>
        <w:rPr>
          <w:color w:val="000000"/>
        </w:rPr>
        <w:t xml:space="preserve"> </w:t>
      </w:r>
      <w:r>
        <w:rPr>
          <w:rFonts w:ascii="Times New Roman" w:hAnsi="Times New Roman"/>
          <w:color w:val="000000"/>
          <w:sz w:val="24"/>
        </w:rPr>
        <w:t>Any Product sold or disposed of by United Therapeutics and its Affiliates, in accordance with this Section 13.2 shall be subject to the applicable payment obligations under Article 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Licenses</w:t>
      </w:r>
      <w:r>
        <w:rPr>
          <w:rFonts w:ascii="Times New Roman" w:hAnsi="Times New Roman"/>
          <w:color w:val="000000"/>
          <w:sz w:val="24"/>
        </w:rPr>
        <w:t>. United Therapeutics hereby grants to MannKind, effective upon termination of this Agreement, an exclusive, worldwide, royalty</w:t>
        <w:noBreakHyphen/>
        <w:t>free, fully paid, perpetual, irrevocable, worldwide license (with rights to sublicense) to use all Information and Regulatory Filings generated by United Therapeutics or its Affiliates with respect to Product, then Controlled by United Therapeutics or any of its Affiliates as of the effective date of termination, to develop, make, have made, use, offer for sale, sell, have sold, and import Product. Any and all licenses granted by MannKind to United Therapeutics under this Agreement shall terminate, except as otherwise expressly provided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rFonts w:ascii="Times New Roman" w:hAnsi="Times New Roman"/>
          <w:b/>
          <w:color w:val="000000"/>
          <w:sz w:val="24"/>
        </w:rPr>
        <w:t>Rights on Termination By United Therapeutics for Cause.</w:t>
      </w:r>
      <w:r>
        <w:rPr>
          <w:color w:val="000000"/>
        </w:rPr>
        <w:t xml:space="preserve"> </w:t>
      </w:r>
      <w:r>
        <w:rPr>
          <w:rFonts w:ascii="Times New Roman" w:hAnsi="Times New Roman"/>
          <w:color w:val="000000"/>
          <w:sz w:val="24"/>
        </w:rPr>
        <w:t xml:space="preserve">This Section 13.3 shall apply upon the termination of this Agreement by United Therapeutics pursuant to Section 12.2(b) or (c) or Section 12.3(b):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Winding-Down of Development Activities.</w:t>
      </w:r>
      <w:r>
        <w:rPr>
          <w:color w:val="000000"/>
        </w:rPr>
        <w:t xml:space="preserve"> </w:t>
      </w:r>
      <w:r>
        <w:rPr>
          <w:rFonts w:ascii="Times New Roman" w:hAnsi="Times New Roman"/>
          <w:color w:val="000000"/>
          <w:sz w:val="24"/>
        </w:rPr>
        <w:t xml:space="preserve">In the event there are any on-going clinical trials of Product in the Territory: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49</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perform its outstanding non-cancellable obligations under the Development Plan that existed or accrued prior to the notice date of termination;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color w:val="000000"/>
          <w:sz w:val="24"/>
        </w:rPr>
        <w:t xml:space="preserve">All costs and expenses incurred from the effective date of the termination notice in winding-down the development activities with respect to the applicable Product shall be borne by MannKind;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in no case shall MannKind be obligated to pursue or support such activities for a period exceeding 6 months after the date of notice of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Termination of Licenses. </w:t>
      </w:r>
      <w:r>
        <w:rPr>
          <w:rFonts w:ascii="Times New Roman" w:hAnsi="Times New Roman"/>
          <w:color w:val="000000"/>
          <w:sz w:val="24"/>
        </w:rPr>
        <w:t>Any and all licenses granted by United Therapeutics to MannKind or by MannKind to United Therapeutics under this Agreement shall terminate, except as otherwise expressly provided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Regulatory Filings. </w:t>
      </w:r>
      <w:r>
        <w:rPr>
          <w:rFonts w:ascii="Times New Roman" w:hAnsi="Times New Roman"/>
          <w:color w:val="000000"/>
          <w:sz w:val="24"/>
        </w:rPr>
        <w:t xml:space="preserve">Upon United Therapeutics’ request and to the extent permitted by Applicable Laws, MannKind may purchase all Regulatory Filings (including Data incorporated therein and Marketing Approval) that are owned by United Therapeutics or any of its Affiliates for Product at a price mutually agreed by the Parties, and United Therapeutics shall assign or cause to be assigned to MannKind or its designees (or to the extent not so assignable, United Therapeutics shall take all reasonable actions to make available to MannKind or its designee the benefits of) such Regulatory Filings (including Data incorporated therein and Marketing Approval) for Product in the Territory that are so purchased, including any such Regulatory Filings made or owned by its Affiliates.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Termination Assistance</w:t>
      </w:r>
      <w:r>
        <w:rPr>
          <w:rFonts w:ascii="Times New Roman" w:hAnsi="Times New Roman"/>
          <w:color w:val="000000"/>
          <w:sz w:val="24"/>
        </w:rPr>
        <w:t xml:space="preserve">. United Therapeutics and its Affiliates may continue to sell its inventory of Product in the Territory for up to 12 months after the effective date of the termination or offer MannKind to purchase the inventories of Product at a price mutually agreed by the Parties. MannKind may to the extent permitted by the applicable Third Party, assume such supply or distribution agreement. MannKind shall provide such other assistance, at no cost to United Therapeutics, as may be reasonably necessary or useful for United Therapeutics to terminate the development or commercialization of the applicable Product in the applicable countries of the Territory.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Continuing Payment Obligations.</w:t>
      </w:r>
      <w:r>
        <w:rPr>
          <w:color w:val="000000"/>
        </w:rPr>
        <w:t xml:space="preserve"> </w:t>
      </w:r>
      <w:r>
        <w:rPr>
          <w:rFonts w:ascii="Times New Roman" w:hAnsi="Times New Roman"/>
          <w:color w:val="000000"/>
          <w:sz w:val="24"/>
        </w:rPr>
        <w:t xml:space="preserve">Any Product sold or disposed of by United Therapeutics or its Affiliates, in accordance with this Section 13.3 shall be subject to the applicable payment obligations under Article 6.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50</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rFonts w:ascii="Times New Roman" w:hAnsi="Times New Roman"/>
          <w:b/>
          <w:color w:val="000000"/>
          <w:sz w:val="24"/>
        </w:rPr>
        <w:t>Return of Confidential Information</w:t>
      </w:r>
      <w:r>
        <w:rPr>
          <w:rFonts w:ascii="Times New Roman" w:hAnsi="Times New Roman"/>
          <w:color w:val="000000"/>
          <w:sz w:val="24"/>
        </w:rPr>
        <w:t>. Upon termination or expiration of this Agreement, except to the extent that a Party retains a license from the other Party as contemplated by this Article 13, each Party shall promptly return to the other Party, or delete or destroy, all relevant records and materials in such Party’s possession or control containing Confidential Information of the other Party; provided that such Party may keep one copy of such materials for archival purposes only subject to a continuing confidentiality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color w:val="000000"/>
          <w:sz w:val="24"/>
        </w:rPr>
        <w:t xml:space="preserve">Expiration or termination of this Agreement shall not relieve the Parties of any rights or obligation accruing prior to such expiration or termination. In addition, upon expiration or termination of this Agreement, all rights and obligations of the Parties under this Agreement shall terminate, except those described in the following Articles and Sections: Sections 2.3 (last sentence only); 6.4(b) (for a period of up to three (3) years from the end of the Calendar Quarter in which termination occurs, but in any event not more than (3) years from the end of the Calendar Quarter in which the last Quarterly Report was submitted); 7.6 (for a period of three (3) years from end of the Calendar Quarter in which termination or expiration occurs); 9.1; 9.3(b), 9.3(d) and 9.5 (in each case with respect to any infringement action being prosecuted as of the effective date of termination); 10.4; and 11.1 – 11.3, and Articles 1, 8, 12, 13 (and sections referenced therein), 14 and 15.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14</w:t>
      </w:r>
    </w:p>
    <w:p>
      <w:pPr>
        <w:pStyle w:val="TextBody"/>
        <w:bidi w:val="0"/>
        <w:spacing w:before="0" w:after="240"/>
        <w:jc w:val="center"/>
        <w:rPr/>
      </w:pPr>
      <w:r>
        <w:rPr>
          <w:rFonts w:ascii="Times New Roman" w:hAnsi="Times New Roman"/>
          <w:b/>
          <w:caps/>
          <w:color w:val="000000"/>
          <w:sz w:val="24"/>
          <w:u w:val="single"/>
        </w:rPr>
        <w:br/>
      </w:r>
      <w:r>
        <w:rPr>
          <w:rFonts w:ascii="Times New Roman" w:hAnsi="Times New Roman"/>
          <w:b/>
          <w:caps/>
          <w:color w:val="000000"/>
          <w:sz w:val="24"/>
        </w:rPr>
        <w:br/>
        <w:t xml:space="preserve">Dispute Resolution AND GOVERNING LAW </w:t>
        <w:br/>
      </w:r>
      <w:r>
        <w:rPr>
          <w:caps/>
          <w:color w:val="00000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51</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Escalation.</w:t>
      </w:r>
      <w:r>
        <w:rPr>
          <w:color w:val="000000"/>
        </w:rPr>
        <w:t xml:space="preserve"> </w:t>
      </w:r>
      <w:r>
        <w:rPr>
          <w:rFonts w:ascii="Times New Roman" w:hAnsi="Times New Roman"/>
          <w:color w:val="000000"/>
          <w:sz w:val="24"/>
        </w:rPr>
        <w:t>Prior to taking action as provided in Section 14.3 below, and at the request of any Party if there is a Dispute, the Parties shall first submit such Dispute to their respective chief executive officers, or the representative designated by such individual (provided that such representative is a senior executive officer of such Party with authority to settle the applicable issue or dispute submitted for resolution under this Section 14.2) (“</w:t>
      </w:r>
      <w:r>
        <w:rPr>
          <w:rFonts w:ascii="Times New Roman" w:hAnsi="Times New Roman"/>
          <w:b/>
          <w:i/>
          <w:color w:val="000000"/>
          <w:sz w:val="24"/>
        </w:rPr>
        <w:t>Senior Executives</w:t>
      </w:r>
      <w:r>
        <w:rPr>
          <w:color w:val="000000"/>
        </w:rPr>
        <w:t>”</w:t>
      </w:r>
      <w:r>
        <w:rPr>
          <w:rFonts w:ascii="Times New Roman" w:hAnsi="Times New Roman"/>
          <w:color w:val="000000"/>
          <w:sz w:val="24"/>
        </w:rPr>
        <w:t xml:space="preserve">) for good faith discussion and attempted resolution. The Senior Executives to whom any Dispute is submitted shall attempt to resolve the dispute through good faith negotiations over a reasonable period, not to exceed ten (10) Business Days, unless the Senior Executives mutually agree in writing to extend such period of negotiation. Such ten (10) Business Day period shall be deemed to commence on the date the dispute was submitted by a Party to the Senior Executives. The Senior Executives shall, if mutually agreed by the Senior Executives, submit the dispute to voluntary mediation at such place and following such procedures as the Parties shall reasonably agree. All negotiations and discussions pursuant to this Section 14.2 shall be confidential, and the Parties agree that all information concerning or disclosed as part of such negotiations and discussions are and such shall be treated as compromise and settlement negotiations for purposes of applicable rules of evidence.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Court Actions.</w:t>
      </w:r>
      <w:r>
        <w:rPr>
          <w:color w:val="000000"/>
        </w:rPr>
        <w:t xml:space="preserve"> </w:t>
      </w:r>
      <w:r>
        <w:rPr>
          <w:rFonts w:ascii="Times New Roman" w:hAnsi="Times New Roman"/>
          <w:color w:val="000000"/>
          <w:sz w:val="24"/>
        </w:rPr>
        <w:t xml:space="preserve">If the Senior Executives of the Parties are unable to resolve a given Dispute within the time limits set forth in Section 14.2, either Party may file suit to resolve such matter (including bringing an action for injunctive relief (or any other provisional remedy)) as described below. Unless otherwise agreed, by the Parties, all actions and proceedings relating to this Agreement shall be heard and determined in any New York State or federal court sitting in the City of New York, County of Manhattan, and the Parties hereby irrevocably submit to exclusive jurisdiction of such courts in any such action or proceeding and irrevocably waive any defense of inconvenient forum to the maintenance of any such action or proceeding and waive any right to request transfer venue outside any New York State or federal court sitting in the City of New York, County of Manhattan.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rFonts w:ascii="Times New Roman" w:hAnsi="Times New Roman"/>
          <w:b/>
          <w:color w:val="000000"/>
          <w:sz w:val="24"/>
        </w:rPr>
        <w:t>Governing Law.</w:t>
      </w:r>
      <w:r>
        <w:rPr>
          <w:color w:val="000000"/>
        </w:rPr>
        <w:t xml:space="preserve"> </w:t>
      </w:r>
      <w:r>
        <w:rPr>
          <w:rFonts w:ascii="Times New Roman" w:hAnsi="Times New Roman"/>
          <w:color w:val="000000"/>
          <w:sz w:val="24"/>
        </w:rPr>
        <w:t xml:space="preserve">This Agreement, and all questions regarding the existence, validity, interpretation, breach or performance of this Agreement, shall be governed by, and construed and enforced in accordance with, the laws of the State of New York, United States, without reference to its conflicts of law principles with the exception of sections 5-1401 and 5-1402 of New York General Obligations Law.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15</w:t>
      </w:r>
    </w:p>
    <w:p>
      <w:pPr>
        <w:pStyle w:val="TextBody"/>
        <w:bidi w:val="0"/>
        <w:spacing w:before="0" w:after="240"/>
        <w:jc w:val="center"/>
        <w:rPr/>
      </w:pPr>
      <w:r>
        <w:rPr>
          <w:rFonts w:ascii="Times New Roman" w:hAnsi="Times New Roman"/>
          <w:b/>
          <w:caps/>
          <w:color w:val="000000"/>
          <w:sz w:val="24"/>
          <w:u w:val="single"/>
        </w:rPr>
        <w:br/>
      </w:r>
      <w:r>
        <w:rPr>
          <w:rFonts w:ascii="Times New Roman" w:hAnsi="Times New Roman"/>
          <w:b/>
          <w:caps/>
          <w:color w:val="000000"/>
          <w:sz w:val="24"/>
        </w:rPr>
        <w:br/>
        <w:t>General Provisions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52</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0" w:after="240"/>
        <w:jc w:val="both"/>
        <w:rPr/>
      </w:pPr>
      <w:r>
        <w:rPr>
          <w:rFonts w:ascii="Times New Roman" w:hAnsi="Times New Roman"/>
          <w:b/>
          <w:color w:val="000000"/>
          <w:sz w:val="24"/>
        </w:rPr>
        <w:t>Waiver of Breach.</w:t>
      </w:r>
      <w:r>
        <w:rPr>
          <w:color w:val="000000"/>
        </w:rPr>
        <w:t xml:space="preserve"> </w:t>
      </w:r>
      <w:r>
        <w:rPr>
          <w:rFonts w:ascii="Times New Roman" w:hAnsi="Times New Roman"/>
          <w:color w:val="000000"/>
          <w:sz w:val="24"/>
        </w:rPr>
        <w:t>The failure of either Party at any time or times to require performance of any provision of this Agreement shall in no manner affect its rights at a later time to enforce such rights. No waiver by either Party of any condition or term in any one or more instances shall be construed as a further or continuing waiver of such condition or term or of another condition or term.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15.2</w:t>
      </w:r>
    </w:p>
    <w:p>
      <w:pPr>
        <w:pStyle w:val="TextBody"/>
        <w:bidi w:val="0"/>
        <w:spacing w:before="0" w:after="240"/>
        <w:jc w:val="both"/>
        <w:rPr/>
      </w:pPr>
      <w:r>
        <w:rPr>
          <w:rFonts w:ascii="Times New Roman" w:hAnsi="Times New Roman"/>
          <w:b/>
          <w:color w:val="000000"/>
          <w:sz w:val="24"/>
        </w:rPr>
        <w:t>Performance by Affiliates.</w:t>
      </w:r>
      <w:r>
        <w:rPr>
          <w:color w:val="000000"/>
        </w:rPr>
        <w:t xml:space="preserve"> </w:t>
      </w:r>
      <w:r>
        <w:rPr>
          <w:rFonts w:ascii="Times New Roman" w:hAnsi="Times New Roman"/>
          <w:color w:val="000000"/>
          <w:sz w:val="24"/>
        </w:rPr>
        <w:t>To the extent that this Agreement imposes obligations on Affiliates of a Party, such Party agrees to cause its Affiliates to perform such obligation. Either Party may use one or more of its Affiliates to perform its obligation hereunder, provided that the Parties will remain liable hereunder for the prompt payment and performance of all their respective obligations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15.3</w:t>
      </w:r>
    </w:p>
    <w:p>
      <w:pPr>
        <w:pStyle w:val="TextBody"/>
        <w:bidi w:val="0"/>
        <w:spacing w:before="0" w:after="240"/>
        <w:jc w:val="both"/>
        <w:rPr/>
      </w:pPr>
      <w:r>
        <w:rPr>
          <w:rFonts w:ascii="Times New Roman" w:hAnsi="Times New Roman"/>
          <w:b/>
          <w:color w:val="000000"/>
          <w:sz w:val="24"/>
        </w:rPr>
        <w:t>Modification.</w:t>
      </w:r>
      <w:r>
        <w:rPr>
          <w:color w:val="000000"/>
        </w:rPr>
        <w:t xml:space="preserve"> </w:t>
      </w:r>
      <w:r>
        <w:rPr>
          <w:rFonts w:ascii="Times New Roman" w:hAnsi="Times New Roman"/>
          <w:color w:val="000000"/>
          <w:sz w:val="24"/>
        </w:rPr>
        <w:t>No amendment or modification of any provision of this Agreement shall be effective unless in a prior writing signed by both Parties hereto. No provision of this Agreement shall be varied, contradicted or explained by any oral agreement, course of dealing or performance or any other matter not set forth in an agreement in writing and signed by both Parties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 xml:space="preserve">In the event any provision of this Agreement should be held invalid, illegal or unenforceable in any jurisdiction, the Parties shall negotiate, in good faith and enter into a valid, legal and enforceable substitute provision that most nearly reflects the original intent of the Parties. All other provisions of this Agreement shall remain in full force and effect in such jurisdiction. Such invalidity, illegality or unenforceability shall not affect the validity, legality or enforceability of such provision in any other jurisdiction.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15.5</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Agreement (including any letter delivering information referenced herein) constitutes the entire agreement between the Parties relating to the subject matter hereof and thereof and supersede and cancel all previous express or implied agreements and understandings, negotiations, writings and commitments, either oral or written, in respect to the subject matter hereof and thereof. Each of the Parties acknowledges and agrees that in entering into this Agreement, and the documents referred to in it, it does not rely on, and shall have no remedy in respect of, any statement, representation, warranty or understanding (whether negligently or innocently made) of any Person (whether party to this Agreement or not) other than as expressly set out in this Agreement. Nothing in this clause shall, however, operate to limit or exclude any liability for fraud. </w:t>
      </w:r>
    </w:p>
    <w:p>
      <w:pPr>
        <w:pStyle w:val="TextBody"/>
        <w:bidi w:val="0"/>
        <w:jc w:val="left"/>
        <w:rPr>
          <w:rFonts w:ascii="Times New Roman" w:hAnsi="Times New Roman"/>
          <w:sz w:val="20"/>
        </w:rPr>
      </w:pPr>
      <w:r>
        <w:rPr>
          <w:rFonts w:ascii="Times New Roman" w:hAnsi="Times New Roman"/>
          <w:color w:val="000000"/>
          <w:sz w:val="24"/>
        </w:rPr>
        <w:t>53</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15.6</w:t>
      </w:r>
    </w:p>
    <w:p>
      <w:pPr>
        <w:pStyle w:val="TextBody"/>
        <w:bidi w:val="0"/>
        <w:spacing w:before="0" w:after="240"/>
        <w:jc w:val="both"/>
        <w:rPr/>
      </w:pPr>
      <w:r>
        <w:rPr>
          <w:rFonts w:ascii="Times New Roman" w:hAnsi="Times New Roman"/>
          <w:b/>
          <w:color w:val="000000"/>
          <w:sz w:val="24"/>
        </w:rPr>
        <w:t>Language.</w:t>
      </w:r>
      <w:r>
        <w:rPr>
          <w:color w:val="000000"/>
        </w:rPr>
        <w:t xml:space="preserve"> </w:t>
      </w:r>
      <w:r>
        <w:rPr>
          <w:rFonts w:ascii="Times New Roman" w:hAnsi="Times New Roman"/>
          <w:color w:val="000000"/>
          <w:sz w:val="24"/>
        </w:rPr>
        <w:t xml:space="preserve">The language of this Agreement and all activities to be pursued under this Agreement is English. Any and all documents proffered by one Party to the other in fulfillment of any provision of this Agreement shall only be in compliance if in English. Any translation of this Agreement in another language shall be deemed for convenience only and shall never prevail over the original English version. This Agreement is established in the English language.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15.7</w:t>
      </w:r>
    </w:p>
    <w:p>
      <w:pPr>
        <w:pStyle w:val="TextBody"/>
        <w:bidi w:val="0"/>
        <w:spacing w:before="0" w:after="240"/>
        <w:jc w:val="both"/>
        <w:rPr/>
      </w:pPr>
      <w:r>
        <w:rPr>
          <w:rFonts w:ascii="Times New Roman" w:hAnsi="Times New Roman"/>
          <w:b/>
          <w:color w:val="000000"/>
          <w:sz w:val="24"/>
        </w:rPr>
        <w:t>Notices.</w:t>
      </w:r>
      <w:r>
        <w:rPr>
          <w:color w:val="000000"/>
        </w:rPr>
        <w:t xml:space="preserve"> </w:t>
      </w:r>
      <w:r>
        <w:rPr>
          <w:rFonts w:ascii="Times New Roman" w:hAnsi="Times New Roman"/>
          <w:color w:val="000000"/>
          <w:sz w:val="24"/>
        </w:rPr>
        <w:t>Any notice or communication required or permitted under this Agreement shall be in writing in the English language, delivered personally, sent by facsimile (and promptly confirmed by personal delivery, registered or certified mail or overnight courier), sent by internationally-recognized courier or sent by registered or certified mail, postage prepaid to the following addresses of the Parties (or such other address for a Party as may be at any time thereafter specified by like notice):</w:t>
      </w:r>
    </w:p>
    <w:tbl>
      <w:tblPr>
        <w:tblW w:w="8908" w:type="dxa"/>
        <w:jc w:val="left"/>
        <w:tblInd w:w="0" w:type="dxa"/>
        <w:tblLayout w:type="fixed"/>
        <w:tblCellMar>
          <w:top w:w="28" w:type="dxa"/>
          <w:left w:w="28" w:type="dxa"/>
          <w:bottom w:w="28" w:type="dxa"/>
          <w:right w:w="28" w:type="dxa"/>
        </w:tblCellMar>
      </w:tblPr>
      <w:tblGrid>
        <w:gridCol w:w="3736"/>
        <w:gridCol w:w="5172"/>
      </w:tblGrid>
      <w:tr>
        <w:trPr/>
        <w:tc>
          <w:tcPr>
            <w:tcW w:w="3736" w:type="dxa"/>
            <w:tcBorders/>
            <w:vAlign w:val="center"/>
          </w:tcPr>
          <w:p>
            <w:pPr>
              <w:pStyle w:val="TableContents"/>
              <w:bidi w:val="0"/>
              <w:spacing w:before="0" w:after="283"/>
              <w:jc w:val="left"/>
              <w:rPr>
                <w:sz w:val="4"/>
                <w:szCs w:val="4"/>
              </w:rPr>
            </w:pPr>
            <w:r>
              <w:rPr>
                <w:sz w:val="4"/>
                <w:szCs w:val="4"/>
              </w:rPr>
            </w:r>
          </w:p>
        </w:tc>
        <w:tc>
          <w:tcPr>
            <w:tcW w:w="5172"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120"/>
              <w:jc w:val="both"/>
              <w:rPr>
                <w:rFonts w:ascii="Times New Roman" w:hAnsi="Times New Roman"/>
                <w:b/>
                <w:color w:val="000000"/>
                <w:sz w:val="24"/>
              </w:rPr>
            </w:pPr>
            <w:r>
              <w:rPr>
                <w:rFonts w:ascii="Times New Roman" w:hAnsi="Times New Roman"/>
                <w:b/>
                <w:color w:val="000000"/>
                <w:sz w:val="24"/>
              </w:rPr>
              <w:t>To MannKind:</w:t>
            </w:r>
          </w:p>
          <w:p>
            <w:pPr>
              <w:pStyle w:val="TableContents"/>
              <w:bidi w:val="0"/>
              <w:jc w:val="left"/>
              <w:rPr>
                <w:rFonts w:ascii="Times New Roman" w:hAnsi="Times New Roman"/>
                <w:color w:val="000000"/>
                <w:sz w:val="24"/>
              </w:rPr>
            </w:pPr>
            <w:r>
              <w:rPr>
                <w:rFonts w:ascii="Times New Roman" w:hAnsi="Times New Roman"/>
                <w:color w:val="000000"/>
                <w:sz w:val="24"/>
              </w:rPr>
              <w:t xml:space="preserve">MannKind Corporation </w:t>
              <w:br/>
              <w:t>30930 Russell Ranch Road, Suite 301</w:t>
            </w:r>
          </w:p>
          <w:p>
            <w:pPr>
              <w:pStyle w:val="TableContents"/>
              <w:bidi w:val="0"/>
              <w:jc w:val="left"/>
              <w:rPr>
                <w:rFonts w:ascii="Times New Roman" w:hAnsi="Times New Roman"/>
                <w:color w:val="000000"/>
                <w:sz w:val="24"/>
              </w:rPr>
            </w:pPr>
            <w:r>
              <w:rPr>
                <w:rFonts w:ascii="Times New Roman" w:hAnsi="Times New Roman"/>
                <w:color w:val="000000"/>
                <w:sz w:val="24"/>
              </w:rPr>
              <w:t>Westlake Village, California 91362</w:t>
            </w:r>
          </w:p>
          <w:p>
            <w:pPr>
              <w:pStyle w:val="TableContents"/>
              <w:bidi w:val="0"/>
              <w:jc w:val="left"/>
              <w:rPr>
                <w:rFonts w:ascii="Times New Roman" w:hAnsi="Times New Roman"/>
                <w:color w:val="000000"/>
                <w:sz w:val="24"/>
              </w:rPr>
            </w:pPr>
            <w:r>
              <w:rPr>
                <w:rFonts w:ascii="Times New Roman" w:hAnsi="Times New Roman"/>
                <w:color w:val="000000"/>
                <w:sz w:val="24"/>
              </w:rPr>
              <w:t>Telephone: (818) 661-5000</w:t>
            </w:r>
          </w:p>
          <w:p>
            <w:pPr>
              <w:pStyle w:val="TableContents"/>
              <w:bidi w:val="0"/>
              <w:jc w:val="left"/>
              <w:rPr>
                <w:rFonts w:ascii="Times New Roman" w:hAnsi="Times New Roman"/>
                <w:color w:val="000000"/>
                <w:sz w:val="24"/>
              </w:rPr>
            </w:pPr>
            <w:r>
              <w:rPr>
                <w:rFonts w:ascii="Times New Roman" w:hAnsi="Times New Roman"/>
                <w:color w:val="000000"/>
                <w:sz w:val="24"/>
              </w:rPr>
              <w:t>Facsimile: (818) 661-2098</w:t>
              <w:br/>
              <w:t>Attention: General Counsel</w:t>
            </w:r>
          </w:p>
          <w:p>
            <w:pPr>
              <w:pStyle w:val="TableContents"/>
              <w:pBdr/>
              <w:bidi w:val="0"/>
              <w:spacing w:before="0" w:after="240"/>
              <w:ind w:left="0" w:right="0" w:firstLine="131"/>
              <w:jc w:val="left"/>
              <w:rPr/>
            </w:pPr>
            <w:r>
              <w:rPr/>
              <w:t> </w:t>
            </w:r>
          </w:p>
        </w:tc>
        <w:tc>
          <w:tcPr>
            <w:tcW w:w="5172" w:type="dxa"/>
            <w:tcBorders/>
            <w:vAlign w:val="center"/>
          </w:tcPr>
          <w:p>
            <w:pPr>
              <w:pStyle w:val="TableContents"/>
              <w:bidi w:val="0"/>
              <w:spacing w:before="0" w:after="120"/>
              <w:ind w:left="131" w:right="0" w:firstLine="131"/>
              <w:jc w:val="both"/>
              <w:rPr>
                <w:rFonts w:ascii="Times New Roman" w:hAnsi="Times New Roman"/>
                <w:b/>
                <w:color w:val="000000"/>
                <w:sz w:val="24"/>
              </w:rPr>
            </w:pPr>
            <w:r>
              <w:rPr>
                <w:rFonts w:ascii="Times New Roman" w:hAnsi="Times New Roman"/>
                <w:b/>
                <w:color w:val="000000"/>
                <w:sz w:val="24"/>
              </w:rPr>
              <w:t>To United Therapeutics:</w:t>
            </w:r>
          </w:p>
          <w:p>
            <w:pPr>
              <w:pStyle w:val="TableContents"/>
              <w:bidi w:val="0"/>
              <w:ind w:left="131" w:right="0" w:firstLine="131"/>
              <w:jc w:val="left"/>
              <w:rPr>
                <w:rFonts w:ascii="Times New Roman" w:hAnsi="Times New Roman"/>
                <w:color w:val="000000"/>
                <w:sz w:val="24"/>
              </w:rPr>
            </w:pPr>
            <w:r>
              <w:rPr>
                <w:rFonts w:ascii="Times New Roman" w:hAnsi="Times New Roman"/>
                <w:color w:val="000000"/>
                <w:sz w:val="24"/>
              </w:rPr>
              <w:t>United Therapeutics Corporation</w:t>
            </w:r>
          </w:p>
          <w:p>
            <w:pPr>
              <w:pStyle w:val="TableContents"/>
              <w:bidi w:val="0"/>
              <w:ind w:left="131" w:right="0" w:firstLine="131"/>
              <w:jc w:val="left"/>
              <w:rPr>
                <w:rFonts w:ascii="Times New Roman" w:hAnsi="Times New Roman"/>
                <w:color w:val="000000"/>
                <w:sz w:val="24"/>
              </w:rPr>
            </w:pPr>
            <w:r>
              <w:rPr>
                <w:rFonts w:ascii="Times New Roman" w:hAnsi="Times New Roman"/>
                <w:color w:val="000000"/>
                <w:sz w:val="24"/>
              </w:rPr>
              <w:t xml:space="preserve">1040 Spring Street, Silver Spring, Maryland 20910 </w:t>
            </w:r>
          </w:p>
          <w:p>
            <w:pPr>
              <w:pStyle w:val="TableContents"/>
              <w:bidi w:val="0"/>
              <w:ind w:left="131" w:right="0" w:firstLine="131"/>
              <w:jc w:val="left"/>
              <w:rPr>
                <w:rFonts w:ascii="Times New Roman" w:hAnsi="Times New Roman"/>
                <w:color w:val="000000"/>
                <w:sz w:val="24"/>
              </w:rPr>
            </w:pPr>
            <w:r>
              <w:rPr>
                <w:rFonts w:ascii="Times New Roman" w:hAnsi="Times New Roman"/>
                <w:color w:val="000000"/>
                <w:sz w:val="24"/>
              </w:rPr>
              <w:t>Attention: General Counsel</w:t>
            </w:r>
          </w:p>
          <w:p>
            <w:pPr>
              <w:pStyle w:val="TableContents"/>
              <w:bidi w:val="0"/>
              <w:spacing w:before="0" w:after="283"/>
              <w:ind w:left="130" w:right="0" w:firstLine="131"/>
              <w:jc w:val="left"/>
              <w:rPr/>
            </w:pPr>
            <w:r>
              <w:rPr/>
              <w:t> </w:t>
            </w:r>
          </w:p>
        </w:tc>
      </w:tr>
      <w:tr>
        <w:trPr/>
        <w:tc>
          <w:tcPr>
            <w:tcW w:w="3736" w:type="dxa"/>
            <w:tcBorders/>
            <w:vAlign w:val="center"/>
          </w:tcPr>
          <w:p>
            <w:pPr>
              <w:pStyle w:val="TableContents"/>
              <w:bidi w:val="0"/>
              <w:spacing w:before="0" w:after="240"/>
              <w:jc w:val="left"/>
              <w:rPr>
                <w:rFonts w:ascii="Times New Roman" w:hAnsi="Times New Roman"/>
                <w:sz w:val="24"/>
              </w:rPr>
            </w:pPr>
            <w:r>
              <w:rPr>
                <w:rFonts w:ascii="Times New Roman" w:hAnsi="Times New Roman"/>
                <w:b/>
                <w:color w:val="000000"/>
                <w:sz w:val="24"/>
              </w:rPr>
              <w:t>with a copy to:</w:t>
            </w:r>
            <w:r>
              <w:rPr>
                <w:rFonts w:ascii="Times New Roman" w:hAnsi="Times New Roman"/>
                <w:color w:val="000000"/>
                <w:sz w:val="24"/>
              </w:rPr>
              <w:t xml:space="preserve"> </w:t>
            </w:r>
          </w:p>
          <w:p>
            <w:pPr>
              <w:pStyle w:val="TableContents"/>
              <w:bidi w:val="0"/>
              <w:jc w:val="left"/>
              <w:rPr>
                <w:rFonts w:ascii="Times New Roman" w:hAnsi="Times New Roman"/>
                <w:color w:val="000000"/>
                <w:sz w:val="24"/>
              </w:rPr>
            </w:pPr>
            <w:r>
              <w:rPr>
                <w:rFonts w:ascii="Times New Roman" w:hAnsi="Times New Roman"/>
                <w:color w:val="000000"/>
                <w:sz w:val="24"/>
              </w:rPr>
              <w:t>Cooley LLP</w:t>
              <w:br/>
              <w:t>4401 Eastgate Mall</w:t>
            </w:r>
          </w:p>
          <w:p>
            <w:pPr>
              <w:pStyle w:val="TableContents"/>
              <w:bidi w:val="0"/>
              <w:jc w:val="left"/>
              <w:rPr>
                <w:rFonts w:ascii="Times New Roman" w:hAnsi="Times New Roman"/>
                <w:color w:val="000000"/>
                <w:sz w:val="24"/>
              </w:rPr>
            </w:pPr>
            <w:r>
              <w:rPr>
                <w:rFonts w:ascii="Times New Roman" w:hAnsi="Times New Roman"/>
                <w:color w:val="000000"/>
                <w:sz w:val="24"/>
              </w:rPr>
              <w:t>San Diego, CA 92121</w:t>
              <w:br/>
              <w:t>Telephone: (858) 550-6000</w:t>
            </w:r>
          </w:p>
          <w:p>
            <w:pPr>
              <w:pStyle w:val="TableContents"/>
              <w:bidi w:val="0"/>
              <w:jc w:val="left"/>
              <w:rPr>
                <w:rFonts w:ascii="Times New Roman" w:hAnsi="Times New Roman"/>
                <w:color w:val="000000"/>
                <w:sz w:val="24"/>
              </w:rPr>
            </w:pPr>
            <w:r>
              <w:rPr>
                <w:rFonts w:ascii="Times New Roman" w:hAnsi="Times New Roman"/>
                <w:color w:val="000000"/>
                <w:sz w:val="24"/>
              </w:rPr>
              <w:t>Facsimile: (858) 550-6420</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L. Kay Chandler, Esq.</w:t>
            </w:r>
          </w:p>
        </w:tc>
        <w:tc>
          <w:tcPr>
            <w:tcW w:w="5172" w:type="dxa"/>
            <w:tcBorders/>
            <w:vAlign w:val="center"/>
          </w:tcPr>
          <w:p>
            <w:pPr>
              <w:pStyle w:val="TableContents"/>
              <w:bidi w:val="0"/>
              <w:spacing w:before="0" w:after="240"/>
              <w:jc w:val="left"/>
              <w:rPr>
                <w:rFonts w:ascii="Times New Roman" w:hAnsi="Times New Roman"/>
                <w:sz w:val="24"/>
              </w:rPr>
            </w:pPr>
            <w:r>
              <w:rPr>
                <w:rFonts w:ascii="Times New Roman" w:hAnsi="Times New Roman"/>
                <w:b/>
                <w:color w:val="000000"/>
                <w:sz w:val="24"/>
              </w:rPr>
              <w:t>with a copy to:</w:t>
            </w:r>
            <w:r>
              <w:rPr>
                <w:rFonts w:ascii="Times New Roman" w:hAnsi="Times New Roman"/>
                <w:color w:val="000000"/>
                <w:sz w:val="24"/>
              </w:rPr>
              <w:t xml:space="preserve"> </w:t>
            </w:r>
          </w:p>
          <w:p>
            <w:pPr>
              <w:pStyle w:val="TableContents"/>
              <w:bidi w:val="0"/>
              <w:ind w:left="131" w:right="0" w:hanging="0"/>
              <w:jc w:val="left"/>
              <w:rPr>
                <w:rFonts w:ascii="Times New Roman" w:hAnsi="Times New Roman"/>
                <w:color w:val="000000"/>
                <w:sz w:val="24"/>
              </w:rPr>
            </w:pPr>
            <w:r>
              <w:rPr>
                <w:rFonts w:ascii="Times New Roman" w:hAnsi="Times New Roman"/>
                <w:color w:val="000000"/>
                <w:sz w:val="24"/>
              </w:rPr>
              <w:t>Wilson Sonsini Goodrich &amp; Rosati</w:t>
            </w:r>
          </w:p>
          <w:p>
            <w:pPr>
              <w:pStyle w:val="TableContents"/>
              <w:bidi w:val="0"/>
              <w:ind w:left="131" w:right="0" w:hanging="0"/>
              <w:jc w:val="left"/>
              <w:rPr>
                <w:rFonts w:ascii="Times New Roman" w:hAnsi="Times New Roman"/>
                <w:color w:val="000000"/>
                <w:sz w:val="24"/>
              </w:rPr>
            </w:pPr>
            <w:r>
              <w:rPr>
                <w:rFonts w:ascii="Times New Roman" w:hAnsi="Times New Roman"/>
                <w:color w:val="000000"/>
                <w:sz w:val="24"/>
              </w:rPr>
              <w:t>1700 K Street, NW, Suite 500</w:t>
            </w:r>
          </w:p>
          <w:p>
            <w:pPr>
              <w:pStyle w:val="TableContents"/>
              <w:bidi w:val="0"/>
              <w:ind w:left="131" w:right="0" w:hanging="0"/>
              <w:jc w:val="left"/>
              <w:rPr>
                <w:rFonts w:ascii="Times New Roman" w:hAnsi="Times New Roman"/>
                <w:color w:val="000000"/>
                <w:sz w:val="24"/>
              </w:rPr>
            </w:pPr>
            <w:r>
              <w:rPr>
                <w:rFonts w:ascii="Times New Roman" w:hAnsi="Times New Roman"/>
                <w:color w:val="000000"/>
                <w:sz w:val="24"/>
              </w:rPr>
              <w:t>Washington, DC 20006</w:t>
            </w:r>
          </w:p>
          <w:p>
            <w:pPr>
              <w:pStyle w:val="TableContents"/>
              <w:bidi w:val="0"/>
              <w:spacing w:before="0" w:after="283"/>
              <w:ind w:left="131" w:right="0" w:hanging="0"/>
              <w:jc w:val="left"/>
              <w:rPr>
                <w:rFonts w:ascii="Times New Roman" w:hAnsi="Times New Roman"/>
                <w:sz w:val="24"/>
              </w:rPr>
            </w:pPr>
            <w:r>
              <w:rPr>
                <w:rFonts w:ascii="Times New Roman" w:hAnsi="Times New Roman"/>
                <w:color w:val="000000"/>
                <w:sz w:val="24"/>
              </w:rPr>
              <w:t>Telephone: (202) 973-8830</w:t>
            </w:r>
            <w:r>
              <w:rPr>
                <w:rFonts w:ascii="Times New Roman" w:hAnsi="Times New Roman"/>
                <w:color w:val="000000"/>
                <w:sz w:val="24"/>
                <w:u w:val="single"/>
              </w:rPr>
              <w:br/>
            </w:r>
            <w:r>
              <w:rPr>
                <w:rFonts w:ascii="Times New Roman" w:hAnsi="Times New Roman"/>
                <w:color w:val="000000"/>
                <w:sz w:val="24"/>
              </w:rPr>
              <w:t>Facsimile: (202) 973-8899</w:t>
            </w:r>
            <w:r>
              <w:rPr>
                <w:rFonts w:ascii="Times New Roman" w:hAnsi="Times New Roman"/>
                <w:color w:val="000000"/>
                <w:sz w:val="24"/>
                <w:u w:val="single"/>
              </w:rPr>
              <w:br/>
            </w:r>
            <w:r>
              <w:rPr>
                <w:rFonts w:ascii="Times New Roman" w:hAnsi="Times New Roman"/>
                <w:color w:val="000000"/>
                <w:sz w:val="24"/>
              </w:rPr>
              <w:t>Attention: James G. Clessuras, Esq.</w:t>
            </w:r>
          </w:p>
        </w:tc>
      </w:tr>
    </w:tbl>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notice shall be deemed to have been given: (a) when delivered if personally delivered; (b) on the next Business Day after dispatch if sent by confirmed facsimile or by internationally-recognized overnight courier; and/or (c) on the third Business Day following the date of mailing if sent by mail or nationally recognized courier. Notices hereunder will not be deemed sufficient if provided only between or among each Party’s representatives on the ESC.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15.8</w:t>
      </w:r>
    </w:p>
    <w:p>
      <w:pPr>
        <w:pStyle w:val="TextBody"/>
        <w:bidi w:val="0"/>
        <w:spacing w:before="0" w:after="240"/>
        <w:jc w:val="both"/>
        <w:rPr/>
      </w:pPr>
      <w:r>
        <w:rPr>
          <w:rFonts w:ascii="Times New Roman" w:hAnsi="Times New Roman"/>
          <w:b/>
          <w:color w:val="000000"/>
          <w:sz w:val="24"/>
        </w:rPr>
        <w:t>MannKind Change of Control</w:t>
      </w:r>
      <w:r>
        <w:rPr>
          <w:rFonts w:ascii="Times New Roman" w:hAnsi="Times New Roman"/>
          <w:color w:val="000000"/>
          <w:sz w:val="24"/>
        </w:rPr>
        <w:t>. In the event of the occurrence of a Change of Control of MannKind during the Term, the following provisions shall apply: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54</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Effect on Exclusivity</w:t>
      </w:r>
      <w:r>
        <w:rPr>
          <w:rFonts w:ascii="Times New Roman" w:hAnsi="Times New Roman"/>
          <w:color w:val="000000"/>
          <w:sz w:val="24"/>
        </w:rPr>
        <w:t>. In the event of a Change of Control of MannKind pursuant to which MannKind is acquired by an Acquirer developing, manufacturing or commercializing one or more Competing Products, then provided the Acquirer Segregates all information directly pertaining to Product from the Competing Product programs of the Acquirer and its Affiliates, the provisions of Section 2.5(a) shall not apply with respect to the Competing Products developed, manufactured or commercialized by the Acquirer before such Change of Control of MannKind (including as further developed, manufactured or commercialized after such Change of Control of MannKind).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15.9</w:t>
      </w:r>
    </w:p>
    <w:p>
      <w:pPr>
        <w:pStyle w:val="TextBody"/>
        <w:bidi w:val="0"/>
        <w:spacing w:before="0" w:after="240"/>
        <w:jc w:val="both"/>
        <w:rPr/>
      </w:pPr>
      <w:r>
        <w:rPr>
          <w:rFonts w:ascii="Times New Roman" w:hAnsi="Times New Roman"/>
          <w:b/>
          <w:color w:val="000000"/>
          <w:sz w:val="24"/>
        </w:rPr>
        <w:t>United Therapeutics Change of Control</w:t>
      </w:r>
      <w:r>
        <w:rPr>
          <w:rFonts w:ascii="Times New Roman" w:hAnsi="Times New Roman"/>
          <w:color w:val="000000"/>
          <w:sz w:val="24"/>
        </w:rPr>
        <w:t>. In the event of the occurrence of a Change of Control of United Therapeutics during the Term, the following provisions shall apply: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United Therapeutics Know-How and United Therapeutics Patents Controlled by United Therapeutics immediately prior to such Change of Control of United Therapeutics shall continue to be United Therapeutics Know-How and United Therapeutics Patents for purposes of this Agreement. Patents and Information that are Controlled by the Acquirer of United Therapeutics or a direct or indirect parent holding company of United Therapeutics or the Acquirer’s Affiliates (excluding United Therapeutics or any of its Affiliates existing prior to such Change of Control of United Therapeutics) shall not be included within the United Therapeutics Know-How and United Therapeutics Patents.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Effect on Exclusivity</w:t>
      </w:r>
      <w:r>
        <w:rPr>
          <w:rFonts w:ascii="Times New Roman" w:hAnsi="Times New Roman"/>
          <w:color w:val="000000"/>
          <w:sz w:val="24"/>
        </w:rPr>
        <w:t xml:space="preserve">. In the event of a Change of Control of United Therapeutics pursuant to which United Therapeutics is acquired by an Acquirer developing, manufacturing or commercializing one or more products (other than Product) containing or comprising any dry powder formulation of API that is or is intended to be primarily administered in or through the lungs, then provided the Acquirer Segregates all information directly pertaining to Product from such product programs of the Acquirer and its Affiliates, the provisions of Section 2.5(b) shall not apply with respect to such products developed, manufactured or commercialized by the Acquirer before such Change of Control of United Therapeutics (including as further developed, manufactured or commercialized after such Change of Control of United Therapeutics).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55</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15.10</w:t>
      </w:r>
    </w:p>
    <w:p>
      <w:pPr>
        <w:pStyle w:val="TextBody"/>
        <w:bidi w:val="0"/>
        <w:spacing w:before="0" w:after="240"/>
        <w:jc w:val="both"/>
        <w:rPr/>
      </w:pPr>
      <w:r>
        <w:rPr>
          <w:rFonts w:ascii="Times New Roman" w:hAnsi="Times New Roman"/>
          <w:b/>
          <w:color w:val="000000"/>
          <w:sz w:val="24"/>
        </w:rPr>
        <w:t>No Partnership or Joint Venture.</w:t>
      </w:r>
      <w:r>
        <w:rPr>
          <w:color w:val="000000"/>
        </w:rPr>
        <w:t xml:space="preserve"> </w:t>
      </w:r>
      <w:r>
        <w:rPr>
          <w:rFonts w:ascii="Times New Roman" w:hAnsi="Times New Roman"/>
          <w:color w:val="000000"/>
          <w:sz w:val="24"/>
        </w:rPr>
        <w:t>Nothing in this Agreement or any action which may be taken pursuant to its terms is intended, or shall be deemed, to establish a joint venture or partnership between United Therapeutics and MannKind. Neither Party to this Agreement shall have any express or implied right or authority to assume or create any obligations on behalf of, or in the name of, the other Party, or to bind the other Party to any contract, agreement or undertaking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15.11</w:t>
      </w:r>
    </w:p>
    <w:p>
      <w:pPr>
        <w:pStyle w:val="TextBody"/>
        <w:bidi w:val="0"/>
        <w:spacing w:before="0" w:after="240"/>
        <w:jc w:val="both"/>
        <w:rPr/>
      </w:pPr>
      <w:r>
        <w:rPr>
          <w:rFonts w:ascii="Times New Roman" w:hAnsi="Times New Roman"/>
          <w:b/>
          <w:color w:val="000000"/>
          <w:sz w:val="24"/>
        </w:rPr>
        <w:t>Interpretation.</w:t>
      </w:r>
      <w:r>
        <w:rPr>
          <w:color w:val="000000"/>
        </w:rPr>
        <w:t xml:space="preserve"> </w:t>
      </w:r>
      <w:r>
        <w:rPr>
          <w:rFonts w:ascii="Times New Roman" w:hAnsi="Times New Roman"/>
          <w:color w:val="000000"/>
          <w:sz w:val="24"/>
        </w:rPr>
        <w:t>The captions to the several Articles and Sections of this Agreement are not a part of this Agreement but are included for convenience of reference and shall not affect its meaning or interpretation. In this Agreement: (a) the word “including” shall be deemed to be followed by the phrase “without limitation” or like expression; (b) the word “or” means “and/or” unless the context dictates otherwise because the subject of the conjunction are mutually exclusive; (c) the words “herein,” “hereof” and “hereunder” and other words of similar import refer to this Agreement as a whole and not to any particular Article or Section or other subdivision; (d) references in this Agreement to “days” shall mean calendar days; (e) the singular shall include the plural and vice versa; and (f) masculine, feminine and neuter pronouns and expressions shall be interchangeable. Each accounting term used herein that is not specifically defined herein shall have the meaning given to it under GAAP consistently applied, but only to the extent consistent with its usage and the other definitions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15.12</w:t>
      </w:r>
    </w:p>
    <w:p>
      <w:pPr>
        <w:pStyle w:val="TextBody"/>
        <w:bidi w:val="0"/>
        <w:spacing w:before="0" w:after="240"/>
        <w:jc w:val="both"/>
        <w:rPr/>
      </w:pPr>
      <w:r>
        <w:rPr>
          <w:rFonts w:ascii="Times New Roman" w:hAnsi="Times New Roman"/>
          <w:b/>
          <w:color w:val="000000"/>
          <w:sz w:val="24"/>
        </w:rPr>
        <w:t>Counterparts; Electronic or Facsimile Signatures.</w:t>
      </w:r>
      <w:r>
        <w:rPr>
          <w:color w:val="000000"/>
        </w:rPr>
        <w:t xml:space="preserve"> </w:t>
      </w:r>
      <w:r>
        <w:rPr>
          <w:rFonts w:ascii="Times New Roman" w:hAnsi="Times New Roman"/>
          <w:color w:val="000000"/>
          <w:sz w:val="24"/>
        </w:rPr>
        <w:t>This Agreement may be executed in any number of 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15.13</w:t>
      </w:r>
    </w:p>
    <w:p>
      <w:pPr>
        <w:pStyle w:val="TextBody"/>
        <w:bidi w:val="0"/>
        <w:spacing w:before="0" w:after="240"/>
        <w:jc w:val="both"/>
        <w:rPr/>
      </w:pPr>
      <w:r>
        <w:rPr>
          <w:rFonts w:ascii="Times New Roman" w:hAnsi="Times New Roman"/>
          <w:b/>
          <w:color w:val="000000"/>
          <w:sz w:val="24"/>
        </w:rPr>
        <w:t>Limitation of Liability.</w:t>
      </w:r>
      <w:r>
        <w:rPr>
          <w:color w:val="000000"/>
        </w:rPr>
        <w:t xml:space="preserve"> </w:t>
      </w:r>
      <w:r>
        <w:rPr>
          <w:rFonts w:ascii="Times New Roman" w:hAnsi="Times New Roman"/>
          <w:color w:val="000000"/>
          <w:sz w:val="24"/>
        </w:rPr>
        <w:t xml:space="preserve">EXCEPT FOR LIABILITY FOR BREACH OF ARTICLE 8, NEITHER PARTY SHALL BE ENTITLED TO RECOVER FROM THE OTHER PARTY ANY SPECIAL, INCIDENTAL, CONSEQUENTIAL OR PUNITIVE DAMAGES IN CONNECTION WITH THIS AGREEMENT OR ANY LICENSE OR RIGHT GRANTED HEREUNDER;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this Section 15.15 shall not be construed to limit either Party’s indemnification obligations with respect to Third Party Claims under Article 11.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56</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57</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16</w:t>
      </w:r>
    </w:p>
    <w:p>
      <w:pPr>
        <w:pStyle w:val="TextBody"/>
        <w:bidi w:val="0"/>
        <w:spacing w:before="0" w:after="240"/>
        <w:jc w:val="center"/>
        <w:rPr/>
      </w:pPr>
      <w:r>
        <w:rPr>
          <w:rFonts w:ascii="Times New Roman" w:hAnsi="Times New Roman"/>
          <w:b/>
          <w:caps/>
          <w:color w:val="000000"/>
          <w:sz w:val="24"/>
          <w:u w:val="single"/>
        </w:rPr>
        <w:br/>
        <w:br/>
      </w:r>
      <w:r>
        <w:rPr>
          <w:rFonts w:ascii="Times New Roman" w:hAnsi="Times New Roman"/>
          <w:b/>
          <w:caps/>
          <w:color w:val="000000"/>
          <w:sz w:val="24"/>
        </w:rPr>
        <w:t>Compliance with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16.1</w:t>
      </w:r>
    </w:p>
    <w:p>
      <w:pPr>
        <w:pStyle w:val="TextBody"/>
        <w:bidi w:val="0"/>
        <w:spacing w:before="0" w:after="240"/>
        <w:jc w:val="both"/>
        <w:rPr/>
      </w:pPr>
      <w:r>
        <w:rPr>
          <w:rFonts w:ascii="Times New Roman" w:hAnsi="Times New Roman"/>
          <w:b/>
          <w:color w:val="000000"/>
          <w:sz w:val="24"/>
        </w:rPr>
        <w:t>Export Laws.</w:t>
      </w:r>
      <w:r>
        <w:rPr>
          <w:color w:val="000000"/>
        </w:rPr>
        <w:t xml:space="preserve"> </w:t>
      </w:r>
      <w:r>
        <w:rPr>
          <w:rFonts w:ascii="Times New Roman" w:hAnsi="Times New Roman"/>
          <w:color w:val="000000"/>
          <w:sz w:val="24"/>
        </w:rPr>
        <w:t>Notwithstanding anything to the contrary contained herein, all obligations of MannKind and United Therapeutics are subject to prior compliance with export and import regulations and such other laws and regulations in effect in such jurisdictions or any other relevant country as may be applicable, and to obtaining all necessary approvals required by the applicable agencies of the governments of any relevant countries. MannKind and United Therapeutics shall cooperate with each other and shall provide assistance to the other as reasonably necessary to obtain any required approvals.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16.2</w:t>
      </w:r>
    </w:p>
    <w:p>
      <w:pPr>
        <w:pStyle w:val="TextBody"/>
        <w:bidi w:val="0"/>
        <w:spacing w:before="0" w:after="240"/>
        <w:jc w:val="both"/>
        <w:rPr/>
      </w:pPr>
      <w:r>
        <w:rPr>
          <w:rFonts w:ascii="Times New Roman" w:hAnsi="Times New Roman"/>
          <w:b/>
          <w:color w:val="000000"/>
          <w:sz w:val="24"/>
        </w:rPr>
        <w:t>Securities Laws.</w:t>
      </w:r>
      <w:r>
        <w:rPr>
          <w:color w:val="000000"/>
        </w:rPr>
        <w:t xml:space="preserve"> </w:t>
      </w:r>
      <w:r>
        <w:rPr>
          <w:rFonts w:ascii="Times New Roman" w:hAnsi="Times New Roman"/>
          <w:color w:val="000000"/>
          <w:sz w:val="24"/>
        </w:rPr>
        <w:t>Each of the Parties acknowledges that it is aware that the securities laws of the United States and the securities laws of other countries prohibit any person who has material non-public information about a publicly listed company from purchasing or selling securities of such company or from communicating such information to any person under circumstances in which it is reasonably foreseeable that such person is likely to purchase or sell such securities. Each Party agrees to comply with such securities laws make its Affiliates, employees and agents aware of the existence of such securities laws and their need to comply with such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16.3</w:t>
      </w:r>
    </w:p>
    <w:p>
      <w:pPr>
        <w:pStyle w:val="TextBody"/>
        <w:bidi w:val="0"/>
        <w:spacing w:before="0" w:after="240"/>
        <w:jc w:val="both"/>
        <w:rPr/>
      </w:pPr>
      <w:r>
        <w:rPr>
          <w:rFonts w:ascii="Times New Roman" w:hAnsi="Times New Roman"/>
          <w:b/>
          <w:color w:val="000000"/>
          <w:sz w:val="24"/>
        </w:rPr>
        <w:t>Certain Payments.</w:t>
      </w:r>
      <w:r>
        <w:rPr>
          <w:color w:val="000000"/>
        </w:rPr>
        <w:t xml:space="preserve"> </w:t>
      </w:r>
      <w:r>
        <w:rPr>
          <w:rFonts w:ascii="Times New Roman" w:hAnsi="Times New Roman"/>
          <w:color w:val="000000"/>
          <w:sz w:val="24"/>
        </w:rPr>
        <w:t>Each of the Parties acknowledges that it is aware that the United States and other countries have stringent laws which prohibit persons directly or indirectly to make unlawful payments to, and for the benefit of, government officials and related parties to secure approvals or permission for their activities. Each Party agrees that it will make no such prohibited payments, it will not indirectly make or have made such payments and it will make its Affiliates, employees and agents aware of the existence of such laws and their need to comply with such laws.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58</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performance of its obligations under this Agreement, such Party shall comply and shall cause its and its Affiliates’ employees and contractors to comply with all Applicable Laws, and shall obtain and maintain all licenses, permits, approvals and other authorizations applicable to it in order to enable it to perform its respective obligations hereunder.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Such Party and, to its knowledge, its and its Affiliates’ employees and contractors shall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either Party (it being understood that such Party, and to its knowledge, its and its Affiliates’ employees and contractors, has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shall not, directly or indirectly, engage in any of the foregoing).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Such Party and its Affiliates, and their respective employees and contractors, in connection with the performance of their respective obligations under this Agreement, shall not violate, and shall not cause the other Party or such other Party’s Indemnitees to be in violation of the FCPA, Export Control Laws, the federal health care program anti-kickback statute, the public contracts anti-kickback act, any state anti-kickback law, the Health Insurance Portability and Accountability Act (“</w:t>
      </w:r>
      <w:r>
        <w:rPr>
          <w:rFonts w:ascii="Times New Roman" w:hAnsi="Times New Roman"/>
          <w:b/>
          <w:i/>
          <w:color w:val="000000"/>
          <w:sz w:val="24"/>
        </w:rPr>
        <w:t>HIPAA</w:t>
      </w:r>
      <w:r>
        <w:rPr>
          <w:color w:val="000000"/>
        </w:rPr>
        <w:t>”</w:t>
      </w:r>
      <w:r>
        <w:rPr>
          <w:rFonts w:ascii="Times New Roman" w:hAnsi="Times New Roman"/>
          <w:color w:val="000000"/>
          <w:sz w:val="24"/>
        </w:rPr>
        <w:t xml:space="preserve">), set forth at 42 U.S.C. sec. 1320d-2, the federal civil False Claims Act (or any state equivalent), federal or state “sunshine”/aggregate spend reporting laws, government price reporting laws, consumer protection and unfair trade practices laws, or any other Applicable Laws, rules or regulations or otherwise cause any reputational harm to such other Party.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Such Party shall immediately notify the other Party if such Party has any information or suspicion that there may be a violation of the FCPA, Export Control Laws, the federal health care program anti-kickback statute, the public contracts anti-kickback act, any state anti-kickback law, HIPAA, the federal civil False Claims Act (or any state equivalent), federal or state “sunshine”/aggregate spend reporting laws, government price reporting laws, consumer protection and unfair trade practices laws, or any other Applicable Laws in connection with the performance of this Agreement or the development, manufacture or commercialization of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connection with the performance of its obligations under this Agreement, such Party shall comply and shall cause its and its Affiliates’ employees and contractors to comply with such Party’s own anti-corruption and anti-bribery policy, a copy of which has been provided or made available to the other Party.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59</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agrees that, in connection with any inspection or audit by a Governmental Authority relating to any activities contemplated under this Agreement, such Party shall: (i) respond promptly and courteously to the inspectors/auditors; (ii) use its reasonable best efforts to notify the other Party of such inspection/audit with sufficient time to permit the other Party to obtain a protective or similar order with respect to such Party’s Confidential Information; (iii) use its reasonable best efforts to disclose the minimum of the other Party’s Confidential Information necessary to comply with the request whether a protective order is obtained; and (iv) assert any applicable protections (such as exemption from freedom of information act disclosure, as may be applicable) with respect to disclosed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such Party has violated or been suspected of violating any of the representations, warranties or covenants in this Section 16.4, such Party will cause its or its Affiliates’ personnel or others working under its direction or control to submit to periodic training that such Party will provide on anti-corruption and/or “fraud and abuse” law compliance.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Such Party will, at the other Party’s request, annually certify to such other Party in writing such party’s compliance, in connection with the performance of such Party’s obligations under this Agreement, with the representations, warranties or covenants in Section 16.4.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Such Party shall have the right to suspend or terminate this Agreement in their entirety where there is a credible finding, after a reasonable investigation, that the other Party, in connection with performance of such other Party’s obligations under this Agreement, has violated any Applicable Laws.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[Signature Page Follows]</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4"/>
        </w:rPr>
        <w:t>60</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CERTAIN CONFIDENTIAL INFORMATION CONTAINED IN THIS DOCUMENT, MARKED BY [***], HAS BEEN OMITTED BECAUSE IT IS BOTH (I) NOT MATERIAL AND (II) IS THE TYPE THAT MANNKIND CORPORATION TREATS AS PRIVATE OR CONFIDENTIAL.</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have executed this License and Collaboration Agreement as of the Execution Date.</w:t>
      </w:r>
    </w:p>
    <w:p>
      <w:pPr>
        <w:pStyle w:val="TextBody"/>
        <w:bidi w:val="0"/>
        <w:spacing w:before="0" w:after="240"/>
        <w:jc w:val="both"/>
        <w:rPr/>
      </w:pPr>
      <w:r>
        <w:rPr/>
        <w:t> </w:t>
      </w:r>
    </w:p>
    <w:tbl>
      <w:tblPr>
        <w:tblW w:w="8432" w:type="dxa"/>
        <w:jc w:val="left"/>
        <w:tblInd w:w="0" w:type="dxa"/>
        <w:tblLayout w:type="fixed"/>
        <w:tblCellMar>
          <w:top w:w="28" w:type="dxa"/>
          <w:left w:w="28" w:type="dxa"/>
          <w:bottom w:w="28" w:type="dxa"/>
          <w:right w:w="28" w:type="dxa"/>
        </w:tblCellMar>
      </w:tblPr>
      <w:tblGrid>
        <w:gridCol w:w="3421"/>
        <w:gridCol w:w="5011"/>
      </w:tblGrid>
      <w:tr>
        <w:trPr/>
        <w:tc>
          <w:tcPr>
            <w:tcW w:w="342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34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MANNKIND CORPORATION</w:t>
            </w:r>
          </w:p>
          <w:p>
            <w:pPr>
              <w:pStyle w:val="TableContents"/>
              <w:bidi w:val="0"/>
              <w:spacing w:before="0" w:after="240"/>
              <w:jc w:val="left"/>
              <w:rPr/>
            </w:pPr>
            <w:r>
              <w:rPr/>
              <w:t> </w:t>
            </w:r>
          </w:p>
          <w:p>
            <w:pPr>
              <w:pStyle w:val="TableContents"/>
              <w:bidi w:val="0"/>
              <w:spacing w:before="0" w:after="240"/>
              <w:jc w:val="left"/>
              <w:rPr/>
            </w:pPr>
            <w:r>
              <w:rPr/>
              <w:t> </w:t>
            </w:r>
          </w:p>
          <w:p>
            <w:pPr>
              <w:pStyle w:val="TableContents"/>
              <w:bidi w:val="0"/>
              <w:spacing w:before="0" w:after="24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/s/ Michael Castagna</w:t>
            </w:r>
            <w:r>
              <w:rPr>
                <w:rFonts w:ascii="Times New Roman" w:hAnsi="Times New Roman"/>
                <w:color w:val="000000"/>
                <w:sz w:val="24"/>
              </w:rPr>
              <w:t xml:space="preserv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Michael Castagna</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Title: Chief Executive Officer</w:t>
            </w:r>
          </w:p>
        </w:tc>
        <w:tc>
          <w:tcPr>
            <w:tcW w:w="50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UNITED THERAPEUTICS CORPORATION</w:t>
            </w:r>
          </w:p>
          <w:p>
            <w:pPr>
              <w:pStyle w:val="TableContents"/>
              <w:bidi w:val="0"/>
              <w:spacing w:before="0" w:after="240"/>
              <w:jc w:val="left"/>
              <w:rPr/>
            </w:pPr>
            <w:r>
              <w:rPr/>
              <w:t> </w:t>
            </w:r>
          </w:p>
          <w:p>
            <w:pPr>
              <w:pStyle w:val="TableContents"/>
              <w:bidi w:val="0"/>
              <w:spacing w:before="0" w:after="240"/>
              <w:jc w:val="left"/>
              <w:rPr/>
            </w:pPr>
            <w:r>
              <w:rPr/>
              <w:t> </w:t>
            </w:r>
          </w:p>
          <w:p>
            <w:pPr>
              <w:pStyle w:val="TableContents"/>
              <w:bidi w:val="0"/>
              <w:spacing w:before="0" w:after="24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/s/ Martine Rothblatt</w:t>
            </w:r>
            <w:r>
              <w:rPr>
                <w:rFonts w:ascii="Times New Roman" w:hAnsi="Times New Roman"/>
                <w:color w:val="000000"/>
                <w:sz w:val="24"/>
              </w:rPr>
              <w:t xml:space="preserve">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Martine Rothblatt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Title: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rFonts w:ascii="Calibri;sans-serif" w:hAnsi="Calibri;sans-serif"/>
          <w:b/>
          <w:color w:val="000000"/>
          <w:sz w:val="22"/>
        </w:rPr>
      </w:pPr>
      <w:bookmarkStart w:id="49" w:name="mnkd-ex23_1.htm"/>
      <w:bookmarkStart w:id="50" w:name="ksmnkdex23_1"/>
      <w:bookmarkEnd w:id="49"/>
      <w:bookmarkEnd w:id="50"/>
      <w:r>
        <w:rPr>
          <w:rFonts w:ascii="Calibri;sans-serif" w:hAnsi="Calibri;sans-serif"/>
          <w:b/>
          <w:color w:val="000000"/>
          <w:sz w:val="22"/>
        </w:rPr>
        <w:t>Exhibit 23.1</w:t>
      </w:r>
      <w:r>
        <w:br w:type="page"/>
      </w:r>
    </w:p>
    <w:p>
      <w:pPr>
        <w:pStyle w:val="TextBody"/>
        <w:bidi w:val="0"/>
        <w:spacing w:before="286" w:after="200"/>
        <w:jc w:val="center"/>
        <w:rPr>
          <w:rFonts w:ascii="Calibri;sans-serif" w:hAnsi="Calibri;sans-serif"/>
          <w:b/>
          <w:color w:val="000000"/>
          <w:sz w:val="22"/>
        </w:rPr>
      </w:pPr>
      <w:r>
        <w:rPr>
          <w:rFonts w:ascii="Calibri;sans-serif" w:hAnsi="Calibri;sans-serif"/>
          <w:b/>
          <w:color w:val="000000"/>
          <w:sz w:val="22"/>
        </w:rPr>
        <w:t>CONSENT OF INDEPENDENT REGISTERED PUBLIC ACCOUNTING FIRM</w:t>
      </w:r>
    </w:p>
    <w:p>
      <w:pPr>
        <w:pStyle w:val="TextBody"/>
        <w:bidi w:val="0"/>
        <w:spacing w:before="88" w:after="200"/>
        <w:jc w:val="left"/>
        <w:rPr>
          <w:rFonts w:ascii="Calibri;sans-serif" w:hAnsi="Calibri;sans-serif"/>
          <w:color w:val="000000"/>
          <w:sz w:val="20"/>
        </w:rPr>
      </w:pPr>
      <w:r>
        <w:rPr>
          <w:rFonts w:ascii="Calibri;sans-serif" w:hAnsi="Calibri;sans-serif"/>
          <w:color w:val="000000"/>
          <w:sz w:val="20"/>
        </w:rPr>
        <w:t>We consent to the incorporation by reference in Registration Statement Nos. 333-182457, 333-188790, 333-213366, 333-225428, 333-226648, and 333-242367, and 333-274176 on Form S-8, and Registration Statement No. 333-262981 on Form S-3 of our reports dated February 27, 2024, relating to the financial statements of MannKind Corporation and subsidiaries (“MannKind Corporation”) and the effectiveness of MannKind Corporation’s internal control over financial reporting appearing in this Annual Report on Form 10-K of MannKind Corporation for the year ended December 31, 2023.</w:t>
      </w:r>
    </w:p>
    <w:p>
      <w:pPr>
        <w:pStyle w:val="TextBody"/>
        <w:bidi w:val="0"/>
        <w:spacing w:before="88" w:after="200"/>
        <w:jc w:val="left"/>
        <w:rPr>
          <w:rFonts w:ascii="Calibri;sans-serif" w:hAnsi="Calibri;sans-serif"/>
          <w:color w:val="000000"/>
          <w:sz w:val="20"/>
        </w:rPr>
      </w:pPr>
      <w:r>
        <w:rPr>
          <w:rFonts w:ascii="Calibri;sans-serif" w:hAnsi="Calibri;sans-serif"/>
          <w:color w:val="000000"/>
          <w:sz w:val="20"/>
        </w:rPr>
        <w:t>/s/ Deloitte &amp; Touche LLP</w:t>
      </w:r>
    </w:p>
    <w:p>
      <w:pPr>
        <w:pStyle w:val="TextBody"/>
        <w:bidi w:val="0"/>
        <w:spacing w:before="88" w:after="200"/>
        <w:jc w:val="left"/>
        <w:rPr>
          <w:rFonts w:ascii="Calibri;sans-serif" w:hAnsi="Calibri;sans-serif"/>
          <w:color w:val="000000"/>
          <w:sz w:val="20"/>
        </w:rPr>
      </w:pPr>
      <w:r>
        <w:rPr>
          <w:rFonts w:ascii="Calibri;sans-serif" w:hAnsi="Calibri;sans-serif"/>
          <w:color w:val="000000"/>
          <w:sz w:val="20"/>
        </w:rPr>
        <w:t>Los Angeles, CA</w:t>
      </w:r>
    </w:p>
    <w:p>
      <w:pPr>
        <w:pStyle w:val="TextBody"/>
        <w:bidi w:val="0"/>
        <w:spacing w:before="88" w:after="200"/>
        <w:jc w:val="left"/>
        <w:rPr>
          <w:rFonts w:ascii="Calibri;sans-serif" w:hAnsi="Calibri;sans-serif"/>
          <w:color w:val="000000"/>
          <w:sz w:val="20"/>
        </w:rPr>
      </w:pPr>
      <w:r>
        <w:rPr>
          <w:rFonts w:ascii="Calibri;sans-serif" w:hAnsi="Calibri;sans-serif"/>
          <w:color w:val="000000"/>
          <w:sz w:val="20"/>
        </w:rPr>
        <w:t>February 27, 2024</w:t>
      </w:r>
    </w:p>
    <w:p>
      <w:pPr>
        <w:pStyle w:val="HorizontalLine"/>
        <w:pBdr>
          <w:bottom w:val="double" w:sz="2" w:space="0" w:color="808080"/>
        </w:pBdr>
        <w:bidi w:val="0"/>
        <w:spacing w:before="0" w:after="283"/>
        <w:jc w:val="left"/>
        <w:rPr/>
      </w:pPr>
      <w:r>
        <w:rPr/>
      </w:r>
    </w:p>
    <w:p>
      <w:pPr>
        <w:pStyle w:val="TextBody"/>
        <w:bidi w:val="0"/>
        <w:jc w:val="left"/>
        <w:rPr/>
      </w:pPr>
      <w:bookmarkStart w:id="51" w:name="mnkd-ex31_1.htm"/>
      <w:bookmarkStart w:id="52" w:name="ksmnkdex31_1"/>
      <w:bookmarkEnd w:id="51"/>
      <w:bookmarkEnd w:id="5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RULE 13a-14(a)/15d-14(a)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E. Castagna,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Michael E. Castagna</w:t>
            </w:r>
          </w:p>
        </w:tc>
      </w:tr>
      <w:tr>
        <w:trPr/>
        <w:tc>
          <w:tcPr>
            <w:tcW w:w="31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E. Castagna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Director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p>
      <w:pPr>
        <w:pStyle w:val="HorizontalLine"/>
        <w:pBdr>
          <w:bottom w:val="double" w:sz="2" w:space="0" w:color="808080"/>
        </w:pBdr>
        <w:bidi w:val="0"/>
        <w:spacing w:before="0" w:after="283"/>
        <w:jc w:val="left"/>
        <w:rPr/>
      </w:pPr>
      <w:r>
        <w:rPr/>
      </w:r>
    </w:p>
    <w:p>
      <w:pPr>
        <w:pStyle w:val="TextBody"/>
        <w:bidi w:val="0"/>
        <w:jc w:val="left"/>
        <w:rPr/>
      </w:pPr>
      <w:bookmarkStart w:id="53" w:name="mnkd-ex31_2.htm"/>
      <w:bookmarkStart w:id="54" w:name="ksmnkdex31_2"/>
      <w:bookmarkEnd w:id="53"/>
      <w:bookmarkEnd w:id="5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RULE 13a-14(a)/15d-14(a)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Steven B. Binder,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Steven B. Binder</w:t>
            </w:r>
          </w:p>
        </w:tc>
      </w:tr>
      <w:tr>
        <w:trPr/>
        <w:tc>
          <w:tcPr>
            <w:tcW w:w="207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Steven B. Binder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27,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5" w:name="mnkd-ex32_1.htm"/>
      <w:bookmarkStart w:id="56" w:name="ksmnkdex32_1"/>
      <w:bookmarkEnd w:id="55"/>
      <w:bookmarkEnd w:id="56"/>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Annual Report on Form 10-K for the period ended December 31, 2023, to which this Certification is attached as Exhibit 32.1 (the “Annual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Annual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27th day of February, 2024.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7" w:name="mnkd-ex32_2.htm"/>
      <w:bookmarkStart w:id="58" w:name="ksmnkdex32_2"/>
      <w:bookmarkEnd w:id="57"/>
      <w:bookmarkEnd w:id="58"/>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Annual Report on Form 10-K for the period ended December 31, 2022, to which this Certification is attached as Exhibit 32.2 (the “Annual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Annual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27th day of February, 2024.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Steven B. Binder</w:t>
            </w:r>
          </w:p>
        </w:tc>
      </w:tr>
      <w:tr>
        <w:trPr/>
        <w:tc>
          <w:tcPr>
            <w:tcW w:w="20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Binder</w:t>
            </w:r>
          </w:p>
        </w:tc>
      </w:tr>
      <w:tr>
        <w:trPr/>
        <w:tc>
          <w:tcPr>
            <w:tcW w:w="20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 </w:t>
      </w:r>
    </w:p>
    <w:p>
      <w:pPr>
        <w:pStyle w:val="HorizontalLine"/>
        <w:pBdr>
          <w:bottom w:val="double" w:sz="2" w:space="0" w:color="808080"/>
        </w:pBdr>
        <w:bidi w:val="0"/>
        <w:spacing w:before="0" w:after="283"/>
        <w:jc w:val="left"/>
        <w:rPr/>
      </w:pPr>
      <w:r>
        <w:rPr/>
      </w:r>
    </w:p>
    <w:p>
      <w:pPr>
        <w:pStyle w:val="TextBody"/>
        <w:bidi w:val="0"/>
        <w:jc w:val="right"/>
        <w:rPr/>
      </w:pPr>
      <w:bookmarkStart w:id="59" w:name="mnkd-ex97.htm"/>
      <w:bookmarkStart w:id="60" w:name="ksmnkdex97"/>
      <w:bookmarkEnd w:id="59"/>
      <w:bookmarkEnd w:id="60"/>
      <w:r>
        <w:rPr/>
        <w:t> </w:t>
      </w:r>
      <w:r>
        <w:br w:type="page"/>
      </w:r>
    </w:p>
    <w:p>
      <w:pPr>
        <w:pStyle w:val="TextBody"/>
        <w:bidi w:val="0"/>
        <w:spacing w:before="0" w:after="220"/>
        <w:jc w:val="right"/>
        <w:rPr>
          <w:rFonts w:ascii="Times New Roman" w:hAnsi="Times New Roman"/>
          <w:b/>
          <w:color w:val="000000"/>
          <w:sz w:val="22"/>
        </w:rPr>
      </w:pPr>
      <w:r>
        <w:rPr>
          <w:rFonts w:ascii="Times New Roman" w:hAnsi="Times New Roman"/>
          <w:b/>
          <w:color w:val="000000"/>
          <w:sz w:val="22"/>
        </w:rPr>
        <w:t>Exhibit 97</w:t>
      </w:r>
    </w:p>
    <w:p>
      <w:pPr>
        <w:pStyle w:val="TextBody"/>
        <w:bidi w:val="0"/>
        <w:spacing w:before="0" w:after="220"/>
        <w:jc w:val="center"/>
        <w:rPr>
          <w:rFonts w:ascii="Times New Roman" w:hAnsi="Times New Roman"/>
          <w:b/>
          <w:color w:val="000000"/>
          <w:sz w:val="22"/>
        </w:rPr>
      </w:pPr>
      <w:r>
        <w:rPr>
          <w:rFonts w:ascii="Times New Roman" w:hAnsi="Times New Roman"/>
          <w:b/>
          <w:color w:val="000000"/>
          <w:sz w:val="22"/>
        </w:rPr>
        <w:t>MANNKIND CORPORATION</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1.</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0" w:after="220"/>
        <w:jc w:val="both"/>
        <w:rPr>
          <w:rFonts w:ascii="Times New Roman" w:hAnsi="Times New Roman"/>
          <w:sz w:val="20"/>
        </w:rPr>
      </w:pPr>
      <w:r>
        <w:rPr>
          <w:rFonts w:ascii="Times New Roman" w:hAnsi="Times New Roman"/>
          <w:color w:val="000000"/>
          <w:sz w:val="22"/>
        </w:rPr>
        <w:t>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and the Compensation Committee (the “</w:t>
      </w:r>
      <w:r>
        <w:rPr>
          <w:rFonts w:ascii="Times New Roman" w:hAnsi="Times New Roman"/>
          <w:b/>
          <w:i/>
          <w:color w:val="000000"/>
          <w:sz w:val="22"/>
        </w:rPr>
        <w:t>Compensation Committee</w:t>
      </w:r>
      <w:r>
        <w:rPr>
          <w:rFonts w:ascii="Times New Roman" w:hAnsi="Times New Roman"/>
          <w:color w:val="000000"/>
          <w:sz w:val="20"/>
        </w:rPr>
        <w:t>”</w:t>
      </w:r>
      <w:r>
        <w:rPr>
          <w:rFonts w:ascii="Times New Roman" w:hAnsi="Times New Roman"/>
          <w:color w:val="000000"/>
          <w:sz w:val="22"/>
        </w:rPr>
        <w:t xml:space="preserve">) of the Board of </w:t>
      </w:r>
      <w:r>
        <w:rPr>
          <w:rFonts w:ascii="Times New Roman" w:hAnsi="Times New Roman"/>
          <w:b/>
          <w:smallCaps/>
          <w:color w:val="000000"/>
          <w:sz w:val="22"/>
        </w:rPr>
        <w:t>MannKind Corporation</w:t>
      </w:r>
      <w:r>
        <w:rPr>
          <w:rFonts w:ascii="Times New Roman" w:hAnsi="Times New Roman"/>
          <w:color w:val="000000"/>
          <w:sz w:val="22"/>
        </w:rPr>
        <w:t>,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have determined that it is in the best interests of the Company and its stockholders to adopt this Incentive Compensation Recoupment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jc w:val="both"/>
        <w:rPr>
          <w:rFonts w:ascii="Times New Roman" w:hAnsi="Times New Roman"/>
          <w:sz w:val="20"/>
        </w:rPr>
      </w:pPr>
      <w:r>
        <w:rPr>
          <w:rFonts w:ascii="Times New Roman" w:hAnsi="Times New Roman"/>
          <w:color w:val="000000"/>
          <w:sz w:val="22"/>
        </w:rPr>
        <w:t>This Policy is designed to comply with, and shall be interpreted to be consistent with, Section 10D of the Exchange Act, Rule 10D-1 promulgated thereunder (“</w:t>
      </w:r>
      <w:r>
        <w:rPr>
          <w:rFonts w:ascii="Times New Roman" w:hAnsi="Times New Roman"/>
          <w:b/>
          <w:i/>
          <w:color w:val="000000"/>
          <w:sz w:val="22"/>
        </w:rPr>
        <w:t>Rule 10D-1</w:t>
      </w:r>
      <w:r>
        <w:rPr>
          <w:rFonts w:ascii="Times New Roman" w:hAnsi="Times New Roman"/>
          <w:color w:val="000000"/>
          <w:sz w:val="20"/>
        </w:rPr>
        <w:t>”</w:t>
      </w:r>
      <w:r>
        <w:rPr>
          <w:rFonts w:ascii="Times New Roman" w:hAnsi="Times New Roman"/>
          <w:color w:val="000000"/>
          <w:sz w:val="22"/>
        </w:rPr>
        <w:t>) and Nasdaq Listing Rule 5608 (the “</w:t>
      </w:r>
      <w:r>
        <w:rPr>
          <w:rFonts w:ascii="Times New Roman" w:hAnsi="Times New Roman"/>
          <w:b/>
          <w:i/>
          <w:color w:val="000000"/>
          <w:sz w:val="22"/>
        </w:rPr>
        <w:t>Listing Standards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2.</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Effective Date</w:t>
      </w:r>
    </w:p>
    <w:p>
      <w:pPr>
        <w:pStyle w:val="TextBody"/>
        <w:bidi w:val="0"/>
        <w:spacing w:before="0" w:after="220"/>
        <w:jc w:val="both"/>
        <w:rPr>
          <w:rFonts w:ascii="Times New Roman" w:hAnsi="Times New Roman"/>
          <w:sz w:val="20"/>
        </w:rPr>
      </w:pPr>
      <w:r>
        <w:rPr>
          <w:rFonts w:ascii="Times New Roman" w:hAnsi="Times New Roman"/>
          <w:color w:val="000000"/>
          <w:sz w:val="22"/>
        </w:rPr>
        <w:t>This Policy shall apply to all Incentive Compensation that is received by a Covered Officer on or after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Incentive Compensation is deemed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3.</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Definitions</w:t>
      </w:r>
    </w:p>
    <w:p>
      <w:pPr>
        <w:pStyle w:val="TextBody"/>
        <w:bidi w:val="0"/>
        <w:spacing w:before="0" w:after="220"/>
        <w:jc w:val="both"/>
        <w:rPr/>
      </w:pPr>
      <w:r>
        <w:rPr>
          <w:color w:val="000000"/>
        </w:rPr>
        <w:t>“</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jc w:val="both"/>
        <w:rPr/>
      </w:pPr>
      <w:r>
        <w:rPr>
          <w:color w:val="000000"/>
        </w:rPr>
        <w:t>“</w:t>
      </w:r>
      <w:r>
        <w:rPr>
          <w:rFonts w:ascii="Times New Roman" w:hAnsi="Times New Roman"/>
          <w:b/>
          <w:i/>
          <w:color w:val="000000"/>
          <w:sz w:val="22"/>
        </w:rPr>
        <w:t>Accounting Restatement Date</w:t>
      </w:r>
      <w:r>
        <w:rPr>
          <w:rFonts w:ascii="Times New Roman" w:hAnsi="Times New Roman"/>
          <w:color w:val="000000"/>
          <w:sz w:val="20"/>
        </w:rPr>
        <w:t xml:space="preserve">” </w:t>
      </w:r>
      <w:r>
        <w:rPr>
          <w:rFonts w:ascii="Times New Roman" w:hAnsi="Times New Roman"/>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jc w:val="both"/>
        <w:rPr/>
      </w:pPr>
      <w:r>
        <w:rPr>
          <w:color w:val="000000"/>
        </w:rPr>
        <w:t>“</w:t>
      </w:r>
      <w:r>
        <w:rPr>
          <w:rFonts w:ascii="Times New Roman" w:hAnsi="Times New Roman"/>
          <w:b/>
          <w:i/>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Compensation Committee or, in the absence of such committee, the Board.</w:t>
      </w:r>
    </w:p>
    <w:p>
      <w:pPr>
        <w:pStyle w:val="TextBody"/>
        <w:bidi w:val="0"/>
        <w:spacing w:before="0" w:after="22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and the regulations promulgated thereunder.</w:t>
      </w:r>
    </w:p>
    <w:p>
      <w:pPr>
        <w:pStyle w:val="TextBody"/>
        <w:bidi w:val="0"/>
        <w:spacing w:before="0" w:after="220"/>
        <w:jc w:val="both"/>
        <w:rPr/>
      </w:pPr>
      <w:r>
        <w:rPr>
          <w:color w:val="000000"/>
        </w:rPr>
        <w:t>“</w:t>
      </w:r>
      <w:r>
        <w:rPr>
          <w:rFonts w:ascii="Times New Roman" w:hAnsi="Times New Roman"/>
          <w:b/>
          <w:i/>
          <w:color w:val="000000"/>
          <w:sz w:val="22"/>
        </w:rPr>
        <w:t>Covered Officer</w:t>
      </w:r>
      <w:r>
        <w:rPr>
          <w:rFonts w:ascii="Times New Roman" w:hAnsi="Times New Roman"/>
          <w:color w:val="000000"/>
          <w:sz w:val="20"/>
        </w:rPr>
        <w:t xml:space="preserve">” </w:t>
      </w:r>
      <w:r>
        <w:rPr>
          <w:rFonts w:ascii="Times New Roman" w:hAnsi="Times New Roman"/>
          <w:color w:val="000000"/>
          <w:sz w:val="22"/>
        </w:rPr>
        <w:t>means each current and former Executive Officer.</w:t>
      </w:r>
    </w:p>
    <w:p>
      <w:pPr>
        <w:pStyle w:val="TextBody"/>
        <w:bidi w:val="0"/>
        <w:spacing w:before="0" w:after="220"/>
        <w:jc w:val="both"/>
        <w:rPr/>
      </w:pPr>
      <w:r>
        <w:rPr>
          <w:color w:val="000000"/>
        </w:rPr>
        <w:t>“</w:t>
      </w:r>
      <w:r>
        <w:rPr>
          <w:rFonts w:ascii="Times New Roman" w:hAnsi="Times New Roman"/>
          <w:b/>
          <w:i/>
          <w:color w:val="000000"/>
          <w:sz w:val="22"/>
        </w:rPr>
        <w:t>Exchange</w:t>
      </w:r>
      <w:r>
        <w:rPr>
          <w:rFonts w:ascii="Times New Roman" w:hAnsi="Times New Roman"/>
          <w:color w:val="000000"/>
          <w:sz w:val="20"/>
        </w:rPr>
        <w:t xml:space="preserve">” </w:t>
      </w:r>
      <w:r>
        <w:rPr>
          <w:rFonts w:ascii="Times New Roman" w:hAnsi="Times New Roman"/>
          <w:color w:val="000000"/>
          <w:sz w:val="22"/>
        </w:rPr>
        <w:t>means the Nasdaq Stock Market.</w:t>
      </w:r>
    </w:p>
    <w:p>
      <w:pPr>
        <w:pStyle w:val="TextBody"/>
        <w:bidi w:val="0"/>
        <w:spacing w:before="0" w:after="220"/>
        <w:jc w:val="both"/>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jc w:val="both"/>
        <w:rPr/>
      </w:pPr>
      <w:r>
        <w:rPr>
          <w:color w:val="000000"/>
        </w:rPr>
        <w:t>“</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2"/>
        </w:rPr>
        <w:t>TSR</w:t>
      </w:r>
      <w:r>
        <w:rPr>
          <w:rFonts w:ascii="Times New Roman" w:hAnsi="Times New Roman"/>
          <w:color w:val="000000"/>
          <w:sz w:val="20"/>
        </w:rPr>
        <w:t>”</w:t>
      </w:r>
      <w:r>
        <w:rPr>
          <w:rFonts w:ascii="Times New Roman" w:hAnsi="Times New Roman"/>
          <w:color w:val="000000"/>
          <w:sz w:val="22"/>
        </w:rPr>
        <w:t>). A measure need not be presented in the Company’s financial statements or included in a filing with the SEC in order to be a Financial Reporting Measure.</w:t>
      </w:r>
    </w:p>
    <w:p>
      <w:pPr>
        <w:pStyle w:val="TextBody"/>
        <w:bidi w:val="0"/>
        <w:spacing w:before="0" w:after="2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Recoverable Incentive Compensation</w:t>
      </w:r>
      <w:r>
        <w:rPr>
          <w:rFonts w:ascii="Times New Roman" w:hAnsi="Times New Roman"/>
          <w:color w:val="000000"/>
          <w:sz w:val="20"/>
        </w:rPr>
        <w:t xml:space="preserve">” </w:t>
      </w:r>
      <w:r>
        <w:rPr>
          <w:rFonts w:ascii="Times New Roman" w:hAnsi="Times New Roman"/>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2"/>
        </w:rPr>
        <w:t>i.e.</w:t>
      </w:r>
      <w:r>
        <w:rPr>
          <w:rFonts w:ascii="Times New Roman" w:hAnsi="Times New Roman"/>
          <w:color w:val="000000"/>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jc w:val="both"/>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4.</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Recoupment</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20"/>
        <w:jc w:val="both"/>
        <w:rPr/>
      </w:pPr>
      <w:r>
        <w:rPr>
          <w:rFonts w:ascii="Times New Roman" w:hAnsi="Times New Roman"/>
          <w:b/>
          <w:color w:val="000000"/>
          <w:sz w:val="22"/>
        </w:rPr>
        <w:t xml:space="preserve">Applicability of Policy. </w:t>
      </w:r>
      <w:r>
        <w:rPr>
          <w:rFonts w:ascii="Times New Roman" w:hAnsi="Times New Roman"/>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20"/>
        <w:jc w:val="both"/>
        <w:rPr/>
      </w:pPr>
      <w:r>
        <w:rPr>
          <w:rFonts w:ascii="Times New Roman" w:hAnsi="Times New Roman"/>
          <w:b/>
          <w:color w:val="000000"/>
          <w:sz w:val="22"/>
        </w:rPr>
        <w:t xml:space="preserve">Recoupment Generally. </w:t>
      </w:r>
      <w:r>
        <w:rPr>
          <w:rFonts w:ascii="Times New Roman" w:hAnsi="Times New Roman"/>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20"/>
        <w:jc w:val="both"/>
        <w:rPr/>
      </w:pPr>
      <w:r>
        <w:rPr>
          <w:rFonts w:ascii="Times New Roman" w:hAnsi="Times New Roman"/>
          <w:b/>
          <w:color w:val="000000"/>
          <w:sz w:val="22"/>
        </w:rPr>
        <w:t>Impracticability of Recovery.</w:t>
      </w:r>
      <w:r>
        <w:rPr>
          <w:color w:val="000000"/>
        </w:rPr>
        <w:t xml:space="preserve"> </w:t>
      </w:r>
      <w:r>
        <w:rPr>
          <w:rFonts w:ascii="Times New Roman" w:hAnsi="Times New Roman"/>
          <w:color w:val="000000"/>
          <w:sz w:val="22"/>
        </w:rPr>
        <w:t>Recoupment may be determined to be impracticable if, and only if: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20"/>
        <w:jc w:val="both"/>
        <w:rPr/>
      </w:pPr>
      <w:r>
        <w:rPr>
          <w:rFonts w:ascii="Times New Roman" w:hAnsi="Times New Roman"/>
          <w:b/>
          <w:color w:val="000000"/>
          <w:sz w:val="22"/>
        </w:rPr>
        <w:t>Sources of Recoupment.</w:t>
      </w:r>
      <w:r>
        <w:rPr>
          <w:color w:val="000000"/>
        </w:rPr>
        <w:t xml:space="preserve"> </w:t>
      </w:r>
      <w:r>
        <w:rPr>
          <w:rFonts w:ascii="Times New Roman" w:hAnsi="Times New Roman"/>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2"/>
        </w:rPr>
        <w:t>e.g.</w:t>
      </w:r>
      <w:r>
        <w:rPr>
          <w:rFonts w:ascii="Times New Roman" w:hAnsi="Times New Roman"/>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20"/>
        <w:jc w:val="both"/>
        <w:rPr/>
      </w:pPr>
      <w:r>
        <w:rPr>
          <w:rFonts w:ascii="Times New Roman" w:hAnsi="Times New Roman"/>
          <w:b/>
          <w:color w:val="000000"/>
          <w:sz w:val="22"/>
        </w:rPr>
        <w:t>No Indemnification of Covered Officers.</w:t>
      </w:r>
      <w:r>
        <w:rPr>
          <w:color w:val="000000"/>
        </w:rPr>
        <w:t xml:space="preserve"> </w:t>
      </w:r>
      <w:r>
        <w:rPr>
          <w:rFonts w:ascii="Times New Roman" w:hAnsi="Times New Roman"/>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20"/>
        <w:jc w:val="both"/>
        <w:rPr/>
      </w:pPr>
      <w:r>
        <w:rPr>
          <w:rFonts w:ascii="Times New Roman" w:hAnsi="Times New Roman"/>
          <w:b/>
          <w:color w:val="000000"/>
          <w:sz w:val="22"/>
        </w:rPr>
        <w:t>Indemnification of Administrator.</w:t>
      </w:r>
      <w:r>
        <w:rPr>
          <w:color w:val="000000"/>
        </w:rPr>
        <w:t xml:space="preserve"> </w:t>
      </w:r>
      <w:r>
        <w:rPr>
          <w:rFonts w:ascii="Times New Roman" w:hAnsi="Times New Roman"/>
          <w:color w:val="000000"/>
          <w:sz w:val="22"/>
        </w:rPr>
        <w:t xml:space="preserve">Any members of the Administrator, and any other members of the Board who assist in the administration of this Policy, shall not be personally liable for any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20"/>
        <w:jc w:val="both"/>
        <w:rPr/>
      </w:pPr>
      <w:r>
        <w:rPr>
          <w:rFonts w:ascii="Times New Roman" w:hAnsi="Times New Roman"/>
          <w:b/>
          <w:color w:val="000000"/>
          <w:sz w:val="22"/>
        </w:rPr>
        <w:t>No “Good Reason” for Covered Officers.</w:t>
      </w:r>
      <w:r>
        <w:rPr>
          <w:color w:val="000000"/>
        </w:rPr>
        <w:t xml:space="preserve"> </w:t>
      </w:r>
      <w:r>
        <w:rPr>
          <w:rFonts w:ascii="Times New Roman" w:hAnsi="Times New Roman"/>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5.</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6.</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Severability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7.</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No Impairment of Other Remedies</w:t>
      </w:r>
    </w:p>
    <w:p>
      <w:pPr>
        <w:pStyle w:val="TextBody"/>
        <w:bidi w:val="0"/>
        <w:spacing w:before="0" w:after="220"/>
        <w:jc w:val="both"/>
        <w:rPr>
          <w:rFonts w:ascii="Times New Roman" w:hAnsi="Times New Roman"/>
          <w:sz w:val="20"/>
        </w:rPr>
      </w:pPr>
      <w:r>
        <w:rPr>
          <w:rFonts w:ascii="Times New Roman" w:hAnsi="Times New Roman"/>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i/>
          <w:color w:val="000000"/>
          <w:sz w:val="22"/>
        </w:rPr>
        <w:t>SOX 304</w:t>
      </w:r>
      <w:r>
        <w:rPr>
          <w:rFonts w:ascii="Times New Roman" w:hAnsi="Times New Roman"/>
          <w:color w:val="000000"/>
          <w:sz w:val="20"/>
        </w:rPr>
        <w:t>”</w:t>
      </w:r>
      <w:r>
        <w:rPr>
          <w:rFonts w:ascii="Times New Roman" w:hAnsi="Times New Roman"/>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8.</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Amendment; Termination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9.</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Successors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10. </w:t>
      </w:r>
      <w:r>
        <w:rPr>
          <w:rFonts w:ascii="Times New Roman" w:hAnsi="Times New Roman"/>
          <w:b/>
          <w:smallCaps/>
          <w:color w:val="000000"/>
          <w:sz w:val="22"/>
        </w:rPr>
        <w:t>Required Filings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shall make any disclosures and filings with respect to this Policy that are required by law, including as required by the SEC.</w:t>
      </w:r>
    </w:p>
    <w:p>
      <w:pPr>
        <w:pStyle w:val="TextBody"/>
        <w:bidi w:val="0"/>
        <w:spacing w:before="0" w:after="220"/>
        <w:jc w:val="center"/>
        <w:rPr>
          <w:rFonts w:ascii="Times New Roman" w:hAnsi="Times New Roman"/>
          <w:color w:val="000000"/>
          <w:sz w:val="22"/>
        </w:rPr>
      </w:pPr>
      <w:r>
        <w:rPr>
          <w:rFonts w:ascii="Times New Roman" w:hAnsi="Times New Roman"/>
          <w:color w:val="000000"/>
          <w:sz w:val="22"/>
        </w:rPr>
        <w:t>* * * * *</w:t>
      </w:r>
    </w:p>
    <w:p>
      <w:pPr>
        <w:pStyle w:val="TextBody"/>
        <w:bidi w:val="0"/>
        <w:spacing w:before="0" w:after="22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entury Gothic">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99460/000119312520311859/d50698dex21.htm" TargetMode="External"/><Relationship Id="rId4" Type="http://schemas.openxmlformats.org/officeDocument/2006/relationships/hyperlink" Target="https://www.sec.gov/Archives/edgar/data/899460/000119312516676980/d225552dex31.htm" TargetMode="External"/><Relationship Id="rId5" Type="http://schemas.openxmlformats.org/officeDocument/2006/relationships/hyperlink" Target="https://www.sec.gov/Archives/edgar/data/899460/000119312517066630/d313758dex31.htm" TargetMode="External"/><Relationship Id="rId6" Type="http://schemas.openxmlformats.org/officeDocument/2006/relationships/hyperlink" Target="https://www.sec.gov/Archives/edgar/data/899460/000119312517368329/d511527dex31.htm" TargetMode="External"/><Relationship Id="rId7" Type="http://schemas.openxmlformats.org/officeDocument/2006/relationships/hyperlink" Target="https://www.sec.gov/Archives/edgar/data/899460/000119312520153051/d936164dex31.htm" TargetMode="External"/><Relationship Id="rId8" Type="http://schemas.openxmlformats.org/officeDocument/2006/relationships/hyperlink" Target="https://www.sec.gov/Archives/edgar/data/899460/000119312523156575/d473553dex31.htm" TargetMode="External"/><Relationship Id="rId9" Type="http://schemas.openxmlformats.org/officeDocument/2006/relationships/hyperlink" Target="https://www.sec.gov/Archives/edgar/data/899460/000119312520153051/d936164dex32.htm" TargetMode="External"/><Relationship Id="rId10" Type="http://schemas.openxmlformats.org/officeDocument/2006/relationships/hyperlink" Target="https://www.sec.gov/Archives/edgar/data/899460/000119312516676980/d225552dex31.htm" TargetMode="External"/><Relationship Id="rId11" Type="http://schemas.openxmlformats.org/officeDocument/2006/relationships/hyperlink" Target="https://www.sec.gov/Archives/edgar/data/899460/000119312517066630/d313758dex31.htm" TargetMode="External"/><Relationship Id="rId12" Type="http://schemas.openxmlformats.org/officeDocument/2006/relationships/hyperlink" Target="https://www.sec.gov/Archives/edgar/data/899460/000119312517368329/d511527dex31.htm" TargetMode="External"/><Relationship Id="rId13" Type="http://schemas.openxmlformats.org/officeDocument/2006/relationships/hyperlink" Target="https://www.sec.gov/Archives/edgar/data/899460/000119312520153051/d936164dex31.htm" TargetMode="External"/><Relationship Id="rId14" Type="http://schemas.openxmlformats.org/officeDocument/2006/relationships/hyperlink" Target="https://www.sec.gov/Archives/edgar/data/899460/000119312520153051/d936164dex32.htm" TargetMode="External"/><Relationship Id="rId15" Type="http://schemas.openxmlformats.org/officeDocument/2006/relationships/hyperlink" Target="https://www.sec.gov/Archives/edgar/data/899460/000119312517085519/d305327dex42.htm" TargetMode="External"/><Relationship Id="rId16" Type="http://schemas.openxmlformats.org/officeDocument/2006/relationships/hyperlink" Target="https://www.sec.gov/Archives/edgar/data/899460/000119312513279522/d562665dex993.htm" TargetMode="External"/><Relationship Id="rId17" Type="http://schemas.openxmlformats.org/officeDocument/2006/relationships/hyperlink" Target="https://www.sec.gov/Archives/edgar/data/899460/000119312519215305/d757696dex41.htm" TargetMode="External"/><Relationship Id="rId18" Type="http://schemas.openxmlformats.org/officeDocument/2006/relationships/hyperlink" Target="https://www.sec.gov/Archives/edgar/data/899460/000119312519215305/d757696dex46.htm" TargetMode="External"/><Relationship Id="rId19" Type="http://schemas.openxmlformats.org/officeDocument/2006/relationships/hyperlink" Target="https://www.sec.gov/Archives/edgar/data/899460/000119312521130221/d174090dex992.htm" TargetMode="External"/><Relationship Id="rId20" Type="http://schemas.openxmlformats.org/officeDocument/2006/relationships/hyperlink" Target="https://www.sec.gov/Archives/edgar/data/899460/000119312521070265/d45565dex41.htm" TargetMode="External"/><Relationship Id="rId21" Type="http://schemas.openxmlformats.org/officeDocument/2006/relationships/hyperlink" Target="https://www.sec.gov/Archives/edgar/data/899460/000119312517229404/d406524dex991.htm" TargetMode="External"/><Relationship Id="rId22" Type="http://schemas.openxmlformats.org/officeDocument/2006/relationships/hyperlink" Target="https://www.sec.gov/Archives/edgar/data/899460/000119312516505366/d107849dex1038.htm" TargetMode="External"/><Relationship Id="rId23" Type="http://schemas.openxmlformats.org/officeDocument/2006/relationships/hyperlink" Target="https://www.sec.gov/Archives/edgar/data/899460/000119312517085519/d305327dex1036.htm" TargetMode="External"/><Relationship Id="rId24" Type="http://schemas.openxmlformats.org/officeDocument/2006/relationships/hyperlink" Target="https://www.sec.gov/Archives/edgar/data/899460/000119312523080473/d490495dex101.htm" TargetMode="External"/><Relationship Id="rId25" Type="http://schemas.openxmlformats.org/officeDocument/2006/relationships/hyperlink" Target="https://www.sec.gov/Archives/edgar/data/899460/000095012407005167/v34640aexv99w1.htm" TargetMode="External"/><Relationship Id="rId26" Type="http://schemas.openxmlformats.org/officeDocument/2006/relationships/hyperlink" Target="https://www.sec.gov/Archives/edgar/data/899460/000095014804000827/v98169orexv10w1.txt" TargetMode="External"/><Relationship Id="rId27" Type="http://schemas.openxmlformats.org/officeDocument/2006/relationships/hyperlink" Target="https://www.sec.gov/Archives/edgar/data/899460/000119312517116178/d350284dex991.htm" TargetMode="External"/><Relationship Id="rId28" Type="http://schemas.openxmlformats.org/officeDocument/2006/relationships/hyperlink" Target="https://www.sec.gov/Archives/edgar/data/899460/000156459019004263/mnkd-ex1015_871.htm" TargetMode="External"/><Relationship Id="rId29" Type="http://schemas.openxmlformats.org/officeDocument/2006/relationships/hyperlink" Target="https://www.sec.gov/Archives/edgar/data/899460/000119312516676980/d225552dex101.htm" TargetMode="External"/><Relationship Id="rId30" Type="http://schemas.openxmlformats.org/officeDocument/2006/relationships/hyperlink" Target="https://www.sec.gov/Archives/edgar/data/899460/000119312513232988/d543380dex992.htm" TargetMode="External"/><Relationship Id="rId31" Type="http://schemas.openxmlformats.org/officeDocument/2006/relationships/hyperlink" Target="https://www.sec.gov/Archives/edgar/data/899460/000119312513232988/d543380dex993.htm" TargetMode="External"/><Relationship Id="rId32" Type="http://schemas.openxmlformats.org/officeDocument/2006/relationships/hyperlink" Target="https://www.sec.gov/Archives/edgar/data/899460/000119312523219188/d860669dex991.htm" TargetMode="External"/><Relationship Id="rId33" Type="http://schemas.openxmlformats.org/officeDocument/2006/relationships/hyperlink" Target="https://www.sec.gov/Archives/edgar/data/899460/000119312518241209/d576776dex992.htm" TargetMode="External"/><Relationship Id="rId34" Type="http://schemas.openxmlformats.org/officeDocument/2006/relationships/hyperlink" Target="https://www.sec.gov/Archives/edgar/data/899460/000119312518241209/d576776dex993.htm" TargetMode="External"/><Relationship Id="rId35" Type="http://schemas.openxmlformats.org/officeDocument/2006/relationships/hyperlink" Target="https://www.sec.gov/Archives/edgar/data/899460/000119312523219188/d860669dex992.htm" TargetMode="External"/><Relationship Id="rId36" Type="http://schemas.openxmlformats.org/officeDocument/2006/relationships/hyperlink" Target="https://www.sec.gov/Archives/edgar/data/899460/000119312518183644/d578515dex991.htm" TargetMode="External"/><Relationship Id="rId37" Type="http://schemas.openxmlformats.org/officeDocument/2006/relationships/hyperlink" Target="https://www.sec.gov/Archives/edgar/data/899460/000156459021008440/mnkd-ex1023_161.htm" TargetMode="External"/><Relationship Id="rId38" Type="http://schemas.openxmlformats.org/officeDocument/2006/relationships/hyperlink" Target="https://www.sec.gov/Archives/edgar/data/899460/000119312517085519/d305327dex1032.htm" TargetMode="External"/><Relationship Id="rId39" Type="http://schemas.openxmlformats.org/officeDocument/2006/relationships/hyperlink" Target="https://www.sec.gov/Archives/edgar/data/899460/000119312517085519/d305327dex1033.htm" TargetMode="External"/><Relationship Id="rId40" Type="http://schemas.openxmlformats.org/officeDocument/2006/relationships/hyperlink" Target="https://www.sec.gov/Archives/edgar/data/899460/000156459018012419/mnkd-ex108_456.htm" TargetMode="External"/><Relationship Id="rId41" Type="http://schemas.openxmlformats.org/officeDocument/2006/relationships/hyperlink" Target="https://www.sec.gov/Archives/edgar/data/899460/000156459019004263/mnkd-ex1050_1079.htm" TargetMode="External"/><Relationship Id="rId42" Type="http://schemas.openxmlformats.org/officeDocument/2006/relationships/hyperlink" Target="https://www.sec.gov/Archives/edgar/data/899460/000119312519215305/d757696dex995.htm" TargetMode="External"/><Relationship Id="rId43" Type="http://schemas.openxmlformats.org/officeDocument/2006/relationships/hyperlink" Target="https://www.sec.gov/Archives/edgar/data/0000899460/000119312521171623/d153193dex991.htm" TargetMode="External"/><Relationship Id="rId44" Type="http://schemas.openxmlformats.org/officeDocument/2006/relationships/hyperlink" Target="https://www.sec.gov/Archives/edgar/data/899460/000119312523303995/d57247dex991.htm" TargetMode="External"/><Relationship Id="rId45" Type="http://schemas.openxmlformats.org/officeDocument/2006/relationships/hyperlink" Target="https://www.sec.gov/Archives/edgar/data/899460/000119312516505366/d107849dex1037.htm" TargetMode="External"/><Relationship Id="rId46" Type="http://schemas.openxmlformats.org/officeDocument/2006/relationships/hyperlink" Target="https://www.sec.gov/Archives/edgar/data/899460/000119312517249866/d412831dex103.htm" TargetMode="External"/><Relationship Id="rId47" Type="http://schemas.openxmlformats.org/officeDocument/2006/relationships/hyperlink" Target="https://www.sec.gov/Archives/edgar/data/899460/000119312517249866/d412831dex103.htm" TargetMode="External"/><Relationship Id="rId48" Type="http://schemas.openxmlformats.org/officeDocument/2006/relationships/hyperlink" Target="https://www.sec.gov/Archives/edgar/data/899460/000156459018026006/mnkd-ex109_400.htm" TargetMode="External"/><Relationship Id="rId49" Type="http://schemas.openxmlformats.org/officeDocument/2006/relationships/hyperlink" Target="https://www.sec.gov/Archives/edgar/data/899460/000119312519215305/d757696dex991.htm" TargetMode="External"/><Relationship Id="rId50" Type="http://schemas.openxmlformats.org/officeDocument/2006/relationships/hyperlink" Target="https://www.sec.gov/Archives/edgar/data/899460/000119312519317492/d780971dex991.htm" TargetMode="External"/><Relationship Id="rId51" Type="http://schemas.openxmlformats.org/officeDocument/2006/relationships/hyperlink" Target="https://www.sec.gov/Archives/edgar/data/899460/000119312520230054/d53673dex991.htm" TargetMode="External"/><Relationship Id="rId52" Type="http://schemas.openxmlformats.org/officeDocument/2006/relationships/hyperlink" Target="https://www.sec.gov/Archives/edgar/data/899460/000119312520306330/d73266dex991.htm" TargetMode="External"/><Relationship Id="rId53" Type="http://schemas.openxmlformats.org/officeDocument/2006/relationships/hyperlink" Target="https://www.sec.gov/Archives/edgar/data/899460/000119312520311859/d50698dex41.htm" TargetMode="External"/><Relationship Id="rId54" Type="http://schemas.openxmlformats.org/officeDocument/2006/relationships/hyperlink" Target="https://www.sec.gov/Archives/edgar/data/899460/000156459021055727/mnkd-ex101_251.htm" TargetMode="External"/><Relationship Id="rId55" Type="http://schemas.openxmlformats.org/officeDocument/2006/relationships/hyperlink" Target="https://www.sec.gov/Archives/edgar/data/899460/000156459021055727/mnkd-ex102_250.htm" TargetMode="External"/><Relationship Id="rId56" Type="http://schemas.openxmlformats.org/officeDocument/2006/relationships/hyperlink" Target="https://www.sec.gov/Archives/edgar/data/899460/000156459021055727/mnkd-ex103_410.htm" TargetMode="External"/><Relationship Id="rId57" Type="http://schemas.openxmlformats.org/officeDocument/2006/relationships/hyperlink" Target="https://www.sec.gov/Archives/edgar/data/899460/000119312524000161/d575512dex991.htm" TargetMode="External"/><Relationship Id="rId58" Type="http://schemas.openxmlformats.org/officeDocument/2006/relationships/hyperlink" Target="https://www.sec.gov/Archives/edgar/data/899460/000156459022018245/mnkd-ex101_339.htm" TargetMode="External"/><Relationship Id="rId59" Type="http://schemas.openxmlformats.org/officeDocument/2006/relationships/hyperlink" Target="https://www.sec.gov/Archives/edgar/data/899460/000156459023002309/mnkd-ex1049_458.htm" TargetMode="External"/><Relationship Id="rId60" Type="http://schemas.openxmlformats.org/officeDocument/2006/relationships/hyperlink" Target="https://www.sec.gov/Archives/edgar/data/899460/000156459023002309/mnkd-ex1050_456.htm" TargetMode="External"/><Relationship Id="rId61" Type="http://schemas.openxmlformats.org/officeDocument/2006/relationships/hyperlink" Target="https://www.sec.gov/Archives/edgar/data/899460/000156459023002309/mnkd-ex1051_457.htm" TargetMode="External"/><Relationship Id="rId62" Type="http://schemas.openxmlformats.org/officeDocument/2006/relationships/hyperlink" Target="https://www.sec.gov/Archives/edgar/data/899460/000156459023002309/mnkd-ex1052_455.htm" TargetMode="External"/><Relationship Id="rId63" Type="http://schemas.openxmlformats.org/officeDocument/2006/relationships/hyperlink" Target="https://www.sec.gov/Archives/edgar/data/899460/000156459023002309/mnkd-ex1053_454.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109772</Words>
  <Characters>610555</Characters>
  <CharactersWithSpaces>721187</CharactersWithSpaces>
  <Paragraphs>10731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