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60"/>
        <w:spacing w:after="0"/>
        <w:tabs>
          <w:tab w:leader="none" w:pos="67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jc w:val="center"/>
              <w:ind w:left="1556"/>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jc w:val="right"/>
              <w:ind w:right="2336"/>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080" w:type="dxa"/>
            <w:vAlign w:val="bottom"/>
          </w:tcPr>
          <w:p>
            <w:pPr>
              <w:jc w:val="center"/>
              <w:ind w:left="1556"/>
              <w:spacing w:after="0"/>
              <w:rPr>
                <w:sz w:val="20"/>
                <w:szCs w:val="20"/>
                <w:color w:val="auto"/>
              </w:rPr>
            </w:pPr>
            <w:r>
              <w:rPr>
                <w:rFonts w:ascii="Arial" w:cs="Arial" w:eastAsia="Arial" w:hAnsi="Arial"/>
                <w:sz w:val="18"/>
                <w:szCs w:val="18"/>
                <w:b w:val="1"/>
                <w:bCs w:val="1"/>
                <w:color w:val="auto"/>
                <w:w w:val="90"/>
              </w:rPr>
              <w:t>(State or other jurisdiction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jc w:val="center"/>
              <w:ind w:right="1616"/>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080" w:type="dxa"/>
            <w:vAlign w:val="bottom"/>
          </w:tcPr>
          <w:p>
            <w:pPr>
              <w:jc w:val="center"/>
              <w:ind w:left="1556"/>
              <w:spacing w:after="0"/>
              <w:rPr>
                <w:sz w:val="20"/>
                <w:szCs w:val="20"/>
                <w:color w:val="auto"/>
              </w:rPr>
            </w:pPr>
            <w:r>
              <w:rPr>
                <w:rFonts w:ascii="Arial" w:cs="Arial" w:eastAsia="Arial" w:hAnsi="Arial"/>
                <w:sz w:val="18"/>
                <w:szCs w:val="18"/>
                <w:b w:val="1"/>
                <w:bCs w:val="1"/>
                <w:color w:val="auto"/>
                <w:w w:val="91"/>
              </w:rPr>
              <w:t>incorporation or organization)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jc w:val="center"/>
              <w:ind w:right="1616"/>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92"/>
        </w:trPr>
        <w:tc>
          <w:tcPr>
            <w:tcW w:w="742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89"/>
              </w:rPr>
              <w:t>30930 Russell Ranch Road, Suite 300</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80" w:type="dxa"/>
            <w:vAlign w:val="bottom"/>
          </w:tcPr>
          <w:p>
            <w:pPr>
              <w:jc w:val="center"/>
              <w:ind w:left="1556"/>
              <w:spacing w:after="0"/>
              <w:rPr>
                <w:sz w:val="20"/>
                <w:szCs w:val="20"/>
                <w:color w:val="auto"/>
              </w:rPr>
            </w:pPr>
            <w:r>
              <w:rPr>
                <w:rFonts w:ascii="Arial" w:cs="Arial" w:eastAsia="Arial" w:hAnsi="Arial"/>
                <w:sz w:val="18"/>
                <w:szCs w:val="18"/>
                <w:b w:val="1"/>
                <w:bCs w:val="1"/>
                <w:color w:val="auto"/>
                <w:w w:val="92"/>
              </w:rPr>
              <w:t>Westlake Village, California</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jc w:val="right"/>
              <w:ind w:right="2536"/>
              <w:spacing w:after="0"/>
              <w:rPr>
                <w:sz w:val="20"/>
                <w:szCs w:val="20"/>
                <w:color w:val="auto"/>
              </w:rPr>
            </w:pPr>
            <w:r>
              <w:rPr>
                <w:rFonts w:ascii="Arial" w:cs="Arial" w:eastAsia="Arial" w:hAnsi="Arial"/>
                <w:sz w:val="18"/>
                <w:szCs w:val="18"/>
                <w:b w:val="1"/>
                <w:bCs w:val="1"/>
                <w:color w:val="auto"/>
              </w:rPr>
              <w:t>91362</w:t>
            </w:r>
          </w:p>
        </w:tc>
        <w:tc>
          <w:tcPr>
            <w:tcW w:w="0" w:type="dxa"/>
            <w:vAlign w:val="bottom"/>
          </w:tcPr>
          <w:p>
            <w:pPr>
              <w:spacing w:after="0"/>
              <w:rPr>
                <w:sz w:val="1"/>
                <w:szCs w:val="1"/>
                <w:color w:val="auto"/>
              </w:rPr>
            </w:pPr>
          </w:p>
        </w:tc>
      </w:tr>
      <w:tr>
        <w:trPr>
          <w:trHeight w:val="186"/>
        </w:trPr>
        <w:tc>
          <w:tcPr>
            <w:tcW w:w="4080" w:type="dxa"/>
            <w:vAlign w:val="bottom"/>
          </w:tcPr>
          <w:p>
            <w:pPr>
              <w:jc w:val="center"/>
              <w:ind w:left="157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0" w:type="dxa"/>
            <w:vAlign w:val="bottom"/>
          </w:tcPr>
          <w:p>
            <w:pPr>
              <w:jc w:val="center"/>
              <w:ind w:right="161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4080" w:type="dxa"/>
            <w:vAlign w:val="bottom"/>
          </w:tcPr>
          <w:p>
            <w:pPr>
              <w:spacing w:after="0"/>
              <w:rPr>
                <w:sz w:val="22"/>
                <w:szCs w:val="22"/>
                <w:color w:val="auto"/>
              </w:rPr>
            </w:pPr>
          </w:p>
        </w:tc>
        <w:tc>
          <w:tcPr>
            <w:tcW w:w="2200" w:type="dxa"/>
            <w:vAlign w:val="bottom"/>
            <w:gridSpan w:val="5"/>
          </w:tcPr>
          <w:p>
            <w:pPr>
              <w:jc w:val="center"/>
              <w:ind w:left="999"/>
              <w:spacing w:after="0"/>
              <w:rPr>
                <w:sz w:val="20"/>
                <w:szCs w:val="20"/>
                <w:color w:val="auto"/>
              </w:rPr>
            </w:pPr>
            <w:r>
              <w:rPr>
                <w:rFonts w:ascii="Arial" w:cs="Arial" w:eastAsia="Arial" w:hAnsi="Arial"/>
                <w:sz w:val="18"/>
                <w:szCs w:val="18"/>
                <w:b w:val="1"/>
                <w:bCs w:val="1"/>
                <w:color w:val="auto"/>
                <w:w w:val="90"/>
              </w:rPr>
              <w:t>(818) 661-5000</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3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3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5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1420" w:type="dxa"/>
            <w:vAlign w:val="bottom"/>
            <w:gridSpan w:val="9"/>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213"/>
        </w:trPr>
        <w:tc>
          <w:tcPr>
            <w:tcW w:w="4080" w:type="dxa"/>
            <w:vAlign w:val="bottom"/>
            <w:vMerge w:val="restart"/>
          </w:tcPr>
          <w:p>
            <w:pPr>
              <w:jc w:val="center"/>
              <w:ind w:left="196"/>
              <w:spacing w:after="0"/>
              <w:rPr>
                <w:sz w:val="20"/>
                <w:szCs w:val="20"/>
                <w:color w:val="auto"/>
              </w:rPr>
            </w:pPr>
            <w:r>
              <w:rPr>
                <w:rFonts w:ascii="Arial" w:cs="Arial" w:eastAsia="Arial" w:hAnsi="Arial"/>
                <w:sz w:val="14"/>
                <w:szCs w:val="14"/>
                <w:b w:val="1"/>
                <w:bCs w:val="1"/>
                <w:color w:val="auto"/>
                <w:w w:val="89"/>
              </w:rPr>
              <w:t>Title of each class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7"/>
              </w:rPr>
              <w:t>Trading</w:t>
            </w:r>
          </w:p>
        </w:tc>
        <w:tc>
          <w:tcPr>
            <w:tcW w:w="4000" w:type="dxa"/>
            <w:vAlign w:val="bottom"/>
            <w:vMerge w:val="restart"/>
          </w:tcPr>
          <w:p>
            <w:pPr>
              <w:jc w:val="center"/>
              <w:ind w:right="1036"/>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1"/>
              </w:rPr>
              <w:t>Symbol(s)</w:t>
            </w:r>
          </w:p>
        </w:tc>
        <w:tc>
          <w:tcPr>
            <w:tcW w:w="4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80" w:type="dxa"/>
            <w:vAlign w:val="bottom"/>
            <w:tcBorders>
              <w:top w:val="single" w:sz="8" w:color="auto"/>
            </w:tcBorders>
          </w:tcPr>
          <w:p>
            <w:pPr>
              <w:jc w:val="center"/>
              <w:ind w:left="196"/>
              <w:spacing w:after="0"/>
              <w:rPr>
                <w:sz w:val="20"/>
                <w:szCs w:val="20"/>
                <w:color w:val="auto"/>
              </w:rPr>
            </w:pPr>
            <w:r>
              <w:rPr>
                <w:rFonts w:ascii="Arial" w:cs="Arial" w:eastAsia="Arial" w:hAnsi="Arial"/>
                <w:sz w:val="16"/>
                <w:szCs w:val="16"/>
                <w:color w:val="auto"/>
                <w:w w:val="90"/>
              </w:rPr>
              <w:t>Common Stock, par value $0.01 per share</w:t>
            </w: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25"/>
              <w:spacing w:after="0"/>
              <w:rPr>
                <w:sz w:val="20"/>
                <w:szCs w:val="20"/>
                <w:color w:val="auto"/>
              </w:rPr>
            </w:pPr>
            <w:r>
              <w:rPr>
                <w:rFonts w:ascii="Arial" w:cs="Arial" w:eastAsia="Arial" w:hAnsi="Arial"/>
                <w:sz w:val="16"/>
                <w:szCs w:val="16"/>
                <w:color w:val="auto"/>
              </w:rPr>
              <w:t>MNKD</w:t>
            </w:r>
          </w:p>
        </w:tc>
        <w:tc>
          <w:tcPr>
            <w:tcW w:w="100" w:type="dxa"/>
            <w:vAlign w:val="bottom"/>
          </w:tcPr>
          <w:p>
            <w:pPr>
              <w:spacing w:after="0"/>
              <w:rPr>
                <w:sz w:val="17"/>
                <w:szCs w:val="17"/>
                <w:color w:val="auto"/>
              </w:rPr>
            </w:pPr>
          </w:p>
        </w:tc>
        <w:tc>
          <w:tcPr>
            <w:tcW w:w="1140" w:type="dxa"/>
            <w:vAlign w:val="bottom"/>
            <w:tcBorders>
              <w:top w:val="single" w:sz="8" w:color="auto"/>
            </w:tcBorders>
            <w:gridSpan w:val="2"/>
          </w:tcPr>
          <w:p>
            <w:pPr>
              <w:spacing w:after="0"/>
              <w:rPr>
                <w:sz w:val="17"/>
                <w:szCs w:val="17"/>
                <w:color w:val="auto"/>
              </w:rPr>
            </w:pPr>
          </w:p>
        </w:tc>
        <w:tc>
          <w:tcPr>
            <w:tcW w:w="4000" w:type="dxa"/>
            <w:vAlign w:val="bottom"/>
            <w:tcBorders>
              <w:top w:val="single" w:sz="8" w:color="auto"/>
            </w:tcBorders>
          </w:tcPr>
          <w:p>
            <w:pPr>
              <w:jc w:val="center"/>
              <w:ind w:right="103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2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2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60" w:type="dxa"/>
            <w:vAlign w:val="bottom"/>
          </w:tcPr>
          <w:p>
            <w:pPr>
              <w:ind w:left="32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42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16, 2019, there were 189,616,126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202565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064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640" w:type="dxa"/>
            <w:vAlign w:val="bottom"/>
            <w:gridSpan w:val="21"/>
            <w:vMerge w:val="continue"/>
          </w:tcPr>
          <w:p>
            <w:pPr>
              <w:spacing w:after="0"/>
              <w:rPr>
                <w:sz w:val="14"/>
                <w:szCs w:val="14"/>
                <w:color w:val="auto"/>
              </w:rPr>
            </w:pPr>
          </w:p>
        </w:tc>
        <w:tc>
          <w:tcPr>
            <w:tcW w:w="6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June 30, 2019 and December 31, 2018</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six months ended June 30, 2019 and 2018</w:t>
              </w:r>
            </w:hyperlink>
          </w:p>
        </w:tc>
        <w:tc>
          <w:tcPr>
            <w:tcW w:w="3080" w:type="dxa"/>
            <w:vAlign w:val="bottom"/>
            <w:gridSpan w:val="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2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Three and six months ended June 30, 2019 and 2018</w:t>
              </w:r>
            </w:hyperlink>
          </w:p>
        </w:tc>
        <w:tc>
          <w:tcPr>
            <w:tcW w:w="2360" w:type="dxa"/>
            <w:vAlign w:val="bottom"/>
            <w:gridSpan w:val="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Deficit: Three and six months ended June 30, 2019 and 2018</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3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Six months ended June 30, 2019 and 2018</w:t>
              </w:r>
            </w:hyperlink>
          </w:p>
        </w:tc>
        <w:tc>
          <w:tcPr>
            <w:tcW w:w="234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3780" w:type="dxa"/>
            <w:vAlign w:val="bottom"/>
            <w:gridSpan w:val="5"/>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20" w:type="dxa"/>
            <w:vAlign w:val="bottom"/>
            <w:gridSpan w:val="4"/>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4. Controls and Procedures</w:t>
              </w:r>
            </w:hyperlink>
          </w:p>
        </w:tc>
        <w:tc>
          <w:tcPr>
            <w:tcW w:w="8280" w:type="dxa"/>
            <w:vAlign w:val="bottom"/>
            <w:gridSpan w:val="1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60" w:type="dxa"/>
            <w:vAlign w:val="bottom"/>
            <w:gridSpan w:val="12"/>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1A. Risk Factors</w:t>
              </w:r>
            </w:hyperlink>
          </w:p>
        </w:tc>
        <w:tc>
          <w:tcPr>
            <w:tcW w:w="9040" w:type="dxa"/>
            <w:vAlign w:val="bottom"/>
            <w:gridSpan w:val="17"/>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Item 2. Unregistered Sales of Equity Securities and Use of Proceeds</w:t>
              </w:r>
            </w:hyperlink>
          </w:p>
        </w:tc>
        <w:tc>
          <w:tcPr>
            <w:tcW w:w="5720" w:type="dxa"/>
            <w:vAlign w:val="bottom"/>
            <w:gridSpan w:val="8"/>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3. Defaults Upon Senior Securities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Item 4. Mine Safety Disclosures</w:t>
              </w:r>
            </w:hyperlink>
          </w:p>
        </w:tc>
        <w:tc>
          <w:tcPr>
            <w:tcW w:w="560" w:type="dxa"/>
            <w:vAlign w:val="bottom"/>
            <w:tcBorders>
              <w:top w:val="single" w:sz="8" w:color="0000EE"/>
            </w:tcBorders>
            <w:gridSpan w:val="3"/>
          </w:tcPr>
          <w:p>
            <w:pPr>
              <w:spacing w:after="0"/>
              <w:rPr>
                <w:sz w:val="17"/>
                <w:szCs w:val="17"/>
                <w:color w:val="auto"/>
              </w:rPr>
            </w:pPr>
          </w:p>
        </w:tc>
        <w:tc>
          <w:tcPr>
            <w:tcW w:w="7740" w:type="dxa"/>
            <w:vAlign w:val="bottom"/>
            <w:gridSpan w:val="11"/>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5. Other Information</w:t>
              </w:r>
            </w:hyperlink>
          </w:p>
        </w:tc>
        <w:tc>
          <w:tcPr>
            <w:tcW w:w="8760" w:type="dxa"/>
            <w:vAlign w:val="bottom"/>
            <w:gridSpan w:val="16"/>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6. Exhibits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SIGNATURES</w:t>
              </w:r>
            </w:hyperlink>
          </w:p>
        </w:tc>
        <w:tc>
          <w:tcPr>
            <w:tcW w:w="9480" w:type="dxa"/>
            <w:vAlign w:val="bottom"/>
            <w:gridSpan w:val="18"/>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669"/>
        </w:trPr>
        <w:tc>
          <w:tcPr>
            <w:tcW w:w="100" w:type="dxa"/>
            <w:vAlign w:val="bottom"/>
            <w:gridSpan w:val="2"/>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700" w:type="dxa"/>
            <w:vAlign w:val="bottom"/>
            <w:gridSpan w:val="13"/>
          </w:tcPr>
          <w:p>
            <w:pPr>
              <w:jc w:val="right"/>
              <w:ind w:right="12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2018</w:t>
            </w:r>
          </w:p>
        </w:tc>
      </w:tr>
      <w:tr>
        <w:trPr>
          <w:trHeight w:val="223"/>
        </w:trPr>
        <w:tc>
          <w:tcPr>
            <w:tcW w:w="6820" w:type="dxa"/>
            <w:vAlign w:val="bottom"/>
            <w:tcBorders>
              <w:top w:val="single" w:sz="8" w:color="CFF0FC"/>
            </w:tcBorders>
            <w:shd w:val="clear" w:color="auto" w:fill="CFF0FC"/>
          </w:tcPr>
          <w:p>
            <w:pPr>
              <w:ind w:left="3480"/>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81,854</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27,146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25,602</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Right-of-use and other assets</w:t>
            </w:r>
          </w:p>
        </w:tc>
        <w:tc>
          <w:tcPr>
            <w:tcW w:w="1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r>
      <w:tr>
        <w:trPr>
          <w:trHeight w:val="263"/>
        </w:trPr>
        <w:tc>
          <w:tcPr>
            <w:tcW w:w="6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107,705</w:t>
            </w:r>
          </w:p>
        </w:tc>
        <w:tc>
          <w:tcPr>
            <w:tcW w:w="100" w:type="dxa"/>
            <w:vAlign w:val="bottom"/>
            <w:tcBorders>
              <w:bottom w:val="single" w:sz="8" w:color="CFF0FC"/>
            </w:tcBorders>
          </w:tcPr>
          <w:p>
            <w:pPr>
              <w:spacing w:after="0"/>
              <w:rPr>
                <w:sz w:val="22"/>
                <w:szCs w:val="22"/>
                <w:color w:val="auto"/>
              </w:rPr>
            </w:pPr>
          </w:p>
        </w:tc>
      </w:tr>
      <w:tr>
        <w:trPr>
          <w:trHeight w:val="210"/>
        </w:trPr>
        <w:tc>
          <w:tcPr>
            <w:tcW w:w="6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20" w:type="dxa"/>
            <w:vAlign w:val="bottom"/>
          </w:tcPr>
          <w:p>
            <w:pPr>
              <w:ind w:left="1860"/>
              <w:spacing w:after="0"/>
              <w:rPr>
                <w:sz w:val="20"/>
                <w:szCs w:val="20"/>
                <w:color w:val="auto"/>
              </w:rPr>
            </w:pPr>
            <w:r>
              <w:rPr>
                <w:rFonts w:ascii="Arial" w:cs="Arial" w:eastAsia="Arial" w:hAnsi="Arial"/>
                <w:sz w:val="18"/>
                <w:szCs w:val="18"/>
                <w:b w:val="1"/>
                <w:bCs w:val="1"/>
                <w:color w:val="auto"/>
              </w:rPr>
              <w:t>LIABILITIES AND STOCKHOLDERS' DEFICIT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7,533</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15,022</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Facility financing obligation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36,885</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75,241</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19,099</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Note payable to related party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72,089</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Accrued interest - note payable to related party</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91,642</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Deferred revenue - long term</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Milestone rights liability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7,201</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277,794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Common stock, $0.01 par value - 280,000,000 shares authorized,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tcPr>
          <w:p>
            <w:pPr>
              <w:ind w:left="140"/>
              <w:spacing w:after="0"/>
              <w:rPr>
                <w:sz w:val="20"/>
                <w:szCs w:val="20"/>
                <w:color w:val="auto"/>
              </w:rPr>
            </w:pPr>
            <w:r>
              <w:rPr>
                <w:rFonts w:ascii="Arial" w:cs="Arial" w:eastAsia="Arial" w:hAnsi="Arial"/>
                <w:sz w:val="18"/>
                <w:szCs w:val="18"/>
                <w:color w:val="auto"/>
              </w:rPr>
              <w:t>189,447,055 and 187,029,967 shares issued and outstanding at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June 30, 2019 and December 31, 2018, respectively</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2,769,396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2,763,067</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(2,967,270)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(2,940,000)</w:t>
            </w:r>
          </w:p>
        </w:tc>
      </w:tr>
      <w:tr>
        <w:trPr>
          <w:trHeight w:val="223"/>
        </w:trPr>
        <w:tc>
          <w:tcPr>
            <w:tcW w:w="6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10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(195,999)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(175,082)</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81,795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6,065</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3,753</w:t>
            </w:r>
          </w:p>
        </w:tc>
        <w:tc>
          <w:tcPr>
            <w:tcW w:w="16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11,141</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Revenue - other</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42,282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(688)</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56,916</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Interest expense on notes</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 payable to related party</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(2,189)</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Gain (loss) on extinguishment of debt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vMerge w:val="continue"/>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140,054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187,744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4"/>
                <w:szCs w:val="14"/>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9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(53,060)</w:t>
            </w:r>
          </w:p>
        </w:tc>
        <w:tc>
          <w:tcPr>
            <w:tcW w:w="12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(53,060)</w:t>
            </w: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right"/>
              <w:ind w:right="460"/>
              <w:spacing w:after="0" w:line="135" w:lineRule="exact"/>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540"/>
              <w:spacing w:after="0" w:line="143"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340"/>
              <w:spacing w:after="0" w:line="143" w:lineRule="exact"/>
              <w:rPr>
                <w:sz w:val="20"/>
                <w:szCs w:val="20"/>
                <w:color w:val="auto"/>
              </w:rPr>
            </w:pPr>
            <w:r>
              <w:rPr>
                <w:rFonts w:ascii="Arial" w:cs="Arial" w:eastAsia="Arial" w:hAnsi="Arial"/>
                <w:sz w:val="13"/>
                <w:szCs w:val="13"/>
                <w:b w:val="1"/>
                <w:bCs w:val="1"/>
                <w:color w:val="auto"/>
                <w:w w:val="78"/>
              </w:rPr>
              <w:t>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80"/>
              <w:spacing w:after="0" w:line="143"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520"/>
              <w:spacing w:after="0" w:line="143" w:lineRule="exact"/>
              <w:rPr>
                <w:sz w:val="20"/>
                <w:szCs w:val="20"/>
                <w:color w:val="auto"/>
              </w:rPr>
            </w:pPr>
            <w:r>
              <w:rPr>
                <w:rFonts w:ascii="Arial" w:cs="Arial" w:eastAsia="Arial" w:hAnsi="Arial"/>
                <w:sz w:val="13"/>
                <w:szCs w:val="13"/>
                <w:b w:val="1"/>
                <w:bCs w:val="1"/>
                <w:color w:val="auto"/>
              </w:rPr>
              <w:t>Total</w:t>
            </w:r>
          </w:p>
        </w:tc>
      </w:tr>
      <w:tr>
        <w:trPr>
          <w:trHeight w:val="142"/>
        </w:trPr>
        <w:tc>
          <w:tcPr>
            <w:tcW w:w="378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3"/>
                <w:szCs w:val="13"/>
                <w:color w:val="auto"/>
              </w:rPr>
              <w:t>BALANCE, JANUARY 1, 2018</w:t>
            </w:r>
          </w:p>
        </w:tc>
        <w:tc>
          <w:tcPr>
            <w:tcW w:w="1060" w:type="dxa"/>
            <w:vAlign w:val="bottom"/>
            <w:tcBorders>
              <w:top w:val="single" w:sz="8" w:color="auto"/>
            </w:tcBorders>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119,053</w:t>
            </w: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1,191</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2,638,992</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(18)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gridSpan w:val="2"/>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(2,854,898)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gridSpan w:val="3"/>
            <w:shd w:val="clear" w:color="auto" w:fill="CFF0FC"/>
          </w:tcPr>
          <w:p>
            <w:pPr>
              <w:jc w:val="right"/>
              <w:ind w:right="154"/>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(214,733)</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Adjustment to adopt ASU 2016-09</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1,873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1,873</w:t>
            </w:r>
          </w:p>
        </w:tc>
        <w:tc>
          <w:tcPr>
            <w:tcW w:w="100" w:type="dxa"/>
            <w:vAlign w:val="bottom"/>
          </w:tcPr>
          <w:p>
            <w:pPr>
              <w:spacing w:after="0"/>
              <w:rPr>
                <w:sz w:val="12"/>
                <w:szCs w:val="12"/>
                <w:color w:val="auto"/>
              </w:rPr>
            </w:pPr>
          </w:p>
        </w:tc>
      </w:tr>
      <w:tr>
        <w:trPr>
          <w:trHeight w:val="134"/>
        </w:trPr>
        <w:tc>
          <w:tcPr>
            <w:tcW w:w="3780" w:type="dxa"/>
            <w:vAlign w:val="bottom"/>
            <w:gridSpan w:val="2"/>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shares from the release of restricted</w:t>
            </w: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stock units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(82)</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(81)</w:t>
            </w:r>
          </w:p>
        </w:tc>
      </w:tr>
      <w:tr>
        <w:trPr>
          <w:trHeight w:val="134"/>
        </w:trPr>
        <w:tc>
          <w:tcPr>
            <w:tcW w:w="378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Issuance of common shares under Employee Stock</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Purchase Plan</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1,943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w:t>
            </w:r>
          </w:p>
        </w:tc>
        <w:tc>
          <w:tcPr>
            <w:tcW w:w="100" w:type="dxa"/>
            <w:vAlign w:val="bottom"/>
            <w:shd w:val="clear" w:color="auto" w:fill="CFF0FC"/>
          </w:tcPr>
          <w:p>
            <w:pPr>
              <w:spacing w:after="0"/>
              <w:rPr>
                <w:sz w:val="12"/>
                <w:szCs w:val="12"/>
                <w:color w:val="auto"/>
              </w:rPr>
            </w:pPr>
          </w:p>
        </w:tc>
      </w:tr>
      <w:tr>
        <w:trPr>
          <w:trHeight w:val="134"/>
        </w:trPr>
        <w:tc>
          <w:tcPr>
            <w:tcW w:w="378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Issuance of shares pursuant to conversion of Facility</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Financing Obligation</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3,549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9,372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9,407</w:t>
            </w:r>
          </w:p>
        </w:tc>
        <w:tc>
          <w:tcPr>
            <w:tcW w:w="100" w:type="dxa"/>
            <w:vAlign w:val="bottom"/>
          </w:tcPr>
          <w:p>
            <w:pPr>
              <w:spacing w:after="0"/>
              <w:rPr>
                <w:sz w:val="12"/>
                <w:szCs w:val="12"/>
                <w:color w:val="auto"/>
              </w:rPr>
            </w:pPr>
          </w:p>
        </w:tc>
      </w:tr>
      <w:tr>
        <w:trPr>
          <w:trHeight w:val="134"/>
        </w:trPr>
        <w:tc>
          <w:tcPr>
            <w:tcW w:w="3780" w:type="dxa"/>
            <w:vAlign w:val="bottom"/>
            <w:gridSpan w:val="2"/>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shares pursuant to conversion of Related</w:t>
            </w: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Party Notes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8,130</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8,160</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Cumulative translation gain</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Amortization of shelf fees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(5)</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w:t>
            </w: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Issuance of at-the-market placement</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214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632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2"/>
                <w:szCs w:val="12"/>
                <w:color w:val="auto"/>
              </w:rPr>
            </w:pP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Issuance costs associated with at-the-market placement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(25)</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w:t>
            </w: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3"/>
                <w:szCs w:val="13"/>
                <w:color w:val="auto"/>
              </w:rPr>
              <w:t>(30,385)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(30,385)</w:t>
            </w:r>
          </w:p>
        </w:tc>
      </w:tr>
      <w:tr>
        <w:trPr>
          <w:trHeight w:val="142"/>
        </w:trPr>
        <w:tc>
          <w:tcPr>
            <w:tcW w:w="378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3"/>
                <w:szCs w:val="13"/>
                <w:color w:val="auto"/>
              </w:rPr>
              <w:t>BALANCE, MARCH 31, 2018</w:t>
            </w:r>
          </w:p>
        </w:tc>
        <w:tc>
          <w:tcPr>
            <w:tcW w:w="1060" w:type="dxa"/>
            <w:vAlign w:val="bottom"/>
            <w:tcBorders>
              <w:top w:val="single" w:sz="8" w:color="auto"/>
              <w:bottom w:val="single" w:sz="8" w:color="auto"/>
            </w:tcBorders>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126,013</w:t>
            </w: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1,260</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2,658,957</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(15)</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(2,883,410)</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gridSpan w:val="3"/>
            <w:shd w:val="clear" w:color="auto" w:fill="CFF0FC"/>
          </w:tcPr>
          <w:p>
            <w:pPr>
              <w:jc w:val="right"/>
              <w:ind w:right="154"/>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(223,208)</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780" w:type="dxa"/>
            <w:vAlign w:val="bottom"/>
            <w:gridSpan w:val="2"/>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shares from the release of restricted</w:t>
            </w: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stock units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108</w:t>
            </w:r>
          </w:p>
        </w:tc>
        <w:tc>
          <w:tcPr>
            <w:tcW w:w="420" w:type="dxa"/>
            <w:vAlign w:val="bottom"/>
            <w:gridSpan w:val="3"/>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60" w:type="dxa"/>
            <w:vAlign w:val="bottom"/>
            <w:gridSpan w:val="3"/>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(105)</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4"/>
            <w:shd w:val="clear" w:color="auto" w:fill="CFF0FC"/>
          </w:tcPr>
          <w:p>
            <w:pPr>
              <w:jc w:val="right"/>
              <w:ind w:right="154"/>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(104)</w:t>
            </w: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Exercise of Stock Options</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2,209</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2,209</w:t>
            </w:r>
          </w:p>
        </w:tc>
        <w:tc>
          <w:tcPr>
            <w:tcW w:w="100" w:type="dxa"/>
            <w:vAlign w:val="bottom"/>
            <w:shd w:val="clear" w:color="auto" w:fill="CFF0FC"/>
          </w:tcPr>
          <w:p>
            <w:pPr>
              <w:spacing w:after="0"/>
              <w:rPr>
                <w:sz w:val="12"/>
                <w:szCs w:val="12"/>
                <w:color w:val="auto"/>
              </w:rPr>
            </w:pPr>
          </w:p>
        </w:tc>
      </w:tr>
      <w:tr>
        <w:trPr>
          <w:trHeight w:val="134"/>
        </w:trPr>
        <w:tc>
          <w:tcPr>
            <w:tcW w:w="378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Issuance of shares pursuant to conversion of Facility</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Financing Obligation</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3,061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5,969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6,000</w:t>
            </w:r>
          </w:p>
        </w:tc>
        <w:tc>
          <w:tcPr>
            <w:tcW w:w="100" w:type="dxa"/>
            <w:vAlign w:val="bottom"/>
          </w:tcPr>
          <w:p>
            <w:pPr>
              <w:spacing w:after="0"/>
              <w:rPr>
                <w:sz w:val="12"/>
                <w:szCs w:val="12"/>
                <w:color w:val="auto"/>
              </w:rPr>
            </w:pPr>
          </w:p>
        </w:tc>
      </w:tr>
      <w:tr>
        <w:trPr>
          <w:trHeight w:val="134"/>
        </w:trPr>
        <w:tc>
          <w:tcPr>
            <w:tcW w:w="3780" w:type="dxa"/>
            <w:vAlign w:val="bottom"/>
            <w:gridSpan w:val="2"/>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shares pursuant to conversion of Senior</w:t>
            </w: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Convertible Notes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2,250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4,420</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4,442</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Cumulative translation loss</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Amortization of shelf fees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(7)</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w:t>
            </w:r>
          </w:p>
        </w:tc>
      </w:tr>
      <w:tr>
        <w:trPr>
          <w:trHeight w:val="134"/>
        </w:trPr>
        <w:tc>
          <w:tcPr>
            <w:tcW w:w="378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Issuance of shares under Market Price Stock</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Purchase Plan</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184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333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2"/>
                <w:szCs w:val="12"/>
                <w:color w:val="auto"/>
              </w:rPr>
            </w:pP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Issuance of direct placement — common stock</w:t>
            </w: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27,860</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27,860</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Issuance costs associated with direct placement</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14,000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140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3"/>
                <w:szCs w:val="13"/>
                <w:color w:val="auto"/>
              </w:rPr>
              <w:t>(1,610)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(1,470)</w:t>
            </w: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(22,675)</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(22,675)</w:t>
            </w:r>
          </w:p>
        </w:tc>
      </w:tr>
      <w:tr>
        <w:trPr>
          <w:trHeight w:val="142"/>
        </w:trPr>
        <w:tc>
          <w:tcPr>
            <w:tcW w:w="3780" w:type="dxa"/>
            <w:vAlign w:val="bottom"/>
            <w:gridSpan w:val="2"/>
          </w:tcPr>
          <w:p>
            <w:pPr>
              <w:spacing w:after="0" w:line="143" w:lineRule="exact"/>
              <w:rPr>
                <w:sz w:val="20"/>
                <w:szCs w:val="20"/>
                <w:color w:val="auto"/>
              </w:rPr>
            </w:pPr>
            <w:r>
              <w:rPr>
                <w:rFonts w:ascii="Arial" w:cs="Arial" w:eastAsia="Arial" w:hAnsi="Arial"/>
                <w:sz w:val="13"/>
                <w:szCs w:val="13"/>
                <w:color w:val="auto"/>
              </w:rPr>
              <w:t>BALANCE, JUNE 30, 2018</w:t>
            </w:r>
          </w:p>
        </w:tc>
        <w:tc>
          <w:tcPr>
            <w:tcW w:w="1060" w:type="dxa"/>
            <w:vAlign w:val="bottom"/>
            <w:tcBorders>
              <w:top w:val="single" w:sz="8" w:color="auto"/>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color w:val="auto"/>
              </w:rPr>
              <w:t>145,619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1,456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2,698,028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(18)</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(2,906,085)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gridSpan w:val="3"/>
          </w:tcPr>
          <w:p>
            <w:pPr>
              <w:jc w:val="right"/>
              <w:ind w:right="154"/>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(206,619)</w:t>
            </w:r>
          </w:p>
        </w:tc>
        <w:tc>
          <w:tcPr>
            <w:tcW w:w="100" w:type="dxa"/>
            <w:vAlign w:val="bottom"/>
          </w:tcPr>
          <w:p>
            <w:pPr>
              <w:spacing w:after="0"/>
              <w:rPr>
                <w:sz w:val="12"/>
                <w:szCs w:val="12"/>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0"/>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right"/>
              <w:ind w:right="520"/>
              <w:spacing w:after="0" w:line="135" w:lineRule="exact"/>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Common Stock</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3"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7"/>
              <w:spacing w:after="0" w:line="143"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600"/>
              <w:spacing w:after="0" w:line="143"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380"/>
              <w:spacing w:after="0" w:line="143" w:lineRule="exact"/>
              <w:rPr>
                <w:sz w:val="20"/>
                <w:szCs w:val="20"/>
                <w:color w:val="auto"/>
              </w:rPr>
            </w:pPr>
            <w:r>
              <w:rPr>
                <w:rFonts w:ascii="Arial" w:cs="Arial" w:eastAsia="Arial" w:hAnsi="Arial"/>
                <w:sz w:val="13"/>
                <w:szCs w:val="13"/>
                <w:b w:val="1"/>
                <w:bCs w:val="1"/>
                <w:color w:val="auto"/>
                <w:w w:val="78"/>
              </w:rPr>
              <w:t>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80"/>
              <w:spacing w:after="0" w:line="143"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500"/>
              <w:spacing w:after="0" w:line="143" w:lineRule="exact"/>
              <w:rPr>
                <w:sz w:val="20"/>
                <w:szCs w:val="20"/>
                <w:color w:val="auto"/>
              </w:rPr>
            </w:pPr>
            <w:r>
              <w:rPr>
                <w:rFonts w:ascii="Arial" w:cs="Arial" w:eastAsia="Arial" w:hAnsi="Arial"/>
                <w:sz w:val="13"/>
                <w:szCs w:val="13"/>
                <w:b w:val="1"/>
                <w:bCs w:val="1"/>
                <w:color w:val="auto"/>
              </w:rPr>
              <w:t>Total</w:t>
            </w:r>
          </w:p>
        </w:tc>
      </w:tr>
      <w:tr>
        <w:trPr>
          <w:trHeight w:val="142"/>
        </w:trPr>
        <w:tc>
          <w:tcPr>
            <w:tcW w:w="36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JANUARY 1, 2019</w:t>
            </w:r>
          </w:p>
        </w:tc>
        <w:tc>
          <w:tcPr>
            <w:tcW w:w="10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187,030</w:t>
            </w: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1,870</w:t>
            </w: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gridSpan w:val="2"/>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2,763,067</w:t>
            </w:r>
          </w:p>
        </w:tc>
        <w:tc>
          <w:tcPr>
            <w:tcW w:w="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(19)</w:t>
            </w:r>
          </w:p>
        </w:tc>
        <w:tc>
          <w:tcPr>
            <w:tcW w:w="280" w:type="dxa"/>
            <w:vAlign w:val="bottom"/>
            <w:tcBorders>
              <w:top w:val="single" w:sz="8" w:color="CFF0FC"/>
            </w:tcBorders>
            <w:gridSpan w:val="2"/>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(2,940,000)</w:t>
            </w:r>
          </w:p>
        </w:tc>
        <w:tc>
          <w:tcPr>
            <w:tcW w:w="160" w:type="dxa"/>
            <w:vAlign w:val="bottom"/>
            <w:tcBorders>
              <w:top w:val="single" w:sz="8" w:color="CFF0FC"/>
            </w:tcBorders>
            <w:gridSpan w:val="2"/>
            <w:shd w:val="clear" w:color="auto" w:fill="CFF0FC"/>
          </w:tcPr>
          <w:p>
            <w:pPr>
              <w:spacing w:after="0"/>
              <w:rPr>
                <w:sz w:val="12"/>
                <w:szCs w:val="12"/>
                <w:color w:val="auto"/>
              </w:rPr>
            </w:pPr>
          </w:p>
        </w:tc>
        <w:tc>
          <w:tcPr>
            <w:tcW w:w="160" w:type="dxa"/>
            <w:vAlign w:val="bottom"/>
            <w:tcBorders>
              <w:top w:val="single" w:sz="8" w:color="CFF0FC"/>
            </w:tcBorders>
            <w:gridSpan w:val="3"/>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1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(175,082)</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r>
      <w:tr>
        <w:trPr>
          <w:trHeight w:val="134"/>
        </w:trPr>
        <w:tc>
          <w:tcPr>
            <w:tcW w:w="3780" w:type="dxa"/>
            <w:vAlign w:val="bottom"/>
            <w:gridSpan w:val="2"/>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shares from the release of restricted</w:t>
            </w: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w:t>
            </w:r>
          </w:p>
        </w:tc>
      </w:tr>
      <w:tr>
        <w:trPr>
          <w:trHeight w:val="134"/>
        </w:trPr>
        <w:tc>
          <w:tcPr>
            <w:tcW w:w="378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Issuance of common shares under Employee Stock</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Purchase Plan</w:t>
            </w:r>
          </w:p>
        </w:tc>
        <w:tc>
          <w:tcPr>
            <w:tcW w:w="920" w:type="dxa"/>
            <w:vAlign w:val="bottom"/>
          </w:tcPr>
          <w:p>
            <w:pPr>
              <w:jc w:val="right"/>
              <w:spacing w:after="0"/>
              <w:rPr>
                <w:sz w:val="20"/>
                <w:szCs w:val="20"/>
                <w:color w:val="auto"/>
              </w:rPr>
            </w:pPr>
            <w:r>
              <w:rPr>
                <w:rFonts w:ascii="Arial" w:cs="Arial" w:eastAsia="Arial" w:hAnsi="Arial"/>
                <w:sz w:val="13"/>
                <w:szCs w:val="13"/>
                <w:color w:val="auto"/>
              </w:rPr>
              <w:t>296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2"/>
                <w:szCs w:val="12"/>
                <w:color w:val="auto"/>
              </w:rPr>
            </w:pP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1,104</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1,104</w:t>
            </w:r>
          </w:p>
        </w:tc>
        <w:tc>
          <w:tcPr>
            <w:tcW w:w="100" w:type="dxa"/>
            <w:vAlign w:val="bottom"/>
            <w:shd w:val="clear" w:color="auto" w:fill="CFF0FC"/>
          </w:tcPr>
          <w:p>
            <w:pPr>
              <w:spacing w:after="0"/>
              <w:rPr>
                <w:sz w:val="12"/>
                <w:szCs w:val="12"/>
                <w:color w:val="auto"/>
              </w:rPr>
            </w:pPr>
          </w:p>
        </w:tc>
      </w:tr>
      <w:tr>
        <w:trPr>
          <w:trHeight w:val="134"/>
        </w:trPr>
        <w:tc>
          <w:tcPr>
            <w:tcW w:w="378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Issuance of shares pursuant to conversion of Senior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Convertible Notes</w:t>
            </w:r>
          </w:p>
        </w:tc>
        <w:tc>
          <w:tcPr>
            <w:tcW w:w="920" w:type="dxa"/>
            <w:vAlign w:val="bottom"/>
          </w:tcPr>
          <w:p>
            <w:pPr>
              <w:jc w:val="right"/>
              <w:spacing w:after="0"/>
              <w:rPr>
                <w:sz w:val="20"/>
                <w:szCs w:val="20"/>
                <w:color w:val="auto"/>
              </w:rPr>
            </w:pPr>
            <w:r>
              <w:rPr>
                <w:rFonts w:ascii="Arial" w:cs="Arial" w:eastAsia="Arial" w:hAnsi="Arial"/>
                <w:sz w:val="13"/>
                <w:szCs w:val="13"/>
                <w:color w:val="auto"/>
              </w:rPr>
              <w:t>386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2"/>
                <w:szCs w:val="12"/>
                <w:color w:val="auto"/>
              </w:rPr>
            </w:pP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(14,883)</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(14,883)</w:t>
            </w:r>
          </w:p>
        </w:tc>
      </w:tr>
      <w:tr>
        <w:trPr>
          <w:trHeight w:val="142"/>
        </w:trPr>
        <w:tc>
          <w:tcPr>
            <w:tcW w:w="368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BALANCE, MARCH 31, 2019</w:t>
            </w: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187,778</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1,878</w:t>
            </w: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7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2,765,020</w:t>
            </w:r>
          </w:p>
        </w:tc>
        <w:tc>
          <w:tcPr>
            <w:tcW w:w="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w:t>
            </w:r>
          </w:p>
        </w:tc>
        <w:tc>
          <w:tcPr>
            <w:tcW w:w="280" w:type="dxa"/>
            <w:vAlign w:val="bottom"/>
            <w:tcBorders>
              <w:bottom w:val="single" w:sz="8" w:color="CFF0FC"/>
            </w:tcBorders>
            <w:gridSpan w:val="2"/>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(2,954,883)</w:t>
            </w:r>
          </w:p>
        </w:tc>
        <w:tc>
          <w:tcPr>
            <w:tcW w:w="160" w:type="dxa"/>
            <w:vAlign w:val="bottom"/>
            <w:tcBorders>
              <w:bottom w:val="single" w:sz="8" w:color="CFF0FC"/>
            </w:tcBorders>
            <w:gridSpan w:val="2"/>
          </w:tcPr>
          <w:p>
            <w:pPr>
              <w:spacing w:after="0"/>
              <w:rPr>
                <w:sz w:val="12"/>
                <w:szCs w:val="12"/>
                <w:color w:val="auto"/>
              </w:rPr>
            </w:pPr>
          </w:p>
        </w:tc>
        <w:tc>
          <w:tcPr>
            <w:tcW w:w="160" w:type="dxa"/>
            <w:vAlign w:val="bottom"/>
            <w:tcBorders>
              <w:bottom w:val="single" w:sz="8" w:color="CFF0FC"/>
            </w:tcBorders>
            <w:gridSpan w:val="3"/>
          </w:tcPr>
          <w:p>
            <w:pPr>
              <w:spacing w:after="0"/>
              <w:rPr>
                <w:sz w:val="12"/>
                <w:szCs w:val="12"/>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(188,004)</w:t>
            </w:r>
          </w:p>
        </w:tc>
        <w:tc>
          <w:tcPr>
            <w:tcW w:w="100" w:type="dxa"/>
            <w:vAlign w:val="bottom"/>
            <w:tcBorders>
              <w:bottom w:val="single" w:sz="8" w:color="CFF0FC"/>
            </w:tcBorders>
          </w:tcPr>
          <w:p>
            <w:pPr>
              <w:spacing w:after="0"/>
              <w:rPr>
                <w:sz w:val="12"/>
                <w:szCs w:val="12"/>
                <w:color w:val="auto"/>
              </w:rPr>
            </w:pPr>
          </w:p>
        </w:tc>
      </w:tr>
      <w:tr>
        <w:trPr>
          <w:trHeight w:val="142"/>
        </w:trPr>
        <w:tc>
          <w:tcPr>
            <w:tcW w:w="3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4"/>
          </w:tcPr>
          <w:p>
            <w:pPr>
              <w:jc w:val="right"/>
              <w:ind w:right="1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r>
      <w:tr>
        <w:trPr>
          <w:trHeight w:val="134"/>
        </w:trPr>
        <w:tc>
          <w:tcPr>
            <w:tcW w:w="3780" w:type="dxa"/>
            <w:vAlign w:val="bottom"/>
            <w:gridSpan w:val="2"/>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shares from the release of restricted</w:t>
            </w: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2,568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2,568</w:t>
            </w:r>
          </w:p>
        </w:tc>
        <w:tc>
          <w:tcPr>
            <w:tcW w:w="100" w:type="dxa"/>
            <w:vAlign w:val="bottom"/>
          </w:tcPr>
          <w:p>
            <w:pPr>
              <w:spacing w:after="0"/>
              <w:rPr>
                <w:sz w:val="12"/>
                <w:szCs w:val="12"/>
                <w:color w:val="auto"/>
              </w:rPr>
            </w:pP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Issuance of at-the-market placement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1,568</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1,835</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1,850</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gridSpan w:val="2"/>
          </w:tcPr>
          <w:p>
            <w:pPr>
              <w:ind w:left="140"/>
              <w:spacing w:after="0"/>
              <w:rPr>
                <w:sz w:val="20"/>
                <w:szCs w:val="20"/>
                <w:color w:val="auto"/>
              </w:rPr>
            </w:pPr>
            <w:r>
              <w:rPr>
                <w:rFonts w:ascii="Arial" w:cs="Arial" w:eastAsia="Arial" w:hAnsi="Arial"/>
                <w:sz w:val="13"/>
                <w:szCs w:val="13"/>
                <w:color w:val="auto"/>
              </w:rPr>
              <w:t>Issuance costs associated with at-the-market placement</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(41)</w:t>
            </w:r>
          </w:p>
        </w:tc>
      </w:tr>
      <w:tr>
        <w:trPr>
          <w:trHeight w:val="149"/>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(12,387)</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(12,387)</w:t>
            </w:r>
          </w:p>
        </w:tc>
      </w:tr>
      <w:tr>
        <w:trPr>
          <w:trHeight w:val="142"/>
        </w:trPr>
        <w:tc>
          <w:tcPr>
            <w:tcW w:w="3680" w:type="dxa"/>
            <w:vAlign w:val="bottom"/>
          </w:tcPr>
          <w:p>
            <w:pPr>
              <w:spacing w:after="0" w:line="143" w:lineRule="exact"/>
              <w:rPr>
                <w:sz w:val="20"/>
                <w:szCs w:val="20"/>
                <w:color w:val="auto"/>
              </w:rPr>
            </w:pPr>
            <w:r>
              <w:rPr>
                <w:rFonts w:ascii="Arial" w:cs="Arial" w:eastAsia="Arial" w:hAnsi="Arial"/>
                <w:sz w:val="13"/>
                <w:szCs w:val="13"/>
                <w:color w:val="auto"/>
              </w:rPr>
              <w:t>BALANCE, JUNE 30, 2019</w:t>
            </w: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189,447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7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2,769,396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w:t>
            </w:r>
          </w:p>
        </w:tc>
        <w:tc>
          <w:tcPr>
            <w:tcW w:w="2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(2,967,270)</w:t>
            </w:r>
          </w:p>
        </w:tc>
        <w:tc>
          <w:tcPr>
            <w:tcW w:w="16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(195,999)</w:t>
            </w:r>
          </w:p>
        </w:tc>
        <w:tc>
          <w:tcPr>
            <w:tcW w:w="100" w:type="dxa"/>
            <w:vAlign w:val="bottom"/>
          </w:tcPr>
          <w:p>
            <w:pPr>
              <w:spacing w:after="0"/>
              <w:rPr>
                <w:sz w:val="12"/>
                <w:szCs w:val="12"/>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Six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608"/>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3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146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238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(27,270)</w:t>
            </w:r>
          </w:p>
        </w:tc>
        <w:tc>
          <w:tcPr>
            <w:tcW w:w="7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(53,060)</w:t>
            </w:r>
          </w:p>
        </w:tc>
        <w:tc>
          <w:tcPr>
            <w:tcW w:w="0" w:type="dxa"/>
            <w:vAlign w:val="bottom"/>
          </w:tcPr>
          <w:p>
            <w:pPr>
              <w:spacing w:after="0"/>
              <w:rPr>
                <w:sz w:val="1"/>
                <w:szCs w:val="1"/>
                <w:color w:val="auto"/>
              </w:rPr>
            </w:pPr>
          </w:p>
        </w:tc>
      </w:tr>
      <w:tr>
        <w:trPr>
          <w:trHeight w:val="143"/>
        </w:trPr>
        <w:tc>
          <w:tcPr>
            <w:tcW w:w="6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loss to net cash (used in) provided by operating</w:t>
            </w:r>
          </w:p>
        </w:tc>
        <w:tc>
          <w:tcPr>
            <w:tcW w:w="14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activities:</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500"/>
              <w:spacing w:after="0"/>
              <w:rPr>
                <w:sz w:val="20"/>
                <w:szCs w:val="20"/>
                <w:color w:val="auto"/>
              </w:rPr>
            </w:pPr>
            <w:r>
              <w:rPr>
                <w:rFonts w:ascii="Arial" w:cs="Arial" w:eastAsia="Arial" w:hAnsi="Arial"/>
                <w:sz w:val="14"/>
                <w:szCs w:val="14"/>
                <w:color w:val="auto"/>
              </w:rPr>
              <w:t>Depreciation, amortization and accretion</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right-of-use assets</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80" w:type="dxa"/>
            <w:vAlign w:val="bottom"/>
          </w:tcPr>
          <w:p>
            <w:pPr>
              <w:ind w:left="500"/>
              <w:spacing w:after="0"/>
              <w:rPr>
                <w:sz w:val="20"/>
                <w:szCs w:val="20"/>
                <w:color w:val="auto"/>
              </w:rPr>
            </w:pPr>
            <w:r>
              <w:rPr>
                <w:rFonts w:ascii="Arial" w:cs="Arial" w:eastAsia="Arial" w:hAnsi="Arial"/>
                <w:sz w:val="14"/>
                <w:szCs w:val="14"/>
                <w:color w:val="auto"/>
              </w:rPr>
              <w:t>Stock-based compensation expense</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extinguishment of debt</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500"/>
              <w:spacing w:after="0"/>
              <w:rPr>
                <w:sz w:val="20"/>
                <w:szCs w:val="20"/>
                <w:color w:val="auto"/>
              </w:rPr>
            </w:pPr>
            <w:r>
              <w:rPr>
                <w:rFonts w:ascii="Arial" w:cs="Arial" w:eastAsia="Arial" w:hAnsi="Arial"/>
                <w:sz w:val="14"/>
                <w:szCs w:val="14"/>
                <w:color w:val="auto"/>
              </w:rPr>
              <w:t>(Gain) Loss on foreign currency translation</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Interest on note payable to related party</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500"/>
              <w:spacing w:after="0"/>
              <w:rPr>
                <w:sz w:val="20"/>
                <w:szCs w:val="20"/>
                <w:color w:val="auto"/>
              </w:rPr>
            </w:pPr>
            <w:r>
              <w:rPr>
                <w:rFonts w:ascii="Arial" w:cs="Arial" w:eastAsia="Arial" w:hAnsi="Arial"/>
                <w:sz w:val="14"/>
                <w:szCs w:val="14"/>
                <w:color w:val="auto"/>
              </w:rPr>
              <w:t>Write-off of inventory</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net</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Accounts receivable, net</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6380" w:type="dxa"/>
            <w:vAlign w:val="bottom"/>
          </w:tcPr>
          <w:p>
            <w:pPr>
              <w:ind w:left="740"/>
              <w:spacing w:after="0"/>
              <w:rPr>
                <w:sz w:val="20"/>
                <w:szCs w:val="20"/>
                <w:color w:val="auto"/>
              </w:rPr>
            </w:pPr>
            <w:r>
              <w:rPr>
                <w:rFonts w:ascii="Arial" w:cs="Arial" w:eastAsia="Arial" w:hAnsi="Arial"/>
                <w:sz w:val="14"/>
                <w:szCs w:val="14"/>
                <w:color w:val="auto"/>
              </w:rPr>
              <w:t>Inventory</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(1,798)</w:t>
            </w: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Prepaid expenses and other current assets</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740"/>
              <w:spacing w:after="0"/>
              <w:rPr>
                <w:sz w:val="20"/>
                <w:szCs w:val="20"/>
                <w:color w:val="auto"/>
              </w:rPr>
            </w:pPr>
            <w:r>
              <w:rPr>
                <w:rFonts w:ascii="Arial" w:cs="Arial" w:eastAsia="Arial" w:hAnsi="Arial"/>
                <w:sz w:val="14"/>
                <w:szCs w:val="14"/>
                <w:color w:val="auto"/>
              </w:rPr>
              <w:t>Right-of-use and other assets</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Accounts payable</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740"/>
              <w:spacing w:after="0"/>
              <w:rPr>
                <w:sz w:val="20"/>
                <w:szCs w:val="20"/>
                <w:color w:val="auto"/>
              </w:rPr>
            </w:pPr>
            <w:r>
              <w:rPr>
                <w:rFonts w:ascii="Arial" w:cs="Arial" w:eastAsia="Arial" w:hAnsi="Arial"/>
                <w:sz w:val="14"/>
                <w:szCs w:val="14"/>
                <w:color w:val="auto"/>
              </w:rPr>
              <w:t>Accrued expenses and other current liabilities</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Deferred revenue</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(6,795)</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740"/>
              <w:spacing w:after="0"/>
              <w:rPr>
                <w:sz w:val="20"/>
                <w:szCs w:val="20"/>
                <w:color w:val="auto"/>
              </w:rPr>
            </w:pPr>
            <w:r>
              <w:rPr>
                <w:rFonts w:ascii="Arial" w:cs="Arial" w:eastAsia="Arial" w:hAnsi="Arial"/>
                <w:sz w:val="14"/>
                <w:szCs w:val="14"/>
                <w:color w:val="auto"/>
              </w:rPr>
              <w:t>Recognized loss on purchase commitments</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(3,984)</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(5,800)</w:t>
            </w: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Operating lease payments</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(699)</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3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Net cash used in operating activities</w:t>
            </w:r>
          </w:p>
        </w:tc>
        <w:tc>
          <w:tcPr>
            <w:tcW w:w="14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(31,325)</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(48,800)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4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Purchase of property and equipment</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short-term investments</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(24,909)</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3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Net cash used in investing activities</w:t>
            </w:r>
          </w:p>
        </w:tc>
        <w:tc>
          <w:tcPr>
            <w:tcW w:w="14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(26,402)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4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Exercise of stock options</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direct placement of common stock</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Issuance cost associated with direct placement</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payments on facility financing obligation</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Payment of employment taxes related to vested restricted stock units</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common stock pursuant to at-the-market issuance</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Issuance cost of at-the-market transactions</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executive stock purchase plan</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Net cash (used) provided by financing activities</w:t>
            </w:r>
          </w:p>
        </w:tc>
        <w:tc>
          <w:tcPr>
            <w:tcW w:w="14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27,150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38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NET DECREASE IN CASH AND CASH EQUIVALENTS AND RESTRICTED</w:t>
            </w:r>
          </w:p>
        </w:tc>
        <w:tc>
          <w:tcPr>
            <w:tcW w:w="14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38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CASH</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(58,400)</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(21,650)</w:t>
            </w:r>
          </w:p>
        </w:tc>
        <w:tc>
          <w:tcPr>
            <w:tcW w:w="0" w:type="dxa"/>
            <w:vAlign w:val="bottom"/>
          </w:tcPr>
          <w:p>
            <w:pPr>
              <w:spacing w:after="0"/>
              <w:rPr>
                <w:sz w:val="1"/>
                <w:szCs w:val="1"/>
                <w:color w:val="auto"/>
              </w:rPr>
            </w:pPr>
          </w:p>
        </w:tc>
      </w:tr>
      <w:tr>
        <w:trPr>
          <w:trHeight w:val="133"/>
        </w:trPr>
        <w:tc>
          <w:tcPr>
            <w:tcW w:w="6380" w:type="dxa"/>
            <w:vAlign w:val="bottom"/>
          </w:tcPr>
          <w:p>
            <w:pPr>
              <w:spacing w:after="0" w:line="133" w:lineRule="exact"/>
              <w:rPr>
                <w:sz w:val="20"/>
                <w:szCs w:val="20"/>
                <w:color w:val="auto"/>
              </w:rPr>
            </w:pPr>
            <w:r>
              <w:rPr>
                <w:rFonts w:ascii="Arial" w:cs="Arial" w:eastAsia="Arial" w:hAnsi="Arial"/>
                <w:sz w:val="14"/>
                <w:szCs w:val="14"/>
                <w:b w:val="1"/>
                <w:bCs w:val="1"/>
                <w:color w:val="auto"/>
              </w:rPr>
              <w:t>CASH AND CASH EQUIVALENTS AND RESTRICTED CASH, BEGINNING</w:t>
            </w:r>
          </w:p>
        </w:tc>
        <w:tc>
          <w:tcPr>
            <w:tcW w:w="14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380" w:type="dxa"/>
            <w:vAlign w:val="bottom"/>
            <w:tcBorders>
              <w:bottom w:val="single" w:sz="8" w:color="CFF0FC"/>
            </w:tcBorders>
          </w:tcPr>
          <w:p>
            <w:pPr>
              <w:ind w:left="120"/>
              <w:spacing w:after="0"/>
              <w:rPr>
                <w:sz w:val="20"/>
                <w:szCs w:val="20"/>
                <w:color w:val="auto"/>
              </w:rPr>
            </w:pPr>
            <w:r>
              <w:rPr>
                <w:rFonts w:ascii="Arial" w:cs="Arial" w:eastAsia="Arial" w:hAnsi="Arial"/>
                <w:sz w:val="14"/>
                <w:szCs w:val="14"/>
                <w:b w:val="1"/>
                <w:bCs w:val="1"/>
                <w:color w:val="auto"/>
              </w:rPr>
              <w:t>OF PERIOD</w:t>
            </w:r>
          </w:p>
        </w:tc>
        <w:tc>
          <w:tcPr>
            <w:tcW w:w="14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71,684</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48,355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38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CASH AND CASH EQUIVALENTS AND RESTRICTED CASH, END OF</w:t>
            </w:r>
          </w:p>
        </w:tc>
        <w:tc>
          <w:tcPr>
            <w:tcW w:w="14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38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PERIOD</w:t>
            </w:r>
          </w:p>
        </w:tc>
        <w:tc>
          <w:tcPr>
            <w:tcW w:w="2380" w:type="dxa"/>
            <w:vAlign w:val="bottom"/>
            <w:gridSpan w:val="2"/>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13,284</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SUPPLEMENTAL CASH FLOWS DISCLOSURES:</w:t>
            </w:r>
          </w:p>
        </w:tc>
        <w:tc>
          <w:tcPr>
            <w:tcW w:w="1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paid in cash, net of amounts capitalized</w:t>
            </w:r>
          </w:p>
        </w:tc>
        <w:tc>
          <w:tcPr>
            <w:tcW w:w="2380" w:type="dxa"/>
            <w:vAlign w:val="bottom"/>
            <w:gridSpan w:val="2"/>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1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note obligations through common stock issuance</w:t>
            </w:r>
          </w:p>
        </w:tc>
        <w:tc>
          <w:tcPr>
            <w:tcW w:w="14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Payment of note payable to related party through common stock issuance</w:t>
            </w:r>
          </w:p>
        </w:tc>
        <w:tc>
          <w:tcPr>
            <w:tcW w:w="1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FF0FC"/>
            </w:tcBorders>
            <w:vMerge w:val="continue"/>
          </w:tcPr>
          <w:p>
            <w:pPr>
              <w:spacing w:after="0"/>
              <w:rPr>
                <w:sz w:val="15"/>
                <w:szCs w:val="15"/>
                <w:color w:val="auto"/>
              </w:rPr>
            </w:pPr>
          </w:p>
        </w:tc>
        <w:tc>
          <w:tcPr>
            <w:tcW w:w="146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76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8,160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38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Accrued but unpaid debt issuance costs</w:t>
            </w:r>
          </w:p>
        </w:tc>
        <w:tc>
          <w:tcPr>
            <w:tcW w:w="14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76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156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260"/>
              <w:spacing w:after="0"/>
              <w:rPr>
                <w:sz w:val="20"/>
                <w:szCs w:val="20"/>
                <w:color w:val="auto"/>
              </w:rPr>
            </w:pPr>
            <w:r>
              <w:rPr>
                <w:rFonts w:ascii="Arial" w:cs="Arial" w:eastAsia="Arial" w:hAnsi="Arial"/>
                <w:sz w:val="14"/>
                <w:szCs w:val="14"/>
                <w:color w:val="auto"/>
              </w:rPr>
              <w:t>Payment of interest on senior convertible notes through common stock issuance</w:t>
            </w: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FF0FC"/>
            </w:tcBorders>
            <w:vMerge w:val="continue"/>
          </w:tcPr>
          <w:p>
            <w:pPr>
              <w:spacing w:after="0"/>
              <w:rPr>
                <w:sz w:val="15"/>
                <w:szCs w:val="15"/>
                <w:color w:val="auto"/>
              </w:rPr>
            </w:pPr>
          </w:p>
        </w:tc>
        <w:tc>
          <w:tcPr>
            <w:tcW w:w="146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76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538</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38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Property and equipment in progress in accounts payable</w:t>
            </w:r>
          </w:p>
        </w:tc>
        <w:tc>
          <w:tcPr>
            <w:tcW w:w="14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76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790</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260"/>
              <w:spacing w:after="0"/>
              <w:rPr>
                <w:sz w:val="20"/>
                <w:szCs w:val="20"/>
                <w:color w:val="auto"/>
              </w:rPr>
            </w:pPr>
            <w:r>
              <w:rPr>
                <w:rFonts w:ascii="Arial" w:cs="Arial" w:eastAsia="Arial" w:hAnsi="Arial"/>
                <w:sz w:val="14"/>
                <w:szCs w:val="14"/>
                <w:color w:val="auto"/>
              </w:rPr>
              <w:t>Common stock issuance to settle employee stock purchase plan liability</w:t>
            </w: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FF0FC"/>
            </w:tcBorders>
            <w:vMerge w:val="continue"/>
          </w:tcPr>
          <w:p>
            <w:pPr>
              <w:spacing w:after="0"/>
              <w:rPr>
                <w:sz w:val="15"/>
                <w:szCs w:val="15"/>
                <w:color w:val="auto"/>
              </w:rPr>
            </w:pPr>
          </w:p>
        </w:tc>
        <w:tc>
          <w:tcPr>
            <w:tcW w:w="146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76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38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Addition of right-of-use assets upon adoption of new lease guidance</w:t>
            </w:r>
          </w:p>
        </w:tc>
        <w:tc>
          <w:tcPr>
            <w:tcW w:w="14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76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5,192</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left="280" w:right="272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2018 filed with the SEC on February 26, 2019 (the “Annual Report”).</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2019 may not be indicative of the results that may be expected for the full year.</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and gross-to-net adjustments, assessing long-lived assets for impairment, inventory costing and recoverability, recognized loss on purchase commitments, milestone rights liability, stock-based compensation and the determination of the provision for income taxes and corresponding deferred tax assets and liabilities and the valuation allowance recorded against net deferred tax assets.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The Company is a biopharmaceutical company focused on the development and commercialization of inhaled therapeutic products for diseases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as diabetes and pulmonary arterial hypertension. The Company’s only approved product, Afrezza (insulin human) Inhalation Powder, is a rapid-acting</w:t>
      </w:r>
    </w:p>
    <w:p>
      <w:pPr>
        <w:spacing w:after="0" w:line="3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specialty sales force.</w:t>
      </w:r>
    </w:p>
    <w:p>
      <w:pPr>
        <w:spacing w:after="0" w:line="17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accompanying condensed consolidated financial statements have been prepared assuming that the Company will continue as a</w:t>
      </w:r>
      <w:r>
        <w:rPr>
          <w:rFonts w:ascii="Arial" w:cs="Arial" w:eastAsia="Arial" w:hAnsi="Arial"/>
          <w:sz w:val="16"/>
          <w:szCs w:val="16"/>
          <w:i w:val="1"/>
          <w:iCs w:val="1"/>
          <w:color w:val="auto"/>
        </w:rPr>
        <w:t xml:space="preserve"> </w:t>
      </w:r>
      <w:r>
        <w:rPr>
          <w:rFonts w:ascii="Arial" w:cs="Arial" w:eastAsia="Arial" w:hAnsi="Arial"/>
          <w:sz w:val="16"/>
          <w:szCs w:val="16"/>
          <w:color w:val="auto"/>
        </w:rPr>
        <w:t>going concern which contemplates the realization of assets and satisfaction of liabilities in the normal course of business. The Company is not currently profitable and has rarely generated positive net cash flow from operations. As of June 30, 2019, the Company had an accumulated deficit of $3.0 billion.</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June 30, 2019, the Company’s capital resources consisted of cash and cash equivalents and restricted cash of $13.3 million and short-term investments of $24.9 million. The Company expects to continue to incur significant expenditures to support commercial manufacturing, sales and marketing of Afrezza, collaboration work and the development of product candidates in the Company’s pipeline. The facility agreement (as amended, the “Facility Agreement” or “Facility Financing Obligation”) with Deerfield Private Design Fund II, L.P. and Deerfield Private Design International II, L.P. (collectively, “Deerfield”) that resulted in the issuance of 9.75% Senior Convertible Notes due 2019 (“2019 notes”) (see Note 7 — Borrowings) as well as 8.75% Senior Convertible Notes (holder “Bruce &amp; Co.”) due 2019 (“Tranche B notes”) which were repaid in full as of May 2019, requires the Company to maintain at least $25.0 million in cash and cash equivalents, including short-term investments, as of the end of each fiscal quarter after December 31, 2018.</w:t>
      </w:r>
    </w:p>
    <w:p>
      <w:pPr>
        <w:spacing w:after="0" w:line="1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June 30, 2019, the Company had $99.2 million principal amount of outstanding borrowings. The Company has entered into certain transactions related to these borrowings that are more fully described in Note 6 — Related-Party Arrangements, and Note 7 – Borrowings.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 w:name="page9"/>
    <w:bookmarkEnd w:id="8"/>
    <w:p>
      <w:pPr>
        <w:spacing w:after="0" w:line="290" w:lineRule="auto"/>
        <w:rPr>
          <w:sz w:val="20"/>
          <w:szCs w:val="20"/>
          <w:color w:val="auto"/>
        </w:rPr>
      </w:pPr>
      <w:r>
        <w:rPr>
          <w:rFonts w:ascii="Arial" w:cs="Arial" w:eastAsia="Arial" w:hAnsi="Arial"/>
          <w:sz w:val="16"/>
          <w:szCs w:val="16"/>
          <w:color w:val="auto"/>
        </w:rPr>
        <w:t>The Company’s currently available cash and financing sources will not be sufficient to continue to meet its current and anticipated cash requirements within one year from the date these financial statements are issued. The Company plans to raise additional capital through a sale of equity or debt securities, strategic business collaboration agreements with other companies,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Successful completion of these plans is dependent on factors outside of the Company’s control. As such, management cannot be certain that such plans will be effectively implemented within one year after the date that the financial statements are issued. These factors raise substantial doubt about the Company’s ability to continue as a going concern.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condensed consolidated financial statements include the accounts of the Company and its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have been eliminated.</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0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The Company adopted Accounting Standards Codification (“ASC”) Topic 606 -</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(“the new</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guidance”), on January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2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up until December 31, 2018, specialty pharmacies and (ii) collaboration arrangements.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These Customers subsequently resell the Company’s products to retail pharmacies and certain medical centers or hospitals. Specialty pharmacies sell directly to patients. In addition to distribution agreements with Customers, the Company enters into arrangements with health care providers and payors that provide for government mandated and/or privately negotiated rebates, chargebacks, and discounts with respect to the purchase of the Company’s products.</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a point in time (based on the terms of the relevant contracts which are at delivery for wholesale distributors and at shipment for specialty pharmacies). Product revenues are recorded net of applicable reserves for variable consideration, including discounts and allowances.</w:t>
      </w:r>
    </w:p>
    <w:p>
      <w:pPr>
        <w:spacing w:after="0" w:line="222"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 xml:space="preserve">Free Goods Program – </w:t>
      </w:r>
      <w:r>
        <w:rPr>
          <w:rFonts w:ascii="Arial" w:cs="Arial" w:eastAsia="Arial" w:hAnsi="Arial"/>
          <w:sz w:val="16"/>
          <w:szCs w:val="16"/>
          <w:color w:val="auto"/>
        </w:rPr>
        <w:t>From time to time, the Company offers programs to potential new patients that allow them to obtain free goods (prescription fills)</w:t>
      </w:r>
      <w:r>
        <w:rPr>
          <w:rFonts w:ascii="Arial" w:cs="Arial" w:eastAsia="Arial" w:hAnsi="Arial"/>
          <w:sz w:val="16"/>
          <w:szCs w:val="16"/>
          <w:i w:val="1"/>
          <w:iCs w:val="1"/>
          <w:color w:val="auto"/>
        </w:rPr>
        <w:t xml:space="preserve"> </w:t>
      </w:r>
      <w:r>
        <w:rPr>
          <w:rFonts w:ascii="Arial" w:cs="Arial" w:eastAsia="Arial" w:hAnsi="Arial"/>
          <w:sz w:val="16"/>
          <w:szCs w:val="16"/>
          <w:color w:val="auto"/>
        </w:rPr>
        <w:t>from a pharmacy. On a net basis, it is not probable that the Company will receive the consideration from these products. Therefore, the Company excludes such amounts from both gross and net revenue. The cost of product associated with the free goods program is included in the cost of goods sold.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ind w:right="160"/>
        <w:spacing w:after="0" w:line="255" w:lineRule="auto"/>
        <w:rPr>
          <w:sz w:val="20"/>
          <w:szCs w:val="20"/>
          <w:color w:val="auto"/>
        </w:rPr>
      </w:pP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 Revenues from product sales are recorded at the net sales price (transaction price), which includes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amounts earned, or to be claimed on the related sales, and result in a reduction of accounts receivable or establishment of a current liability.</w:t>
      </w:r>
    </w:p>
    <w:p>
      <w:pPr>
        <w:spacing w:after="0" w:line="2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analyses also contemplates application of the constraint in accordance with the guidance, under which it determined a material reversal of revenue would not occur in a future period for the estimates detailed below as of June 30, 2019 and, therefore, the transaction price was not reduced further during the six months ended June 30, 2019.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23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Trade Discounts and Allowances </w:t>
      </w:r>
      <w:r>
        <w:rPr>
          <w:rFonts w:ascii="Arial" w:cs="Arial" w:eastAsia="Arial" w:hAnsi="Arial"/>
          <w:sz w:val="17"/>
          <w:szCs w:val="17"/>
          <w:color w:val="auto"/>
        </w:rPr>
        <w:t>— The Company generally provides Customers with discounts which include incentive fees, such as prompt pay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 reduction to accounts receivable, net.</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 Consistent with industry practice, the Company generally offers Customers a right of return for unopened product that has been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rate is estimated to be in the single-digits.</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Provider Chargebacks and Discounts </w:t>
      </w:r>
      <w:r>
        <w:rPr>
          <w:rFonts w:ascii="Arial" w:cs="Arial" w:eastAsia="Arial" w:hAnsi="Arial"/>
          <w:sz w:val="17"/>
          <w:szCs w:val="17"/>
          <w:color w:val="auto"/>
        </w:rPr>
        <w:t>— Chargebacks for fees and discounts to providers represent the estimated obligations resulting from contractual</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 The Company is subject to discount obligations under state Medicaid programs and Medicare. These reserves are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80"/>
        <w:spacing w:after="0" w:line="259" w:lineRule="auto"/>
        <w:rPr>
          <w:sz w:val="20"/>
          <w:szCs w:val="20"/>
          <w:color w:val="auto"/>
        </w:rPr>
      </w:pPr>
      <w:r>
        <w:rPr>
          <w:rFonts w:ascii="Arial" w:cs="Arial" w:eastAsia="Arial" w:hAnsi="Arial"/>
          <w:sz w:val="18"/>
          <w:szCs w:val="18"/>
          <w:i w:val="1"/>
          <w:iCs w:val="1"/>
          <w:color w:val="auto"/>
        </w:rPr>
        <w:t xml:space="preserve">Payor Rebates </w:t>
      </w:r>
      <w:r>
        <w:rPr>
          <w:rFonts w:ascii="Arial" w:cs="Arial" w:eastAsia="Arial" w:hAnsi="Arial"/>
          <w:sz w:val="18"/>
          <w:szCs w:val="18"/>
          <w:color w:val="auto"/>
        </w:rPr>
        <w:t>— The Company contracts with certain private payor organizations, primarily insurance companies and pharmacy benefit managers,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rebates with respect to utilization of its products. The Company estimates these rebates and records such estimates in the same period the related revenue is recognized, resulting in a reduction of product revenue and the establishment of a current liability which is included in accrued expenses and other current liabilities.</w:t>
      </w:r>
    </w:p>
    <w:p>
      <w:pPr>
        <w:spacing w:after="0" w:line="21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Revenue Recognition – Revenue – Collaborations and Services</w:t>
      </w:r>
      <w:r>
        <w:rPr>
          <w:rFonts w:ascii="Arial" w:cs="Arial" w:eastAsia="Arial" w:hAnsi="Arial"/>
          <w:sz w:val="17"/>
          <w:szCs w:val="17"/>
          <w:color w:val="auto"/>
        </w:rPr>
        <w:t>— The Company enters into licensing or research agreements under which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certain rights to its product candidates to third parties or conducting research services to third parties. The terms of these arrangements may include, but are not limited to payment to the Company of one or more of the following: nonrefundable,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8 — Collaborations and Licensing Arrangements.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Company’s collaboration agreements typically entitle the Company to additional payments upon the achievement of development, regulatory approval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collaborative agreements, for accounting purposes, represent contracts with customers and therefore are not subject to accounting literature on collaborative agreements. The Company grants to collaboration partners licenses to its intellectual property, supplies bulk fumaryl diketopiperazine (“FDKP”) and provides research and development services,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 w:name="page12"/>
    <w:bookmarkEnd w:id="11"/>
    <w:p>
      <w:pPr>
        <w:ind w:right="20"/>
        <w:spacing w:after="0" w:line="255"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 milestones</w:t>
      </w:r>
      <w:r>
        <w:rPr>
          <w:rFonts w:ascii="Arial" w:cs="Arial" w:eastAsia="Arial" w:hAnsi="Arial"/>
          <w:sz w:val="17"/>
          <w:szCs w:val="17"/>
          <w:i w:val="1"/>
          <w:iCs w:val="1"/>
          <w:color w:val="auto"/>
        </w:rPr>
        <w:t xml:space="preserve"> </w:t>
      </w:r>
      <w:r>
        <w:rPr>
          <w:rFonts w:ascii="Arial" w:cs="Arial" w:eastAsia="Arial" w:hAnsi="Arial"/>
          <w:sz w:val="17"/>
          <w:szCs w:val="17"/>
          <w:color w:val="auto"/>
        </w:rPr>
        <w:t>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22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Cost of goods sold includes material, labor costs and manufacturing overhead. Cost of goods sold also includes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current period manufacturing costs in excess of costs capitalized into inventory (excess capacity costs). These costs, in addition to the impact of the annual revaluation of inventory to standard costs, and write-offs of inventory are recorded as expenses in the period in which they are incurred, rather than as a portion of inventory costs. The cost of goods sold also excludes the write-off of the cost of insulin held in inventory at the end of 2015.</w:t>
      </w:r>
    </w:p>
    <w:p>
      <w:pPr>
        <w:spacing w:after="0" w:line="1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 The Company records restricted cash when cash and cash equivalents are restricted as to withdrawal or usage. The Company 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 term assets.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—The Company’s short-term investments consist of U.S. Treasury securities stated at amortized cost which the Company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hold until maturity. Those with maturities less than 12 months are included in short-term investments and any investments with maturities in excess of twelve months are included in long-term investments in our condensed consolidated balance sheets. The Company did not record any material gains or losses on these securities during the six months ended June 30, 2019.</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Cash and cash equivalents are held in high credit quality institutions. Cash equivalents consist of interest-bearing money market accounts and U.S. Treasury securities, which are regularly monitored by management.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 w:name="page13"/>
    <w:bookmarkEnd w:id="12"/>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 or</w:t>
      </w:r>
      <w:r>
        <w:rPr>
          <w:rFonts w:ascii="Arial" w:cs="Arial" w:eastAsia="Arial" w:hAnsi="Arial"/>
          <w:sz w:val="16"/>
          <w:szCs w:val="16"/>
          <w:i w:val="1"/>
          <w:iCs w:val="1"/>
          <w:color w:val="auto"/>
        </w:rPr>
        <w:t xml:space="preserve"> </w:t>
      </w:r>
      <w:r>
        <w:rPr>
          <w:rFonts w:ascii="Arial" w:cs="Arial" w:eastAsia="Arial" w:hAnsi="Arial"/>
          <w:sz w:val="16"/>
          <w:szCs w:val="16"/>
          <w:color w:val="auto"/>
        </w:rPr>
        <w:t>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inventory also excludes the cost of insulin which was previously written off, in association with the insulin purchase agreement.</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 term purchase commitments should be accrued. Losses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The liability balance of the recognized loss on insulin purchase commitments is $93.6 million as of June 30, 2019. No new contracts were identified in 2019 or 2018 that required a new loss on purchase commitment accrual.</w:t>
      </w: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2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 loss</w:t>
      </w:r>
      <w:r>
        <w:rPr>
          <w:rFonts w:ascii="Arial" w:cs="Arial" w:eastAsia="Arial" w:hAnsi="Arial"/>
          <w:sz w:val="17"/>
          <w:szCs w:val="17"/>
          <w:i w:val="1"/>
          <w:iCs w:val="1"/>
          <w:color w:val="auto"/>
        </w:rPr>
        <w:t xml:space="preserve"> </w:t>
      </w:r>
      <w:r>
        <w:rPr>
          <w:rFonts w:ascii="Arial" w:cs="Arial" w:eastAsia="Arial" w:hAnsi="Arial"/>
          <w:sz w:val="17"/>
          <w:szCs w:val="17"/>
          <w:color w:val="auto"/>
        </w:rPr>
        <w:t>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2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Share-based payments to employees, including grants of stock options, restricted stock units, performance-based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 w:name="page14"/>
    <w:bookmarkEnd w:id="13"/>
    <w:p>
      <w:pPr>
        <w:jc w:val="both"/>
        <w:ind w:right="540"/>
        <w:spacing w:after="0" w:line="264"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connection with conducting clinical trials.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computation of basic and diluted net loss per share for the six months ended June 30, 2019 and 2018 excludes the common stock equivalents of the following potentially dilutive securities because their inclusion, as the Company is in a net loss position, would be anti-dilutive:</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060" w:type="dxa"/>
            <w:vAlign w:val="bottom"/>
            <w:gridSpan w:val="4"/>
          </w:tcPr>
          <w:p>
            <w:pPr>
              <w:ind w:left="6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92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1,166,006</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1,219,419</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Conversion of convertible notes into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3,629,627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14,154,500</w:t>
            </w:r>
          </w:p>
        </w:tc>
        <w:tc>
          <w:tcPr>
            <w:tcW w:w="80" w:type="dxa"/>
            <w:vAlign w:val="bottom"/>
          </w:tcPr>
          <w:p>
            <w:pPr>
              <w:spacing w:after="0"/>
              <w:rPr>
                <w:sz w:val="19"/>
                <w:szCs w:val="19"/>
                <w:color w:val="auto"/>
              </w:rPr>
            </w:pPr>
          </w:p>
        </w:tc>
      </w:tr>
      <w:tr>
        <w:trPr>
          <w:trHeight w:val="215"/>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related party notes</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into common stock</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21,909,541</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21,909,541</w:t>
            </w:r>
          </w:p>
        </w:tc>
        <w:tc>
          <w:tcPr>
            <w:tcW w:w="80" w:type="dxa"/>
            <w:vAlign w:val="bottom"/>
            <w:shd w:val="clear" w:color="auto" w:fill="CFF0FC"/>
          </w:tcPr>
          <w:p>
            <w:pPr>
              <w:spacing w:after="0"/>
              <w:rPr>
                <w:sz w:val="20"/>
                <w:szCs w:val="20"/>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400" w:type="dxa"/>
            <w:vAlign w:val="bottom"/>
          </w:tcPr>
          <w:p>
            <w:pPr>
              <w:jc w:val="right"/>
              <w:spacing w:after="0"/>
              <w:rPr>
                <w:sz w:val="20"/>
                <w:szCs w:val="20"/>
                <w:color w:val="auto"/>
              </w:rPr>
            </w:pPr>
            <w:r>
              <w:rPr>
                <w:rFonts w:ascii="Arial" w:cs="Arial" w:eastAsia="Arial" w:hAnsi="Arial"/>
                <w:sz w:val="18"/>
                <w:szCs w:val="18"/>
                <w:color w:val="auto"/>
              </w:rPr>
              <w:t>31,856</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31,856</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367,792</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248,067</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15,512,639</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11,368,356</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public offering</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26,666,667</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Exercise of warrants associated with direct placement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14,000,000</w:t>
            </w:r>
          </w:p>
        </w:tc>
        <w:tc>
          <w:tcPr>
            <w:tcW w:w="80" w:type="dxa"/>
            <w:vAlign w:val="bottom"/>
          </w:tcPr>
          <w:p>
            <w:pPr>
              <w:spacing w:after="0"/>
              <w:rPr>
                <w:sz w:val="19"/>
                <w:szCs w:val="19"/>
                <w:color w:val="auto"/>
              </w:rPr>
            </w:pPr>
          </w:p>
        </w:tc>
      </w:tr>
      <w:tr>
        <w:trPr>
          <w:trHeight w:val="223"/>
        </w:trPr>
        <w:tc>
          <w:tcPr>
            <w:tcW w:w="49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69,284,128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62,931,739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—The Company adopted Accounting Standards Codification (“ASC”) Topic 842 – Leases (“the new lease guidance”) on January 1, 2019. Under</w:t>
      </w:r>
      <w:r>
        <w:rPr>
          <w:rFonts w:ascii="Arial" w:cs="Arial" w:eastAsia="Arial" w:hAnsi="Arial"/>
          <w:sz w:val="18"/>
          <w:szCs w:val="18"/>
          <w:i w:val="1"/>
          <w:iCs w:val="1"/>
          <w:color w:val="auto"/>
        </w:rPr>
        <w:t xml:space="preserve"> </w:t>
      </w:r>
      <w:r>
        <w:rPr>
          <w:rFonts w:ascii="Arial" w:cs="Arial" w:eastAsia="Arial" w:hAnsi="Arial"/>
          <w:sz w:val="18"/>
          <w:szCs w:val="18"/>
          <w:color w:val="auto"/>
        </w:rPr>
        <w:t>Topic 842, the Company is required to recognize the assets and liabilities that arise from most operating leases on the balance sheet and disclose qualitative and quantitative information about its leasing arrangements.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Upon adoption of the new lease guidance, the Company recognized a lease liability to make lease payments and a right-of-use-asset representing its right to use the underlying asset for the applicable lease term using the optional transition method. In doing so, the Company elected the package of three practical expedients permitted under the transition guidance within the new standard, which among other things, allowed the Company to carry forward the historical lease classification. The Company also elected the practical expedient that permits not separating lease and non-lease components for all classes of underlying assets. For short-term leases, the Company has elected not to apply the recognition requirements of this guidance. The Company did not elect to use the hindsight practical expedient.</w:t>
      </w:r>
    </w:p>
    <w:p>
      <w:pPr>
        <w:spacing w:after="0" w:line="193" w:lineRule="exact"/>
        <w:rPr>
          <w:sz w:val="20"/>
          <w:szCs w:val="20"/>
          <w:color w:val="auto"/>
        </w:rPr>
      </w:pPr>
    </w:p>
    <w:p>
      <w:pPr>
        <w:ind w:right="40"/>
        <w:spacing w:after="0" w:line="341" w:lineRule="auto"/>
        <w:rPr>
          <w:sz w:val="20"/>
          <w:szCs w:val="20"/>
          <w:color w:val="auto"/>
        </w:rPr>
      </w:pPr>
      <w:r>
        <w:rPr>
          <w:rFonts w:ascii="Arial" w:cs="Arial" w:eastAsia="Arial" w:hAnsi="Arial"/>
          <w:sz w:val="17"/>
          <w:szCs w:val="17"/>
          <w:color w:val="auto"/>
        </w:rPr>
        <w:t>Upon the adoption as of January 1, 2019, the impact on total assets and total liabilities was an increase of $5.2 million. The standard did not materially impact net earnings and had no net impact on cash flow. See Note 11 — Commitments and Contingencies for further information related to leases.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 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Wholesaler distribution fees and prompt pay discounts</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17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69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 w:name="page15"/>
    <w:bookmarkEnd w:id="14"/>
    <w:p>
      <w:pPr>
        <w:ind w:right="20"/>
        <w:spacing w:after="0" w:line="277" w:lineRule="auto"/>
        <w:rPr>
          <w:sz w:val="20"/>
          <w:szCs w:val="20"/>
          <w:color w:val="auto"/>
        </w:rPr>
      </w:pPr>
      <w:r>
        <w:rPr>
          <w:rFonts w:ascii="Arial" w:cs="Arial" w:eastAsia="Arial" w:hAnsi="Arial"/>
          <w:sz w:val="18"/>
          <w:szCs w:val="18"/>
          <w:color w:val="auto"/>
        </w:rPr>
        <w:t xml:space="preserve">As of June 30, 2019 and December 31, 2018, the allowance for doubtful accounts was </w:t>
      </w:r>
      <w:r>
        <w:rPr>
          <w:rFonts w:ascii="Arial" w:cs="Arial" w:eastAsia="Arial" w:hAnsi="Arial"/>
          <w:sz w:val="18"/>
          <w:szCs w:val="18"/>
          <w:i w:val="1"/>
          <w:iCs w:val="1"/>
          <w:color w:val="auto"/>
        </w:rPr>
        <w:t>de minimis</w:t>
      </w:r>
      <w:r>
        <w:rPr>
          <w:rFonts w:ascii="Arial" w:cs="Arial" w:eastAsia="Arial" w:hAnsi="Arial"/>
          <w:sz w:val="18"/>
          <w:szCs w:val="18"/>
          <w:color w:val="auto"/>
        </w:rPr>
        <w:t>. As of June 30, 2019 and December 31, 2018, the Company had three wholesale distributors representing approximately 97% and 89% of gross accounts receivable,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1,605</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Work-in-process and finished goods as of June 30, 2019 and December 31, 2018 include conversion costs but not insulin cost because the insulin used in its production was previously written off in 2015. The Company analyzed its inventory levels to identify inventory that may expire or has a cost basis in excess of its estimated realizable value.</w:t>
      </w:r>
    </w:p>
    <w:p>
      <w:pPr>
        <w:spacing w:after="0" w:line="20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Company performed an assessment of projected sales and evaluated the lower of cost or net realizable value and the potential excess inventory on hand at June 30, 2019. Inventory that was forecasted to become obsolete due to expiration is recorded in costs of goods sold in the accompanying condensed consolidated statements of operations. For the three and six months ended June 30, 2019, there was no inventory write-off. For the three and six months ended June 30, 2018, the Company recorded a $0.2 million and $0.8 million charge, respectively, to write-off inventory that may expire prior to being sold which was recorded as cost of goods sold.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80" w:type="dxa"/>
            <w:vAlign w:val="bottom"/>
          </w:tcPr>
          <w:p>
            <w:pPr>
              <w:jc w:val="right"/>
              <w:ind w:right="34"/>
              <w:spacing w:after="0"/>
              <w:rPr>
                <w:sz w:val="20"/>
                <w:szCs w:val="20"/>
                <w:color w:val="auto"/>
              </w:rPr>
            </w:pPr>
            <w:r>
              <w:rPr>
                <w:rFonts w:ascii="Arial" w:cs="Arial" w:eastAsia="Arial" w:hAnsi="Arial"/>
                <w:sz w:val="14"/>
                <w:szCs w:val="14"/>
                <w:b w:val="1"/>
                <w:bCs w:val="1"/>
                <w:color w:val="auto"/>
              </w:rPr>
              <w:t>Estimated Useful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rPr>
              <w:t>Life (Years)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2018</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Buildings</w:t>
            </w:r>
          </w:p>
        </w:tc>
        <w:tc>
          <w:tcPr>
            <w:tcW w:w="1280" w:type="dxa"/>
            <w:vAlign w:val="bottom"/>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8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FF0FC"/>
          </w:tcPr>
          <w:p>
            <w:pPr>
              <w:spacing w:after="0"/>
              <w:rPr>
                <w:sz w:val="19"/>
                <w:szCs w:val="19"/>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 property and equipment, gross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128,382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126,099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(101,236)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(100,497)</w:t>
            </w: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 property and equipment, net</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for the three and six months ended June 30, 2019 and 2018 was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r>
      <w:tr>
        <w:trPr>
          <w:trHeight w:val="223"/>
        </w:trPr>
        <w:tc>
          <w:tcPr>
            <w:tcW w:w="3240" w:type="dxa"/>
            <w:vAlign w:val="bottom"/>
          </w:tcPr>
          <w:p>
            <w:pPr>
              <w:spacing w:after="0"/>
              <w:rPr>
                <w:sz w:val="19"/>
                <w:szCs w:val="19"/>
                <w:color w:val="auto"/>
              </w:rPr>
            </w:pPr>
          </w:p>
        </w:tc>
        <w:tc>
          <w:tcPr>
            <w:tcW w:w="244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106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6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445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7,223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8,110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services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16,452</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15,022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Related-Party Arrangements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June 30,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71,506</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71,506</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Unamortized premium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Unaccreted debt issuance costs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6580" w:type="dxa"/>
            <w:vAlign w:val="bottom"/>
            <w:gridSpan w:val="2"/>
          </w:tcPr>
          <w:p>
            <w:pPr>
              <w:ind w:left="1720"/>
              <w:spacing w:after="0"/>
              <w:rPr>
                <w:sz w:val="20"/>
                <w:szCs w:val="20"/>
                <w:color w:val="auto"/>
              </w:rPr>
            </w:pPr>
            <w:r>
              <w:rPr>
                <w:rFonts w:ascii="Arial" w:cs="Arial" w:eastAsia="Arial" w:hAnsi="Arial"/>
                <w:sz w:val="18"/>
                <w:szCs w:val="18"/>
                <w:color w:val="auto"/>
              </w:rPr>
              <w:t>Net carrying amount</w:t>
            </w: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(See also Note 13 — Subsequent Events) In October 2007, the Company entered into a loan agreement (the “Mann Group Loan Arrangement”) with The Mann Group LLC (“The Mann Group”), which has been amended from time to time. On March 11, 2018, the Company amended and restated the Mann Group Loan Arrangement to, among other things, (i) reflect the current outstanding principal balance of the existing loan of $71.5 million, after giving effect to the partial cancelation of principal in exchange for shares of the Company’s common stock described below; (ii) extend the maturity date of the loan to July 1, 2021; (iii) for periods beginning after April 1, 2018 require interest to compound quarterly; and (iv) permit the principal and any accrued and unpaid interest under the Mann Group Loan Arrangement to be converted, at the option of The Mann Group, at any time on or prior to close of business on the business day immediately preceding the stated maturity date, into shares of the Company’s common stock. The conversion rate of 250 shares per $1,000 principal amount of the Note, which is equal to $4.00 per share subject to adjustment under certain circumstances as described in the Mann Group Loan Arrangement.</w:t>
      </w:r>
    </w:p>
    <w:p>
      <w:pPr>
        <w:spacing w:after="0" w:line="19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analyzed this amendment and concluded that the transaction represented an extinguishment of the related party note and recorded a $0.8 million loss on extinguishment of debt. As a result of the extinguishment the Company recorded a debt premium of $0.8 million and debt issuance costs of $0.1 million during 2018.</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March 11, 2018, the Company and The Mann Group entered into a common stock purchase agreement pursuant to which the Company agreed to issue to The Mann Group and The Mann Group agreed to purchase 3,000,000 shares of the Company’s common stock at a price per share of $2.72 which represented the closing price of the Company’s common stock on March 9, 2018. As payment for the purchase price for the shares, The Mann Group agreed to cancel $8.2 million in principal amount under the Mann Group Loan Arrangement, with the principal payment to be reflected in the amended and restated Mann Group Loan Arrangement. The purchased shares were issued in a private placement.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right="60"/>
        <w:spacing w:after="0" w:line="286" w:lineRule="auto"/>
        <w:rPr>
          <w:sz w:val="20"/>
          <w:szCs w:val="20"/>
          <w:color w:val="auto"/>
        </w:rPr>
      </w:pPr>
      <w:r>
        <w:rPr>
          <w:rFonts w:ascii="Arial" w:cs="Arial" w:eastAsia="Arial" w:hAnsi="Arial"/>
          <w:sz w:val="16"/>
          <w:szCs w:val="16"/>
          <w:color w:val="auto"/>
        </w:rPr>
        <w:t>Interest, at a fixed rate of 5.84%, is due and payable quarterly in arrears on the first day of each calendar quarter for the preceding quarter, or at such other time as the Company and The Mann Group mutually agree. Under the agreement, accrued and unpaid interest may be capitalized and paid-in-kind. The Mann Group can require the Company to prepay up to $200.0 million in advances that have been outstanding for at least 12 months, less approximately $105.0 million aggregate principal amount that has been cancelled in connection with three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on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7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As of June 30, 2019 and December 31, 2018, the Company had accrued unpaid interest related to the above note of $9.1 million and $6.8 million, respectively. As of June 30, 2019 there were no additional amounts available for future borrowings. Interest expense (excluding the amortization of debt premium and debt issuance costs) for the three and six months ended June 30, 2019 and 2018 was as follows (in thousands):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0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 payable to related party</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(excluding amortization of debt premium and</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issuance costs)</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FF0FC"/>
          </w:tcPr>
          <w:p>
            <w:pPr>
              <w:spacing w:after="0"/>
              <w:rPr>
                <w:sz w:val="20"/>
                <w:szCs w:val="20"/>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related party notes for the three and six months ended June 30, 2019 and 2018 are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178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9"/>
                <w:szCs w:val="19"/>
                <w:color w:val="auto"/>
              </w:rPr>
            </w:pPr>
          </w:p>
        </w:tc>
        <w:tc>
          <w:tcPr>
            <w:tcW w:w="116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1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11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Carrying amount of borrowings consist of the following, exclusive of $9.1 million accrued interest owed to the related party that will be capitalized and paid-in-kind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December 31, 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Facility financing obligation</w:t>
            </w:r>
          </w:p>
        </w:tc>
        <w:tc>
          <w:tcPr>
            <w:tcW w:w="17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11,298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19,099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Note payable to related party</w:t>
            </w:r>
          </w:p>
        </w:tc>
        <w:tc>
          <w:tcPr>
            <w:tcW w:w="17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72,089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vMerge w:val="restart"/>
          </w:tcPr>
          <w:p>
            <w:pPr>
              <w:spacing w:after="0"/>
              <w:rPr>
                <w:sz w:val="19"/>
                <w:szCs w:val="19"/>
                <w:color w:val="auto"/>
              </w:rPr>
            </w:pPr>
          </w:p>
        </w:tc>
        <w:tc>
          <w:tcPr>
            <w:tcW w:w="3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Total debt - net carrying amount</w:t>
            </w:r>
          </w:p>
        </w:tc>
        <w:tc>
          <w:tcPr>
            <w:tcW w:w="19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99,986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102,486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bottom w:val="single" w:sz="8" w:color="CFF0FC"/>
            </w:tcBorders>
            <w:vMerge w:val="restart"/>
          </w:tcPr>
          <w:p>
            <w:pPr>
              <w:jc w:val="right"/>
              <w:ind w:right="71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These borrowings are further described below:</w:t>
      </w:r>
    </w:p>
    <w:p>
      <w:pPr>
        <w:spacing w:after="0" w:line="239"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i w:val="1"/>
          <w:iCs w:val="1"/>
          <w:color w:val="auto"/>
        </w:rPr>
        <w:t xml:space="preserve">Facility Financing Obligation </w:t>
      </w:r>
      <w:r>
        <w:rPr>
          <w:rFonts w:ascii="Arial" w:cs="Arial" w:eastAsia="Arial" w:hAnsi="Arial"/>
          <w:sz w:val="16"/>
          <w:szCs w:val="16"/>
          <w:color w:val="auto"/>
        </w:rPr>
        <w:t>– On July 1, 2013, the Company entered into the Facility Agreement, which permitted it to borrow $160.0 million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the 2019 notes, $100.0 million of which were converted into shares of the Company’s common stock during 2013 and 2014. The Company and Deerfield amended the Facility Agreement in 2014 to permit the Company to borrow an additional $20.0 million through the issuance of Tranche B</w:t>
      </w:r>
    </w:p>
    <w:p>
      <w:pPr>
        <w:ind w:right="160"/>
        <w:spacing w:after="0" w:line="273" w:lineRule="auto"/>
        <w:rPr>
          <w:sz w:val="20"/>
          <w:szCs w:val="20"/>
          <w:color w:val="auto"/>
        </w:rPr>
      </w:pPr>
      <w:r>
        <w:rPr>
          <w:rFonts w:ascii="Arial" w:cs="Arial" w:eastAsia="Arial" w:hAnsi="Arial"/>
          <w:sz w:val="17"/>
          <w:szCs w:val="17"/>
          <w:color w:val="auto"/>
        </w:rPr>
        <w:t>notes. The remaining $80.0 million in principal amount that was not converted during 2013 and 2014 ($60.0 million in 2019 notes and $20.0 million in Tranche B notes) is subject to a repayment schedule that began in July 2016 and will end in August 2019. As of June 30, 2019, the Facility Financing Obligation consisted of $9.0 million principal amount and $0.2 million unamortized issuance cost. The table below summarizes all principal payments since July 2016, indicating whether the amount was settled in cash or in exchange for the issuance of shares of the Company’s common stock:</w:t>
      </w:r>
    </w:p>
    <w:p>
      <w:pPr>
        <w:sectPr>
          <w:pgSz w:w="11900" w:h="16838" w:orient="portrait"/>
          <w:cols w:equalWidth="0" w:num="1">
            <w:col w:w="11420"/>
          </w:cols>
          <w:pgMar w:left="240" w:top="382" w:right="23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4240" w:type="dxa"/>
            <w:vAlign w:val="bottom"/>
          </w:tcPr>
          <w:p>
            <w:pPr>
              <w:spacing w:after="0"/>
              <w:rPr>
                <w:sz w:val="20"/>
                <w:szCs w:val="20"/>
                <w:color w:val="auto"/>
              </w:rPr>
            </w:pPr>
            <w:r>
              <w:rPr>
                <w:rFonts w:ascii="Arial" w:cs="Arial" w:eastAsia="Arial" w:hAnsi="Arial"/>
                <w:sz w:val="14"/>
                <w:szCs w:val="14"/>
                <w:b w:val="1"/>
                <w:bCs w:val="1"/>
                <w:color w:val="auto"/>
              </w:rPr>
              <w:t>2019 notes</w:t>
            </w:r>
          </w:p>
        </w:tc>
      </w:tr>
      <w:tr>
        <w:trPr>
          <w:trHeight w:val="222"/>
        </w:trPr>
        <w:tc>
          <w:tcPr>
            <w:tcW w:w="20" w:type="dxa"/>
            <w:vAlign w:val="bottom"/>
          </w:tcPr>
          <w:p>
            <w:pPr>
              <w:spacing w:after="0"/>
              <w:rPr>
                <w:sz w:val="19"/>
                <w:szCs w:val="19"/>
                <w:color w:val="auto"/>
              </w:rPr>
            </w:pPr>
          </w:p>
        </w:tc>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July 2016</w:t>
            </w:r>
          </w:p>
        </w:tc>
        <w:tc>
          <w:tcPr>
            <w:tcW w:w="220" w:type="dxa"/>
            <w:vAlign w:val="bottom"/>
          </w:tcPr>
          <w:p>
            <w:pPr>
              <w:spacing w:after="0"/>
              <w:rPr>
                <w:sz w:val="19"/>
                <w:szCs w:val="19"/>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$5.0 million (cash)</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April 2017</w:t>
            </w:r>
          </w:p>
        </w:tc>
        <w:tc>
          <w:tcPr>
            <w:tcW w:w="4240" w:type="dxa"/>
            <w:vAlign w:val="bottom"/>
          </w:tcPr>
          <w:p>
            <w:pPr>
              <w:spacing w:after="0"/>
              <w:rPr>
                <w:sz w:val="20"/>
                <w:szCs w:val="20"/>
                <w:color w:val="auto"/>
              </w:rPr>
            </w:pPr>
            <w:r>
              <w:rPr>
                <w:rFonts w:ascii="Arial" w:cs="Arial" w:eastAsia="Arial" w:hAnsi="Arial"/>
                <w:sz w:val="18"/>
                <w:szCs w:val="18"/>
                <w:color w:val="auto"/>
              </w:rPr>
              <w:t>$5.0 million (equity exchange)</w:t>
            </w:r>
          </w:p>
        </w:tc>
      </w:tr>
      <w:tr>
        <w:trPr>
          <w:trHeight w:val="445"/>
        </w:trPr>
        <w:tc>
          <w:tcPr>
            <w:tcW w:w="2700" w:type="dxa"/>
            <w:vAlign w:val="bottom"/>
            <w:gridSpan w:val="3"/>
          </w:tcPr>
          <w:p>
            <w:pPr>
              <w:spacing w:after="0"/>
              <w:rPr>
                <w:sz w:val="20"/>
                <w:szCs w:val="20"/>
                <w:color w:val="auto"/>
              </w:rPr>
            </w:pPr>
            <w:r>
              <w:rPr>
                <w:rFonts w:ascii="Arial" w:cs="Arial" w:eastAsia="Arial" w:hAnsi="Arial"/>
                <w:sz w:val="18"/>
                <w:szCs w:val="18"/>
                <w:color w:val="auto"/>
              </w:rPr>
              <w:t>June 2017</w:t>
            </w:r>
          </w:p>
        </w:tc>
        <w:tc>
          <w:tcPr>
            <w:tcW w:w="4240" w:type="dxa"/>
            <w:vAlign w:val="bottom"/>
          </w:tcPr>
          <w:p>
            <w:pPr>
              <w:spacing w:after="0"/>
              <w:rPr>
                <w:sz w:val="20"/>
                <w:szCs w:val="20"/>
                <w:color w:val="auto"/>
              </w:rPr>
            </w:pPr>
            <w:r>
              <w:rPr>
                <w:rFonts w:ascii="Arial" w:cs="Arial" w:eastAsia="Arial" w:hAnsi="Arial"/>
                <w:sz w:val="18"/>
                <w:szCs w:val="18"/>
                <w:color w:val="auto"/>
              </w:rPr>
              <w:t>$5.0 million (equity exchange)</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November 2017</w:t>
            </w:r>
          </w:p>
        </w:tc>
        <w:tc>
          <w:tcPr>
            <w:tcW w:w="4240" w:type="dxa"/>
            <w:vAlign w:val="bottom"/>
          </w:tcPr>
          <w:p>
            <w:pPr>
              <w:spacing w:after="0"/>
              <w:rPr>
                <w:sz w:val="20"/>
                <w:szCs w:val="20"/>
                <w:color w:val="auto"/>
              </w:rPr>
            </w:pPr>
            <w:r>
              <w:rPr>
                <w:rFonts w:ascii="Arial" w:cs="Arial" w:eastAsia="Arial" w:hAnsi="Arial"/>
                <w:sz w:val="18"/>
                <w:szCs w:val="18"/>
                <w:color w:val="auto"/>
              </w:rPr>
              <w:t>$5.6 million (equity exchange)</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January 2018</w:t>
            </w:r>
          </w:p>
        </w:tc>
        <w:tc>
          <w:tcPr>
            <w:tcW w:w="4240" w:type="dxa"/>
            <w:vAlign w:val="bottom"/>
          </w:tcPr>
          <w:p>
            <w:pPr>
              <w:spacing w:after="0"/>
              <w:rPr>
                <w:sz w:val="20"/>
                <w:szCs w:val="20"/>
                <w:color w:val="auto"/>
              </w:rPr>
            </w:pPr>
            <w:r>
              <w:rPr>
                <w:rFonts w:ascii="Arial" w:cs="Arial" w:eastAsia="Arial" w:hAnsi="Arial"/>
                <w:sz w:val="18"/>
                <w:szCs w:val="18"/>
                <w:color w:val="auto"/>
              </w:rPr>
              <w:t>$3.2 million (equity exchange)</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March 2018</w:t>
            </w:r>
          </w:p>
        </w:tc>
        <w:tc>
          <w:tcPr>
            <w:tcW w:w="4240" w:type="dxa"/>
            <w:vAlign w:val="bottom"/>
          </w:tcPr>
          <w:p>
            <w:pPr>
              <w:spacing w:after="0"/>
              <w:rPr>
                <w:sz w:val="20"/>
                <w:szCs w:val="20"/>
                <w:color w:val="auto"/>
              </w:rPr>
            </w:pPr>
            <w:r>
              <w:rPr>
                <w:rFonts w:ascii="Arial" w:cs="Arial" w:eastAsia="Arial" w:hAnsi="Arial"/>
                <w:sz w:val="18"/>
                <w:szCs w:val="18"/>
                <w:color w:val="auto"/>
              </w:rPr>
              <w:t>$1.3 million (equity exchange)</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June 2018</w:t>
            </w:r>
          </w:p>
        </w:tc>
        <w:tc>
          <w:tcPr>
            <w:tcW w:w="4240" w:type="dxa"/>
            <w:vAlign w:val="bottom"/>
          </w:tcPr>
          <w:p>
            <w:pPr>
              <w:spacing w:after="0"/>
              <w:rPr>
                <w:sz w:val="20"/>
                <w:szCs w:val="20"/>
                <w:color w:val="auto"/>
              </w:rPr>
            </w:pPr>
            <w:r>
              <w:rPr>
                <w:rFonts w:ascii="Arial" w:cs="Arial" w:eastAsia="Arial" w:hAnsi="Arial"/>
                <w:sz w:val="18"/>
                <w:szCs w:val="18"/>
                <w:color w:val="auto"/>
              </w:rPr>
              <w:t>$3.0 million (equity exchange)</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July 2018</w:t>
            </w:r>
          </w:p>
        </w:tc>
        <w:tc>
          <w:tcPr>
            <w:tcW w:w="4240" w:type="dxa"/>
            <w:vAlign w:val="bottom"/>
          </w:tcPr>
          <w:p>
            <w:pPr>
              <w:spacing w:after="0"/>
              <w:rPr>
                <w:sz w:val="20"/>
                <w:szCs w:val="20"/>
                <w:color w:val="auto"/>
              </w:rPr>
            </w:pPr>
            <w:r>
              <w:rPr>
                <w:rFonts w:ascii="Arial" w:cs="Arial" w:eastAsia="Arial" w:hAnsi="Arial"/>
                <w:sz w:val="18"/>
                <w:szCs w:val="18"/>
                <w:color w:val="auto"/>
              </w:rPr>
              <w:t>$2.0 million (cash)</w:t>
            </w:r>
          </w:p>
        </w:tc>
      </w:tr>
      <w:tr>
        <w:trPr>
          <w:trHeight w:val="230"/>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$10.0 million (equity exchange)</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September 2018</w:t>
            </w:r>
          </w:p>
        </w:tc>
        <w:tc>
          <w:tcPr>
            <w:tcW w:w="4240" w:type="dxa"/>
            <w:vAlign w:val="bottom"/>
          </w:tcPr>
          <w:p>
            <w:pPr>
              <w:spacing w:after="0"/>
              <w:rPr>
                <w:sz w:val="20"/>
                <w:szCs w:val="20"/>
                <w:color w:val="auto"/>
              </w:rPr>
            </w:pPr>
            <w:r>
              <w:rPr>
                <w:rFonts w:ascii="Arial" w:cs="Arial" w:eastAsia="Arial" w:hAnsi="Arial"/>
                <w:sz w:val="18"/>
                <w:szCs w:val="18"/>
                <w:color w:val="auto"/>
              </w:rPr>
              <w:t>$8.0 million (equity exchange)</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October 2018</w:t>
            </w:r>
          </w:p>
        </w:tc>
        <w:tc>
          <w:tcPr>
            <w:tcW w:w="4240" w:type="dxa"/>
            <w:vAlign w:val="bottom"/>
          </w:tcPr>
          <w:p>
            <w:pPr>
              <w:spacing w:after="0"/>
              <w:rPr>
                <w:sz w:val="20"/>
                <w:szCs w:val="20"/>
                <w:color w:val="auto"/>
              </w:rPr>
            </w:pPr>
            <w:r>
              <w:rPr>
                <w:rFonts w:ascii="Arial" w:cs="Arial" w:eastAsia="Arial" w:hAnsi="Arial"/>
                <w:sz w:val="18"/>
                <w:szCs w:val="18"/>
                <w:color w:val="auto"/>
              </w:rPr>
              <w:t>$3.0 million (cash)</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May 2019</w:t>
            </w:r>
          </w:p>
        </w:tc>
        <w:tc>
          <w:tcPr>
            <w:tcW w:w="4240" w:type="dxa"/>
            <w:vAlign w:val="bottom"/>
          </w:tcPr>
          <w:p>
            <w:pPr>
              <w:spacing w:after="0"/>
              <w:rPr>
                <w:sz w:val="19"/>
                <w:szCs w:val="19"/>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July 2019</w:t>
            </w:r>
          </w:p>
        </w:tc>
        <w:tc>
          <w:tcPr>
            <w:tcW w:w="4240" w:type="dxa"/>
            <w:vAlign w:val="bottom"/>
          </w:tcPr>
          <w:p>
            <w:pPr>
              <w:spacing w:after="0"/>
              <w:rPr>
                <w:sz w:val="20"/>
                <w:szCs w:val="20"/>
                <w:color w:val="auto"/>
              </w:rPr>
            </w:pPr>
            <w:r>
              <w:rPr>
                <w:rFonts w:ascii="Arial" w:cs="Arial" w:eastAsia="Arial" w:hAnsi="Arial"/>
                <w:sz w:val="18"/>
                <w:szCs w:val="18"/>
                <w:color w:val="auto"/>
              </w:rPr>
              <w:t>$2.4 million (cash)</w:t>
            </w:r>
          </w:p>
        </w:tc>
      </w:tr>
      <w:tr>
        <w:trPr>
          <w:trHeight w:val="230"/>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$1.6 million (equity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-1156970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Tranche B notes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$4.0 million (cash)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 million (equity exchange)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$5.0 million (equity exchange)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 million (equity exchange)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 million (equity exchange)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$2.5 million (equity exchange)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$2.5 million (cash)</w:t>
      </w:r>
    </w:p>
    <w:p>
      <w:pPr>
        <w:spacing w:after="0" w:line="682" w:lineRule="exact"/>
        <w:rPr>
          <w:sz w:val="20"/>
          <w:szCs w:val="20"/>
          <w:color w:val="auto"/>
        </w:rPr>
      </w:pPr>
    </w:p>
    <w:p>
      <w:pPr>
        <w:sectPr>
          <w:pgSz w:w="11900" w:h="16838" w:orient="portrait"/>
          <w:cols w:equalWidth="0" w:num="2">
            <w:col w:w="6940" w:space="220"/>
            <w:col w:w="4260"/>
          </w:cols>
          <w:pgMar w:left="240" w:top="382" w:right="239" w:bottom="1440" w:gutter="0" w:footer="0" w:header="0"/>
          <w:type w:val="continuous"/>
        </w:sectPr>
      </w:pP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Facility Agreement includes customary representations, warranties and covenants, including a restriction on the incurrence of additional indebtedness. On July 18, 2019, outstanding 2019 notes in the principal amount of $4.0 million were repaid. The Facility Agreement also required the Company to deposit $5.0 million in an escrow account, which is classified as restricted cash in the condensed consolidated balance sheets as of June 30, 2019, until August 31, 2019. See Note 13 – Subsequent Events. As discussed in Note 1 – Description of Business and Summary of Significant Accounting Policies, the Company will need to raise additional capital to support its current operating plans.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Accretion of debt issuance cost and debt discount during the three and six months ended June 30, 2019 and 2018, are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Borders>
              <w:top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1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i w:val="1"/>
          <w:iCs w:val="1"/>
          <w:color w:val="auto"/>
        </w:rPr>
        <w:t xml:space="preserve">Milestone Rights </w:t>
      </w:r>
      <w:r>
        <w:rPr>
          <w:rFonts w:ascii="Arial" w:cs="Arial" w:eastAsia="Arial" w:hAnsi="Arial"/>
          <w:sz w:val="17"/>
          <w:szCs w:val="17"/>
          <w:color w:val="auto"/>
        </w:rPr>
        <w:t>— On July 1, 2013, in conjunction with the execution of the Facility Agreement, the Company issued to Deerfield Private Design Fund II,</w:t>
      </w:r>
      <w:r>
        <w:rPr>
          <w:rFonts w:ascii="Arial" w:cs="Arial" w:eastAsia="Arial" w:hAnsi="Arial"/>
          <w:sz w:val="17"/>
          <w:szCs w:val="17"/>
          <w:i w:val="1"/>
          <w:iCs w:val="1"/>
          <w:color w:val="auto"/>
        </w:rPr>
        <w:t xml:space="preserve"> </w:t>
      </w:r>
      <w:r>
        <w:rPr>
          <w:rFonts w:ascii="Arial" w:cs="Arial" w:eastAsia="Arial" w:hAnsi="Arial"/>
          <w:sz w:val="17"/>
          <w:szCs w:val="17"/>
          <w:color w:val="auto"/>
        </w:rPr>
        <w:t>L.P. and Horizon Santé FLML SÀRL, (the “Milestone Purchasers”) certain rights to receive payments of up to $90.0 million upon the occurrence of specified strategic and sales milestones, $75.0 million of which remains payable upon achievement of such milestones (the “Milestone Rights”).</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June 30, 2019 and December 31, 2018, the remaining Milestone Rights liability balance was $8.9 million which is based on initial fair value estimates calculated using the income approach and reduced by milestone achievement payments made. The Company currently estimates that it will reach the next milestone in the third quarter of 2019, at which point the Company will be required to make a $5.0 million payment in the following quarter. The carrying value of the Milestone Rights liability related to this $5.0 million payment is $1.6 million, which represents the fair value related to this payment that was determined in 2013 (the most recent measurement date). Accordingly, $1.6 million in value related to the next milestone payment was recorded in accrued expenses and other current liabilities as of June 30, 2019 and December 31, 2018, resulting in $7.2 million being recorded in Milestone Rights liability, which is non-current, in the accompanying condensed consolidated balance sheets as of June 30, 2019 and December 31, 2018,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18" w:name="page19"/>
    <w:bookmarkEnd w:id="18"/>
    <w:p>
      <w:pPr>
        <w:spacing w:after="0" w:line="312" w:lineRule="auto"/>
        <w:rPr>
          <w:sz w:val="20"/>
          <w:szCs w:val="20"/>
          <w:color w:val="auto"/>
        </w:rPr>
      </w:pPr>
      <w:r>
        <w:rPr>
          <w:rFonts w:ascii="Arial" w:cs="Arial" w:eastAsia="Arial" w:hAnsi="Arial"/>
          <w:sz w:val="16"/>
          <w:szCs w:val="16"/>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Security Agreement </w:t>
      </w:r>
      <w:r>
        <w:rPr>
          <w:rFonts w:ascii="Arial" w:cs="Arial" w:eastAsia="Arial" w:hAnsi="Arial"/>
          <w:sz w:val="18"/>
          <w:szCs w:val="18"/>
          <w:color w:val="auto"/>
        </w:rPr>
        <w:t>— In connection with the Facility Agreement and Milestone Agreement, the Company and its subsidiary, MannKind LLC,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Guaranty and Security 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Facility Financing Obligation in full, if applicable.</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as of December 31, 2018 and no value as of June 30, 2019 due to the repayment of the Tranche B notes in full in May 2019.</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Senior Convertible Note </w:t>
      </w:r>
      <w:r>
        <w:rPr>
          <w:rFonts w:ascii="Arial" w:cs="Arial" w:eastAsia="Arial" w:hAnsi="Arial"/>
          <w:sz w:val="17"/>
          <w:szCs w:val="17"/>
          <w:color w:val="auto"/>
        </w:rPr>
        <w:t>— (See also Note 13 – Subsequent Events) In October 2017, the Company entered into exchange agreements with the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5.75% Senior Convertible Notes due 2018 (the “2018 notes”), pursuant to which the Company agreed to exchange all of the outstanding 2018 notes in the aggregate principal amount of $27.7 million for (i) new 5.75% $23.7 million aggregate principal amount of Senior Convertible notes due 2021 (the “2021” notes or “senior convertible note”) and (ii) an aggregate of 973,236 shares of its common stock. In addition, the conversion rate was adjusted from $34 per share to $5.15 per share. The senior convertible notes were issued at the closing of the exchange on October 23, 2017. The Company analyzed this exchange and concluded that the exchange represents an extinguishment of the 2018 notes and recorded a $0.8 million loss on extinguishment of debt during the last quarter of fiscal year 2017. In addition, unamortized debt issuance costs of $0.3 million and unamortized debt premium of $0.2 million were also written-off during the last quarter of fiscal year 2017.</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May 2018, the Company entered into a privately-negotiated exchange agreement (the “Exchange Agreement”) with certain holders of its senior convertible notes, pursuant to which the Company agreed to issue 2,250,000 shares of its common stock in exchange for the cancellation of $5.0 million principal amount of the senior convertible notes and unpaid accrued interest thereon. The exchange price for these exchange shares was $2.2567 per share. The exchange was completed on May 31, 2018. As a result, the Company recognized approximately $0.8 million as extinguishment gain which was calculated based on the difference between the reacquisition price and the net carrying amount of the payment on the debt.</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June 30, 2019 and December 31, 2018, there was $18.7 million principal amount of senior convertible notes outstanding. The senior convertible notes are the Company’s general, unsecured, senior obligations, except that they are subordinated in right of payment to the Facility Financing Obligation. The senior convertible notes rank equally in right of payment with the Company’s other unsecured senior debt. The senior convertible notes bear interest at the rate of 5.75% per year on the principal amount, payable semiannually in arrears in cash or, at the option of the Company — subject to certain conditions and limitations — in shares of the Company’s common stock (the “Interest Shares”), on February 15 and August 15. Accrued interest related to these notes is recorded in accrued expenses and other current liabilities on the accompanying condensed consolidated balance sheets.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senior convertible notes are convertible, at the option of the holder, at any time on or prior to the close of business on the business day immediately preceding the stated maturity date, into shares of the Company’s common stock at an initial conversion rate of 194.1748 shares per $1,000 principal amount of senior convertible notes, which is equal to the initial conversion price of approximately $5.15 per share. The conversion rate is subject to adjustment under certain circumstances described in an indenture governing the senior convertible notes.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the Company undergoes certain fundamental changes, except in certain circumstances, each holder of senior convertible notes will have the option to require the Company to repurchase all or any portion of that holder’s senior convertible notes. The fundamental change repurchase price will be 100% of the principal amount of the senior convertible notes to be repurchased plus accrued and unpaid interest, if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9" w:name="page20"/>
    <w:bookmarkEnd w:id="19"/>
    <w:p>
      <w:pPr>
        <w:spacing w:after="0" w:line="288" w:lineRule="auto"/>
        <w:rPr>
          <w:sz w:val="20"/>
          <w:szCs w:val="20"/>
          <w:color w:val="auto"/>
        </w:rPr>
      </w:pPr>
      <w:r>
        <w:rPr>
          <w:rFonts w:ascii="Arial" w:cs="Arial" w:eastAsia="Arial" w:hAnsi="Arial"/>
          <w:sz w:val="16"/>
          <w:szCs w:val="16"/>
          <w:color w:val="auto"/>
        </w:rPr>
        <w:t>The Company may elect at its option to cause all or any portion of the senior convertible notes to be mandatorily converted in whole or part at any time prior to the close of business on the business day immediately preceding the maturity date, if the last reported sale price of its common stock exceeds 120% of the conversion price then in effect for at least 10 trading days in any 20 consecutive trading day period, ending within five business days prior to the date of the mandatory conversion notice. The redemption price is equal the sum of 100% of the principal amount of the senior convertible notes to be redeemed, plus accrued and unpaid interest. Under the terms of the indenture, the conversion option can be net-share settled and the maximum number of shares that could be required to be delivered under the indenture is fixed and less than the number of authorized and unissued shares less the maximum number of shares that could be required to be delivered during the term of the senior convertible notes under existing commitments. Applying the Company’s sequencing policy, the Company performed an analysis at the time of the offering of the senior convertible notes and each reporting date since and has concluded that the number of available authorized shares at the time of the offering and each reporting date since was sufficient to deliver the number of shares that could be required to be delivered during the term of the senior convertible notes under existing commitments.</w:t>
      </w:r>
    </w:p>
    <w:p>
      <w:pPr>
        <w:spacing w:after="0" w:line="16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senior convertible notes provide that upon acceleration of certain indebtedness, including the Facility Financing Obligation, the holders may elect to accelerate the Company’s repayment obligations under the notes if such acceleration is not cured, waived, rescinded or annulled.</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the exchange of the senior convertible notes during the last quarter of 2017, the Company recorded approximately $0.8 million in debt premium, which is recorded with the senior convertible notes, in the accompanying condensed consolidated balance sheets. The premium is being accreted to interest expense using the effective interest method over the term of the senior convertible notes.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2021 notes for the three and six months ended June 30, 2019 and 2018 are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Borders>
              <w:top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6 – Related Party Arrangements for information regarding the Note payable to related party.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 and Licensing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and six months ended June 30, 2019 and 2018 are as follows (in thousands):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r>
      <w:tr>
        <w:trPr>
          <w:trHeight w:val="223"/>
        </w:trPr>
        <w:tc>
          <w:tcPr>
            <w:tcW w:w="41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9"/>
                <w:szCs w:val="19"/>
                <w:color w:val="auto"/>
              </w:rPr>
            </w:pPr>
          </w:p>
        </w:tc>
        <w:tc>
          <w:tcPr>
            <w:tcW w:w="110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7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7,779</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UT Research Agreement</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1,058</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Receptor Collaboration and License Agreement</w:t>
            </w: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62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Cipla License and Distribution Agreement</w:t>
            </w:r>
          </w:p>
        </w:tc>
        <w:tc>
          <w:tcPr>
            <w:tcW w:w="7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8,937</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9"/>
              </w:rPr>
              <w:t>87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United Therapeutics License Agreement </w:t>
      </w:r>
      <w:r>
        <w:rPr>
          <w:rFonts w:ascii="Arial" w:cs="Arial" w:eastAsia="Arial" w:hAnsi="Arial"/>
          <w:sz w:val="18"/>
          <w:szCs w:val="18"/>
          <w:color w:val="auto"/>
        </w:rPr>
        <w:t>– In September 2018, the Company and United Therapeutics Corporation (“United Therapeutics” or “UT”)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an exclusive global license and collaboration agreement (the “UT License Agreement”) for the rights to the Company’s dry powder formulation of treprostinil and associated inhalation delivery devices. Under the UT License Agreement, UT will be responsible for global development, regulatory and commercial activities with respect to Treprostinil (internally designated “TreT”). The Company will manufacture clinical supplies and initial commercial supplies of TreT.</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the terms of the UT License Agreement, the Company received an upfront payment of $45.0 million in October 2018 and a $12.5 million milestone payment on March 29, 2019. The Company may receive additional milestone payments of up to $37.5 million upon the achievement of specified development targets. The Company will also be entitled to receive low double-digit royalties on net sales of TreT.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The Company recognizes revenue on a ratable basis from October 2018 through December 2021 – the estimated date when its performance obligations for development activities under UT License Agreement will be substantially completed. During the three and six months ended June 30, 2019, the Company recognized $7.8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140"/>
        <w:spacing w:after="0" w:line="259" w:lineRule="auto"/>
        <w:rPr>
          <w:sz w:val="20"/>
          <w:szCs w:val="20"/>
          <w:color w:val="auto"/>
        </w:rPr>
      </w:pPr>
      <w:r>
        <w:rPr>
          <w:rFonts w:ascii="Arial" w:cs="Arial" w:eastAsia="Arial" w:hAnsi="Arial"/>
          <w:sz w:val="18"/>
          <w:szCs w:val="18"/>
          <w:color w:val="auto"/>
        </w:rPr>
        <w:t>million and $15.4 million, respectively, as revenue - collaborations and services. The total deferred revenue consists of $40.8 million of which $32.4 million is current and $8.4 million is long term. Deferred revenue is classified as part of current or long-term liability in the accompanying condensed consolidated balance sheets based on the Company’s estimate of the portion of the performance obligation regarding that revenue will be completed within the next 12 months, and includes payments received as well as payments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the UT License Agreement in accordance with the revenue recognition requirements pursuant to ASC 606:</w:t>
      </w:r>
    </w:p>
    <w:p>
      <w:pPr>
        <w:spacing w:after="0" w:line="266" w:lineRule="exact"/>
        <w:rPr>
          <w:sz w:val="20"/>
          <w:szCs w:val="20"/>
          <w:color w:val="auto"/>
        </w:rPr>
      </w:pPr>
    </w:p>
    <w:p>
      <w:pPr>
        <w:ind w:left="760"/>
        <w:spacing w:after="0" w:line="293" w:lineRule="auto"/>
        <w:rPr>
          <w:sz w:val="20"/>
          <w:szCs w:val="20"/>
          <w:color w:val="auto"/>
        </w:rPr>
      </w:pPr>
      <w:r>
        <w:rPr>
          <w:rFonts w:ascii="Arial" w:cs="Arial" w:eastAsia="Arial" w:hAnsi="Arial"/>
          <w:sz w:val="16"/>
          <w:szCs w:val="16"/>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covered to include products with other active ingredients is not a material right, and thus, not a performance obligation at the onset of the agreement. The consideration for the option will be accounted for if and when it is exercised.</w:t>
      </w:r>
    </w:p>
    <w:p>
      <w:pPr>
        <w:spacing w:after="0" w:line="192" w:lineRule="exact"/>
        <w:rPr>
          <w:sz w:val="20"/>
          <w:szCs w:val="20"/>
          <w:color w:val="auto"/>
        </w:rPr>
      </w:pPr>
    </w:p>
    <w:p>
      <w:pPr>
        <w:ind w:left="760" w:right="480"/>
        <w:spacing w:after="0" w:line="257" w:lineRule="auto"/>
        <w:rPr>
          <w:sz w:val="20"/>
          <w:szCs w:val="20"/>
          <w:color w:val="auto"/>
        </w:rPr>
      </w:pPr>
      <w:r>
        <w:rPr>
          <w:rFonts w:ascii="Arial" w:cs="Arial" w:eastAsia="Arial" w:hAnsi="Arial"/>
          <w:sz w:val="18"/>
          <w:szCs w:val="18"/>
          <w:color w:val="auto"/>
        </w:rPr>
        <w:t>The Company expects to complete the activities specified in the development plan and to achieve the remaining milestone events for total consideration of approximately $100.4 million, which includes an upfront payment, four milestone payments and various pass-through costs. Future commercial supply remains at UT’s option, is valued at a stand-alone selling price and is therefore not accounted for the current arrangement. The Company believes that this method best reflects the measure of progress toward complete satisfaction of the performance obligation.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United Therapeutics Research Agreement </w:t>
      </w:r>
      <w:r>
        <w:rPr>
          <w:rFonts w:ascii="Arial" w:cs="Arial" w:eastAsia="Arial" w:hAnsi="Arial"/>
          <w:sz w:val="17"/>
          <w:szCs w:val="17"/>
          <w:color w:val="auto"/>
        </w:rPr>
        <w:t>– In September 2018, the Company and UT also entered into a research agreement (“UT Research Agreement”)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conduct of research and consulting services in connection with multiple potential products, including evaluating the feasibility of preparing a dry powder formulation of a compound for the treatment of pulmonary hypertension outside the scope of the UT License Agreement. In addition, UT, at its option, may obtain a license to develop, manufacture and commercialize products based on specified compounds within the drug classes covered by the UT Research Agreement. Each specified compound advanced into development and commercialization under such a license would be subject to the payment to the Company of additional milestone payments of up to $30.0 million and a low double-digit royalty on net sales of such products. The Company received an upfront payment of $10.0 million in September 2018.</w:t>
      </w:r>
    </w:p>
    <w:p>
      <w:pPr>
        <w:spacing w:after="0" w:line="2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the inception of the UT Research Agreement, the Company identified two distinct performance obligations. The Company determined that the key deliverables of each performance obligation include (i) the development of a product prototype (including a technical feasibility report) and; (ii) engineering consulting services. Due to the separately identifiable nature of these obligations, the Company has determined that these deliverables represent two distinct performance obligations. The Company also determined that UT’s option to expand the scope to include specific drug classes covered by the agreement is not a material right, and thus, not a performance obligation at the onset of the agreement. The consideration for the option will be accounted for if and when it is exercised.</w:t>
      </w:r>
    </w:p>
    <w:p>
      <w:pPr>
        <w:spacing w:after="0" w:line="22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is recognized using an output method (based on project milestones achieved and surveys of performance completed to date). The Company believes that this method best reflects the measure of progress toward complete satisfaction of the performance obligation. The revenue for the engineering consulting services is recognized using a ratable method until the obligation is satisfied and the Company believes that this method best reflects the measure of progress toward complete satisfaction of the performance obligation. During the three and six months ended June 30, 2019, the Company recognized $1.1 million and $5.7 million as revenue - collaborations and services, respectively. As of June 30, 2019 the deferred revenue balance was $0.5 million.</w:t>
      </w:r>
    </w:p>
    <w:p>
      <w:pPr>
        <w:spacing w:after="0" w:line="20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Receptor Collaboration and License Agreement </w:t>
      </w:r>
      <w:r>
        <w:rPr>
          <w:rFonts w:ascii="Arial" w:cs="Arial" w:eastAsia="Arial" w:hAnsi="Arial"/>
          <w:sz w:val="17"/>
          <w:szCs w:val="17"/>
          <w:color w:val="auto"/>
        </w:rPr>
        <w:t>— In 2016, the Company entered into a Collaboration and License Agreement (the “CLA”) with Receptor</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Inc. (“Receptor”) pursuant to which Receptor subsequently acquired an exclusive license to develop, manufacture and commercialize products that use the Company’s technology to deliver certain compounds via oral inhalation in exchange for $1.3 million in signing fees and upfront license fees. Under the CLA, the Company may also receive nonrefundable milestone payments upon the completion of certain technology transfer activities and the achievement of specified sales targets as well as royalties upon Receptor’s and its sublicensees’ sale of products.</w:t>
      </w:r>
    </w:p>
    <w:p>
      <w:pPr>
        <w:spacing w:after="0" w:line="186"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The $1.0 million license fee received in 2016 was recorded in deferred revenue from collaborations as of December 31, 2016 and is being recognized in net revenue — collaborations over four years, the estimated period over which the Company is required to satisfy the remaining performance obligations. The remaining performance obligations are to provide certain technology transfer activities. Deferred revenue related to this contract was $0.4 million at June 30, 2019 of which $0.3 million was recorded in current liabilities.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right="40"/>
        <w:spacing w:after="0" w:line="255" w:lineRule="auto"/>
        <w:rPr>
          <w:sz w:val="20"/>
          <w:szCs w:val="20"/>
          <w:color w:val="auto"/>
        </w:rPr>
      </w:pPr>
      <w:r>
        <w:rPr>
          <w:rFonts w:ascii="Arial" w:cs="Arial" w:eastAsia="Arial" w:hAnsi="Arial"/>
          <w:sz w:val="18"/>
          <w:szCs w:val="18"/>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Therefore, the receipt of such payments is highly susceptible to factors outside of the Company’s influence, the uncertainty regarding the receipt of these payments is not expected to be resolved for years, and the Company has limited experience with similar contracts. There was no change to the accounting for this contract as a result of the initial application of the new revenue guidance. See Note 1 – Description of Business and Summary of Significant Accounting Policies for additional information on the Company’s revenue recognition accounting policy</w:t>
      </w:r>
    </w:p>
    <w:p>
      <w:pPr>
        <w:spacing w:after="0" w:line="22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agreed to provide certain raw materials and certain additional research and formulation consulting services to Receptor. For the three and six months ended June 30, 2019 and 2018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208"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i w:val="1"/>
          <w:iCs w:val="1"/>
          <w:color w:val="auto"/>
        </w:rPr>
        <w:t xml:space="preserve">Cipla License and Distribution Agreement </w:t>
      </w:r>
      <w:r>
        <w:rPr>
          <w:rFonts w:ascii="Arial" w:cs="Arial" w:eastAsia="Arial" w:hAnsi="Arial"/>
          <w:sz w:val="17"/>
          <w:szCs w:val="17"/>
          <w:color w:val="auto"/>
        </w:rPr>
        <w:t>— In May 2018, the Company and Cipla Ltd. (“Cipla”) entered into an exclusive agreement for the marketing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certain additional regulatory milestone payments, minimum purchase commitment revenue and royalties on Afrezza sales in India once cumulative gross sales have reached a specified threshold.</w:t>
      </w:r>
    </w:p>
    <w:p>
      <w:pPr>
        <w:spacing w:after="0" w:line="16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The Company also recognized $0.2 million as income tax expense for a payment made to the India tax authority in 2018. Deferred revenue related to this contract was $2.0 million at June 30, 2019, of which $0.1 million was recorded in current liabilities.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Biomm Supply and Distribution Agreement </w:t>
      </w:r>
      <w:r>
        <w:rPr>
          <w:rFonts w:ascii="Arial" w:cs="Arial" w:eastAsia="Arial" w:hAnsi="Arial"/>
          <w:sz w:val="18"/>
          <w:szCs w:val="18"/>
          <w:color w:val="auto"/>
        </w:rPr>
        <w:t>– In May 2017, the Company and Biomm S.A. entered into a supply and distribution agreement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Afrezza in Brazil. Under this agreement, Biomm is responsible for preparing and filing the necessary applications for regulatory approval of Afrezza in Brazil, including from the Agência Nacional de Vigilância Sanitária (“ANVISA”) and, with respect to pricing matters, from the Camara de Regulação de Mercado de Medicamentos (“CMED”). Afrezza was approved by ANVISA during the second quarter of 2019; registration by CMED is still pending. The Company will manufacture and supply Afrezza to Biomm, and Biomm will be responsible for promoting and distributing Afrezza within Brazil.</w:t>
      </w:r>
    </w:p>
    <w:p>
      <w:pPr>
        <w:spacing w:after="0" w:line="23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carrying amounts reported in the accompanying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note payable to related party (also referred to as The Mann Group Loan Arrangement), senior convertible notes, the Facility Financing Obligation and the Milestone Rights liability are disclosed below.</w:t>
      </w:r>
    </w:p>
    <w:p>
      <w:pPr>
        <w:spacing w:after="0" w:line="18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Cash Equivalents and restricted cash</w:t>
      </w:r>
      <w:r>
        <w:rPr>
          <w:rFonts w:ascii="Arial" w:cs="Arial" w:eastAsia="Arial" w:hAnsi="Arial"/>
          <w:sz w:val="18"/>
          <w:szCs w:val="18"/>
          <w:color w:val="auto"/>
        </w:rPr>
        <w:t>— Cash equivalents consist of highly liquid investments with original or remaining maturities of 90 days or less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purchase that are readily convertible into cash. As of June 30, 2019 and December 31, 2018, the Company held $8.0 million and $71.2 million, respectively, of cash and cash equivalents. Restricted cash is held in an escrow account as well as used to collateralize a letter of credit. The Company held $5.3 million and $0.5 million in restricted cash as of June 30, 2019 and December 31, 2018, respectively. Both are comprised of money market funds. The fair value of these money market funds was determined by using quoted prices for identical investments in an active market (Level 1 in the fair value hierarchy).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2" w:name="page23"/>
    <w:bookmarkEnd w:id="22"/>
    <w:p>
      <w:pPr>
        <w:ind w:right="100"/>
        <w:spacing w:after="0" w:line="312" w:lineRule="auto"/>
        <w:rPr>
          <w:sz w:val="20"/>
          <w:szCs w:val="20"/>
          <w:color w:val="auto"/>
        </w:rPr>
      </w:pPr>
      <w:r>
        <w:rPr>
          <w:rFonts w:ascii="Arial" w:cs="Arial" w:eastAsia="Arial" w:hAnsi="Arial"/>
          <w:sz w:val="16"/>
          <w:szCs w:val="16"/>
          <w:i w:val="1"/>
          <w:iCs w:val="1"/>
          <w:color w:val="auto"/>
        </w:rPr>
        <w:t>Short-term investments</w:t>
      </w:r>
      <w:r>
        <w:rPr>
          <w:rFonts w:ascii="Arial" w:cs="Arial" w:eastAsia="Arial" w:hAnsi="Arial"/>
          <w:sz w:val="16"/>
          <w:szCs w:val="16"/>
          <w:color w:val="auto"/>
        </w:rPr>
        <w:t>— Short-term investments consist of highly liquid investments that are intended to facilitate liquidity and capital preservation.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2019 the Company held $24.9 million of short-term investments in U.S. Treasury bills or notes. The fair value of short-term investments approximate their carrying value. The measurement of which is based on a market approach using quoted market values (Level 1 in the fair value hierarchy).</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Note Payable to Related Party — </w:t>
      </w:r>
      <w:r>
        <w:rPr>
          <w:rFonts w:ascii="Arial" w:cs="Arial" w:eastAsia="Arial" w:hAnsi="Arial"/>
          <w:sz w:val="17"/>
          <w:szCs w:val="17"/>
          <w:color w:val="auto"/>
        </w:rPr>
        <w:t>The fair value measurement of the note payable is based on discounted cash flow model and it is sensitive to the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yield (Level 3 in the fair value hierarchy). If the yield increases by approximately 2% from 23% to 25%, the fair value of the note payable with the conversion feature would change from $59.5 million to $57.9 million, or a decrease of $1.6 million and 2.7%; if the yield decreases 2% from 23% to 21%, the fair value of the note payable with conversion feature would change from $59.5 million to $61.2 million, or an increase of $1.7 million or 2.9%. If the yield increases by approximately 4% from 23% to 27%, the fair value of the note payable with the conversion feature would change from $59.5 million to $56.3 million, or a decrease of $3.2 million and 5.4%; if the yield decreases 4% from 23% to 19%, the fair value of the note payable with conversion feature would change from $59.5 million to $62.9 million, or an increase of $3.4 million and 5.7%.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June 30,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Carrying 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Facility financing obligation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convertible notes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Note payable to related party</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 rights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Total financial liabilities</w:t>
            </w: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December 31, 2018</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Facility financing obligation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convertible notes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Note payable to related party</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 rights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Total financial liabilities</w:t>
            </w:r>
          </w:p>
        </w:tc>
        <w:tc>
          <w:tcPr>
            <w:tcW w:w="1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102.0</w:t>
            </w:r>
          </w:p>
        </w:tc>
        <w:tc>
          <w:tcPr>
            <w:tcW w:w="240" w:type="dxa"/>
            <w:vAlign w:val="bottom"/>
            <w:gridSpan w:val="2"/>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The fair value measurement of the Milestone Rights liability is sensitive to the discount rate and the timing and probability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making milestone payments. If the achievement of each of the milestones which require payments were to be six months later than in the current forecast, the fair value of the liability would decrease by 6%. If the probabilities of meeting the $50.0 million to $200.0 million milestones were to decrease by 5% or 10%, the fair value of the liability would decrease by 13% and 24%,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20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at December 31, 2018 and no value as of June 30, 2019 due to the repayment of the Tranche B notes in full in May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10.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 was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1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7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three months ended June 30, 2019, the Company issued 533,361 restricted units to the Company’s board of directors which vest immediately. The grant date fair value of the restricted stock units was $0.7 million with a weighted average grant date fair value per share of $1.32. These restricted stock units will not be delivered to the Company’s board of directors until separation of services.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June 30, 2019, the Company granted certain employees stock options to purchase an aggregate of 4,985,363 shares of common stock at a weighted average exercise price of $1.32 per share. The options vest over a four year period. The total grant date fair value of these awards is $6.6 million as determined using a Black-Scholes option pricing model.</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the six months ended June 30, 2019, the Company granted certain employees stock options to purchase an aggregate of 5,333,303 shares of common stock at a weighted average exercise price of $1.33 per share. The options vest over a four year period. The grant date fair value of these awards is $6.1 million with a weighted average grant date fair value of $1.15 per share, as determined using a Black-Scholes option pricing model.</w:t>
      </w:r>
    </w:p>
    <w:p>
      <w:pPr>
        <w:spacing w:after="0" w:line="166" w:lineRule="exact"/>
        <w:rPr>
          <w:sz w:val="20"/>
          <w:szCs w:val="20"/>
          <w:color w:val="auto"/>
        </w:rPr>
      </w:pPr>
    </w:p>
    <w:p>
      <w:pPr>
        <w:jc w:val="both"/>
        <w:ind w:right="900"/>
        <w:spacing w:after="0" w:line="342" w:lineRule="auto"/>
        <w:rPr>
          <w:sz w:val="20"/>
          <w:szCs w:val="20"/>
          <w:color w:val="auto"/>
        </w:rPr>
      </w:pPr>
      <w:r>
        <w:rPr>
          <w:rFonts w:ascii="Arial" w:cs="Arial" w:eastAsia="Arial" w:hAnsi="Arial"/>
          <w:sz w:val="16"/>
          <w:szCs w:val="16"/>
          <w:color w:val="auto"/>
        </w:rPr>
        <w:t>In the Condensed Statements of Stockholders’ Deficit and the Condensed Consolidated Statements of Cash Flows, the prior quarter’s stock-based compensation expense is inclusive of expenses associated with restricted stock unit awards in order to conform to the current quarter presentation.</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June 30, 2019, there were $2.2 million and $12.5 million of unrecognized compensation expense related to restricted stock units and options, respectively, which vest over the vesting period except for certain options that are subject to performance conditions. The Company evaluates performance conditions as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June 30, 2019,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Following the public announcement in January 2016 of Sanofi’s election to terminate a license and collaboration agreement (the “Sanofi License Agreement”) between the Company and sanofi-aventis U.S. LLC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right="60"/>
        <w:spacing w:after="0" w:line="254" w:lineRule="auto"/>
        <w:rPr>
          <w:sz w:val="20"/>
          <w:szCs w:val="20"/>
          <w:color w:val="auto"/>
        </w:rPr>
      </w:pPr>
      <w:r>
        <w:rPr>
          <w:rFonts w:ascii="Arial" w:cs="Arial" w:eastAsia="Arial" w:hAnsi="Arial"/>
          <w:sz w:val="18"/>
          <w:szCs w:val="18"/>
          <w:color w:val="auto"/>
        </w:rPr>
        <w:t>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and following an oral hearing before the Supreme Court of Israel, has decided to withdraw his appeal. Subsequently, in November 2018, the Company filed a motion to dismiss the certification motion. At a case conference in February 2019, the court directed the parties to negotiate a procedure for determining whether the plaintiff can distinguish the claims in the Israeli litigation from those in a U.S. case against the Company based on the same events (which was dismissed by the U.S. district court for the Central District of California in August 2016). In July 2019, the plaintiff asked the court to be allowed to amend his claim. This motion will be heard in September 2019. The Company will continue to vigorously defend against the claims advanced.</w:t>
      </w:r>
    </w:p>
    <w:p>
      <w:pPr>
        <w:spacing w:after="0" w:line="19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In connection with the Facility Agreement, on July 1, 2013, the Company also entered into a Milestone Agreement with the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Purchasers, pursuant to which the Company sold the Milestone Purchasers the Milestone Rights to receive payments up to $90.0 million upon the occurrence of specified strategic and sales milestones, $75.0 million of which remains payable upon achievement of such milestones (see Note 7 – Borrowings).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227"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In December 2018, the Insulin Supply Agreement with Amphastar was amended to extend the term over which the Company is required to purchase insulin, without reducing the total amount of insulin to be purchased. Under the amendment, annual minimum quantities of insulin to be purchased for calendar years 2018 through 2024 total an aggregate purchase price of €90.3 million. As of June 30, 2019, the remaining purchase amount is €82.3 million. See also Note 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Subsequent Events.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2019</w:t>
            </w:r>
          </w:p>
        </w:tc>
        <w:tc>
          <w:tcPr>
            <w:tcW w:w="2860" w:type="dxa"/>
            <w:vAlign w:val="bottom"/>
            <w:shd w:val="clear" w:color="auto" w:fill="CFF0FC"/>
          </w:tcPr>
          <w:p>
            <w:pPr>
              <w:ind w:left="2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million</w:t>
            </w:r>
          </w:p>
        </w:tc>
      </w:tr>
      <w:tr>
        <w:trPr>
          <w:trHeight w:val="230"/>
        </w:trPr>
        <w:tc>
          <w:tcPr>
            <w:tcW w:w="2940" w:type="dxa"/>
            <w:vAlign w:val="bottom"/>
          </w:tcPr>
          <w:p>
            <w:pPr>
              <w:jc w:val="right"/>
              <w:ind w:right="2490"/>
              <w:spacing w:after="0"/>
              <w:rPr>
                <w:sz w:val="20"/>
                <w:szCs w:val="20"/>
                <w:color w:val="auto"/>
              </w:rPr>
            </w:pPr>
            <w:r>
              <w:rPr>
                <w:rFonts w:ascii="Arial" w:cs="Arial" w:eastAsia="Arial" w:hAnsi="Arial"/>
                <w:sz w:val="18"/>
                <w:szCs w:val="18"/>
                <w:color w:val="auto"/>
                <w:w w:val="84"/>
              </w:rPr>
              <w:t>2020</w:t>
            </w:r>
          </w:p>
        </w:tc>
        <w:tc>
          <w:tcPr>
            <w:tcW w:w="2860" w:type="dxa"/>
            <w:vAlign w:val="bottom"/>
          </w:tcPr>
          <w:p>
            <w:pPr>
              <w:ind w:left="26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 million</w:t>
            </w:r>
          </w:p>
        </w:tc>
      </w:tr>
      <w:tr>
        <w:trPr>
          <w:trHeight w:val="230"/>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2021</w:t>
            </w:r>
          </w:p>
        </w:tc>
        <w:tc>
          <w:tcPr>
            <w:tcW w:w="2860" w:type="dxa"/>
            <w:vAlign w:val="bottom"/>
            <w:shd w:val="clear" w:color="auto" w:fill="CFF0FC"/>
          </w:tcPr>
          <w:p>
            <w:pPr>
              <w:ind w:left="2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 million</w:t>
            </w:r>
          </w:p>
        </w:tc>
      </w:tr>
      <w:tr>
        <w:trPr>
          <w:trHeight w:val="230"/>
        </w:trPr>
        <w:tc>
          <w:tcPr>
            <w:tcW w:w="2940" w:type="dxa"/>
            <w:vAlign w:val="bottom"/>
          </w:tcPr>
          <w:p>
            <w:pPr>
              <w:jc w:val="right"/>
              <w:ind w:right="2490"/>
              <w:spacing w:after="0"/>
              <w:rPr>
                <w:sz w:val="20"/>
                <w:szCs w:val="20"/>
                <w:color w:val="auto"/>
              </w:rPr>
            </w:pPr>
            <w:r>
              <w:rPr>
                <w:rFonts w:ascii="Arial" w:cs="Arial" w:eastAsia="Arial" w:hAnsi="Arial"/>
                <w:sz w:val="18"/>
                <w:szCs w:val="18"/>
                <w:color w:val="auto"/>
                <w:w w:val="84"/>
              </w:rPr>
              <w:t>2022</w:t>
            </w:r>
          </w:p>
        </w:tc>
        <w:tc>
          <w:tcPr>
            <w:tcW w:w="2860" w:type="dxa"/>
            <w:vAlign w:val="bottom"/>
          </w:tcPr>
          <w:p>
            <w:pPr>
              <w:ind w:left="26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 million</w:t>
            </w:r>
          </w:p>
        </w:tc>
      </w:tr>
      <w:tr>
        <w:trPr>
          <w:trHeight w:val="230"/>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2023</w:t>
            </w:r>
          </w:p>
        </w:tc>
        <w:tc>
          <w:tcPr>
            <w:tcW w:w="2860" w:type="dxa"/>
            <w:vAlign w:val="bottom"/>
            <w:shd w:val="clear" w:color="auto" w:fill="CFF0FC"/>
          </w:tcPr>
          <w:p>
            <w:pPr>
              <w:ind w:left="2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 million</w:t>
            </w:r>
          </w:p>
        </w:tc>
      </w:tr>
      <w:tr>
        <w:trPr>
          <w:trHeight w:val="230"/>
        </w:trPr>
        <w:tc>
          <w:tcPr>
            <w:tcW w:w="2940" w:type="dxa"/>
            <w:vAlign w:val="bottom"/>
          </w:tcPr>
          <w:p>
            <w:pPr>
              <w:jc w:val="right"/>
              <w:ind w:right="2490"/>
              <w:spacing w:after="0"/>
              <w:rPr>
                <w:sz w:val="20"/>
                <w:szCs w:val="20"/>
                <w:color w:val="auto"/>
              </w:rPr>
            </w:pPr>
            <w:r>
              <w:rPr>
                <w:rFonts w:ascii="Arial" w:cs="Arial" w:eastAsia="Arial" w:hAnsi="Arial"/>
                <w:sz w:val="18"/>
                <w:szCs w:val="18"/>
                <w:color w:val="auto"/>
                <w:w w:val="84"/>
              </w:rPr>
              <w:t>2024</w:t>
            </w:r>
          </w:p>
        </w:tc>
        <w:tc>
          <w:tcPr>
            <w:tcW w:w="2860" w:type="dxa"/>
            <w:vAlign w:val="bottom"/>
          </w:tcPr>
          <w:p>
            <w:pPr>
              <w:ind w:left="26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 million</w:t>
            </w:r>
          </w:p>
        </w:tc>
      </w:tr>
    </w:tbl>
    <w:p>
      <w:pPr>
        <w:spacing w:after="0" w:line="20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Unless terminated earlier, the term of the Insulin Supply Agreement expires on December 31, 2024 and can be renewed for additional, successive two year term upon 12 months’ written notice given prior to the end of the initial term or any additional two 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On April 1, 2019, the Company entered into a foreign currency hedging transaction to mitigate its exposure to foreign currency exchange risks. The hedging transaction hedges against short-term currency fluctuations for the remaining current year purchase requirement amount of €3.9 million and is renewable every 90 days. The Company realized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currency loss during second quarter of 2019. This amount is recorded in other income and expense.</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On April 5, 2018, the Company entered into securities purchase agreements with certain institutional investors. Pursuant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agreements, the Company sold to the purchasers in a registered offering an aggregate of 14,000,000 shares of its common stock and warrants to purchase up to an aggregate of 14,000,000 shares of its common stock at a combined purchase price of $2.00 per share and accompanying warrant. The shares of the common stock and the warrants were immediately separable. The Company determined that these warrants met the criteria for equity classification and accounted for such warrants in additional paid-in capital. The warrants were exercisable at a price of $2.38 per share and all warrants expired unexercised on April 9,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40"/>
        <w:spacing w:after="0" w:line="293" w:lineRule="auto"/>
        <w:rPr>
          <w:sz w:val="20"/>
          <w:szCs w:val="20"/>
          <w:color w:val="auto"/>
        </w:rPr>
      </w:pPr>
      <w:r>
        <w:rPr>
          <w:rFonts w:ascii="Arial" w:cs="Arial" w:eastAsia="Arial" w:hAnsi="Arial"/>
          <w:sz w:val="16"/>
          <w:szCs w:val="16"/>
          <w:color w:val="auto"/>
        </w:rPr>
        <w:t>On December 19, 2018, the Company entered into an underwriting agreement with Leerink Partners LLC relating to the issuance and sale in a public offering of 26,666,667 shares of the Company’s common stock and warrants to purchase up to an aggregate of 26,666,667 shares of the Company’s common stock (the “December warrants”) at a combined purchase price of $1.50 per share and accompanying warrant. The shares of common stock and the December warrants were immediately separable. The December warrants are exercisable at a price of $1.60 per share and will expire on December 26, 2019. The net proceeds to the Company from the offering were approximately $37.3 million. The offering closed on December 26, 2018. The Company determined that the December warrants met the criteria for equity classification and accounted for such warrants in additional paid-in capital.</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Vehicle Leases – </w:t>
      </w:r>
      <w:r>
        <w:rPr>
          <w:rFonts w:ascii="Arial" w:cs="Arial" w:eastAsia="Arial" w:hAnsi="Arial"/>
          <w:sz w:val="17"/>
          <w:szCs w:val="17"/>
          <w:color w:val="auto"/>
        </w:rPr>
        <w:t>During the second quarter of 2018, the Company entered into a lease agreement with Enterprise Fleet Management Inc. for the 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119 vehicles. The lease requires monthly payments of approximately $83,000 per month including the cost of maintaining the vehicles, taxes and insurance. This amount excludes other variable payments such as storage fees. The lease commenced when the Company took possession of the majority of the vehicles in the second quarter of 2018 and expires 48 months after the delivery date. During the second quarter of 2019, 23 vehicles were removed from the fleet, resulting in a fleet size of 96 vehicles; no gain or loss was recorded. The revised monthly payment inclusive of maintenance fees, insurance and taxes is $69,000 and the reduction of the right of use asset and lease obligation is approximately $0.3 million in our condensed consolidated balance sheets. The lease expense is included in selling, general and administrative expenses in the accompanying condensed consolidated statement of operations for the three and six months ended June 30, 2019.</w:t>
      </w:r>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Upon adoption of the new lease guidance, the agreement was classified as an operating lease which resulted in recording right-of-use assets and lease liabilities of approximately $1.6 million, respectively, as of January 1, 2019. These amounts included approximately $1.6 million of non-current other assets and approximately $0.6 million and $1.3 million of other current liabilities and operating lease liabilities, respectively.</w:t>
      </w:r>
    </w:p>
    <w:p>
      <w:pPr>
        <w:spacing w:after="0" w:line="2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Office Lease </w:t>
      </w:r>
      <w:r>
        <w:rPr>
          <w:rFonts w:ascii="Arial" w:cs="Arial" w:eastAsia="Arial" w:hAnsi="Arial"/>
          <w:sz w:val="17"/>
          <w:szCs w:val="17"/>
          <w:color w:val="auto"/>
        </w:rPr>
        <w:t>— On May 5, 2017, the Company executed an office lease with Russell Ranch Road II LLC for the Company’s corporate headquarters in</w:t>
      </w:r>
      <w:r>
        <w:rPr>
          <w:rFonts w:ascii="Arial" w:cs="Arial" w:eastAsia="Arial" w:hAnsi="Arial"/>
          <w:sz w:val="17"/>
          <w:szCs w:val="17"/>
          <w:i w:val="1"/>
          <w:iCs w:val="1"/>
          <w:color w:val="auto"/>
        </w:rPr>
        <w:t xml:space="preserve"> </w:t>
      </w:r>
      <w:r>
        <w:rPr>
          <w:rFonts w:ascii="Arial" w:cs="Arial" w:eastAsia="Arial" w:hAnsi="Arial"/>
          <w:sz w:val="17"/>
          <w:szCs w:val="17"/>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 month concession from October 2017 through February 2018. The lease also provides for allowances for tenant alterations and maintenance. The lease expires in January 2023 and provides the Company with a five year renewal option. The lease expense is included in selling, general and administrative expenses in the accompanying condensed consolidated statement of operations for three and six months ended June 30, 2019.</w:t>
      </w:r>
    </w:p>
    <w:p>
      <w:pPr>
        <w:spacing w:after="0" w:line="17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November 29,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3% annual increases, plus the estimated operating costs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 year renewal option.</w:t>
      </w:r>
    </w:p>
    <w:p>
      <w:pPr>
        <w:spacing w:after="0" w:line="15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Upon adoption of the new guidance, this lease was classified as an operating lease which resulted in recording right-of-use assets and lease liabilities of approximately $3.2 million and $3.5 million, respectively, as of January 1, 2019. These amounts included approximately $0.9 million and $2.6 million of other current liabilities and operating lease liabilities, respectively.</w:t>
      </w:r>
    </w:p>
    <w:p>
      <w:pPr>
        <w:spacing w:after="0" w:line="181" w:lineRule="exact"/>
        <w:rPr>
          <w:sz w:val="20"/>
          <w:szCs w:val="20"/>
          <w:color w:val="auto"/>
        </w:rPr>
      </w:pPr>
    </w:p>
    <w:p>
      <w:pPr>
        <w:ind w:right="220"/>
        <w:spacing w:after="0" w:line="325" w:lineRule="auto"/>
        <w:rPr>
          <w:sz w:val="20"/>
          <w:szCs w:val="20"/>
          <w:color w:val="auto"/>
        </w:rPr>
      </w:pPr>
      <w:r>
        <w:rPr>
          <w:rFonts w:ascii="Arial" w:cs="Arial" w:eastAsia="Arial" w:hAnsi="Arial"/>
          <w:sz w:val="16"/>
          <w:szCs w:val="16"/>
          <w:color w:val="auto"/>
        </w:rPr>
        <w:t>Operating lease costs under all operating leases including office space and equipment for the three and six months ended June 30, 2019 was approximately $0.3 million and $0.8 million, respectively. Cash paid for all operating leases for the three and six months ended June 30, 2019 was $0.2 million and $0.7 million, respectively. Variable lease costs were approximately $0.1 million and $0.2 million for the three and six months ended June 30, 2019, respectively. The weighted average discount rate used was 7.2%. The weighted-average remaining lease term for all operating leases is 3.6 years.</w:t>
      </w:r>
    </w:p>
    <w:p>
      <w:pPr>
        <w:spacing w:after="0" w:line="1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Rent expense under all operating leases for the three and six months ended June 30, 2018 including office space and equipment was approximately $0.1 million and $0.2 million, respectively, prior to the adoption of ASC topic 842.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Future minimum office and vehicle lease payments as of June 30, 2019 and December 31, 2018,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(Remainder)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742,078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1,595,421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1,503,192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1,623,835</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1,532,458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1,653,101</w:t>
            </w: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1,254,828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1,305,096</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6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5,120,513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6,265,410</w:t>
            </w: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2018 amounts above are inclusive of office and vehicle lease payments in order to conform to the current year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2015 remain subject to examination by federal, state and foreign tax authorities.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July 2019 Exchange Agreement</w:t>
      </w:r>
    </w:p>
    <w:p>
      <w:pPr>
        <w:spacing w:after="0" w:line="13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On July 18, 2019, the Company entered into an exchange agreement with Deerfield pursuant to which the Company agreed to, among other things, (i) repay approximately $2.4 million in aggregate principal amount under the 2019 notes held by Deerfield (the “Tranche 4 Notes”) and pay accrued and unpaid interest on the entire principal amount of the Tranche 4 Notes that had been outstanding, and (ii) issue an aggregate of 1,514,423 shares of the Company’s common stock (the “Exchange Shares”) to Deerfield in exchange for approximately $1.6 million in aggregate principal amount of Tranche 4 Notes. The exchange price per Exchange Share was $1.04, which was the closing price of the Company’s common stock on July 17, 2019 as reported on the Nasdaq Stock Market. The principal amount repaid and exchanged under the Tranche 4 Notes represented the principal amount that would have otherwise become due and payable on July 18, 2019 under the Tranche 4 Notes.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 Repurchase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On July 18, 2019, the Company repurchased for approximately $433,000 a December warrant to acquire 3,333,334 shares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repurchase of the December warrant, it was cancelled and is no longer issued and outstanding.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Amphastar Amendment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August 2, 2019, the Company and Amphastar amended the Insulin Supply Agreement to extend the term an additional two years (to December 31,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to restructure the annual purchase commitments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jc w:val="right"/>
              <w:ind w:right="752"/>
              <w:spacing w:after="0"/>
              <w:rPr>
                <w:sz w:val="20"/>
                <w:szCs w:val="20"/>
                <w:color w:val="auto"/>
              </w:rPr>
            </w:pPr>
            <w:r>
              <w:rPr>
                <w:rFonts w:ascii="Arial" w:cs="Arial" w:eastAsia="Arial" w:hAnsi="Arial"/>
                <w:sz w:val="14"/>
                <w:szCs w:val="14"/>
                <w:b w:val="1"/>
                <w:bCs w:val="1"/>
                <w:color w:val="auto"/>
              </w:rPr>
              <w:t>As of June 30, 2019</w:t>
            </w:r>
          </w:p>
        </w:tc>
        <w:tc>
          <w:tcPr>
            <w:tcW w:w="320" w:type="dxa"/>
            <w:vAlign w:val="bottom"/>
          </w:tcPr>
          <w:p>
            <w:pPr>
              <w:spacing w:after="0"/>
              <w:rPr>
                <w:sz w:val="14"/>
                <w:szCs w:val="14"/>
                <w:color w:val="auto"/>
              </w:rPr>
            </w:pPr>
          </w:p>
        </w:tc>
        <w:tc>
          <w:tcPr>
            <w:tcW w:w="2860" w:type="dxa"/>
            <w:vAlign w:val="bottom"/>
            <w:gridSpan w:val="2"/>
          </w:tcPr>
          <w:p>
            <w:pPr>
              <w:ind w:left="520"/>
              <w:spacing w:after="0"/>
              <w:rPr>
                <w:sz w:val="20"/>
                <w:szCs w:val="20"/>
                <w:color w:val="auto"/>
              </w:rPr>
            </w:pPr>
            <w:r>
              <w:rPr>
                <w:rFonts w:ascii="Arial" w:cs="Arial" w:eastAsia="Arial" w:hAnsi="Arial"/>
                <w:sz w:val="14"/>
                <w:szCs w:val="14"/>
                <w:b w:val="1"/>
                <w:bCs w:val="1"/>
                <w:color w:val="auto"/>
              </w:rPr>
              <w:t>As amended August 2, 2019</w:t>
            </w:r>
          </w:p>
        </w:tc>
        <w:tc>
          <w:tcPr>
            <w:tcW w:w="1680" w:type="dxa"/>
            <w:vAlign w:val="bottom"/>
          </w:tcPr>
          <w:p>
            <w:pPr>
              <w:spacing w:after="0"/>
              <w:rPr>
                <w:sz w:val="14"/>
                <w:szCs w:val="14"/>
                <w:color w:val="auto"/>
              </w:rPr>
            </w:pPr>
          </w:p>
        </w:tc>
      </w:tr>
      <w:tr>
        <w:trPr>
          <w:trHeight w:val="223"/>
        </w:trPr>
        <w:tc>
          <w:tcPr>
            <w:tcW w:w="1680" w:type="dxa"/>
            <w:vAlign w:val="bottom"/>
          </w:tcPr>
          <w:p>
            <w:pPr>
              <w:spacing w:after="0"/>
              <w:rPr>
                <w:sz w:val="19"/>
                <w:szCs w:val="19"/>
                <w:color w:val="auto"/>
              </w:rPr>
            </w:pPr>
          </w:p>
        </w:tc>
        <w:tc>
          <w:tcPr>
            <w:tcW w:w="1160" w:type="dxa"/>
            <w:vAlign w:val="bottom"/>
            <w:tcBorders>
              <w:top w:val="single" w:sz="8" w:color="CFF0FC"/>
            </w:tcBorders>
            <w:shd w:val="clear" w:color="auto" w:fill="CFF0FC"/>
          </w:tcPr>
          <w:p>
            <w:pPr>
              <w:jc w:val="right"/>
              <w:ind w:right="710"/>
              <w:spacing w:after="0"/>
              <w:rPr>
                <w:sz w:val="20"/>
                <w:szCs w:val="20"/>
                <w:color w:val="auto"/>
              </w:rPr>
            </w:pPr>
            <w:r>
              <w:rPr>
                <w:rFonts w:ascii="Arial" w:cs="Arial" w:eastAsia="Arial" w:hAnsi="Arial"/>
                <w:sz w:val="18"/>
                <w:szCs w:val="18"/>
                <w:color w:val="auto"/>
                <w:w w:val="84"/>
              </w:rPr>
              <w:t>2019</w:t>
            </w:r>
          </w:p>
        </w:tc>
        <w:tc>
          <w:tcPr>
            <w:tcW w:w="900" w:type="dxa"/>
            <w:vAlign w:val="bottom"/>
            <w:tcBorders>
              <w:top w:val="single" w:sz="8" w:color="CFF0FC"/>
            </w:tcBorders>
            <w:shd w:val="clear" w:color="auto" w:fill="CFF0FC"/>
          </w:tcPr>
          <w:p>
            <w:pPr>
              <w:ind w:left="80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million</w:t>
            </w:r>
          </w:p>
        </w:tc>
        <w:tc>
          <w:tcPr>
            <w:tcW w:w="32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2760" w:type="dxa"/>
            <w:vAlign w:val="bottom"/>
            <w:tcBorders>
              <w:top w:val="single" w:sz="8" w:color="auto"/>
            </w:tcBorders>
            <w:shd w:val="clear" w:color="auto" w:fill="CFF0FC"/>
          </w:tcPr>
          <w:p>
            <w:pPr>
              <w:jc w:val="right"/>
              <w:ind w:right="117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1160" w:type="dxa"/>
            <w:vAlign w:val="bottom"/>
          </w:tcPr>
          <w:p>
            <w:pPr>
              <w:jc w:val="right"/>
              <w:ind w:right="710"/>
              <w:spacing w:after="0"/>
              <w:rPr>
                <w:sz w:val="20"/>
                <w:szCs w:val="20"/>
                <w:color w:val="auto"/>
              </w:rPr>
            </w:pPr>
            <w:r>
              <w:rPr>
                <w:rFonts w:ascii="Arial" w:cs="Arial" w:eastAsia="Arial" w:hAnsi="Arial"/>
                <w:sz w:val="18"/>
                <w:szCs w:val="18"/>
                <w:color w:val="auto"/>
                <w:w w:val="84"/>
              </w:rPr>
              <w:t>2020</w:t>
            </w:r>
          </w:p>
        </w:tc>
        <w:tc>
          <w:tcPr>
            <w:tcW w:w="900" w:type="dxa"/>
            <w:vAlign w:val="bottom"/>
          </w:tcPr>
          <w:p>
            <w:pPr>
              <w:ind w:left="800"/>
              <w:spacing w:after="0"/>
              <w:rPr>
                <w:sz w:val="20"/>
                <w:szCs w:val="20"/>
                <w:color w:val="auto"/>
              </w:rPr>
            </w:pPr>
            <w:r>
              <w:rPr>
                <w:rFonts w:ascii="Arial" w:cs="Arial" w:eastAsia="Arial" w:hAnsi="Arial"/>
                <w:sz w:val="18"/>
                <w:szCs w:val="18"/>
                <w:color w:val="auto"/>
                <w:w w:val="79"/>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15.9 million</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6.6 million</w:t>
            </w:r>
          </w:p>
        </w:tc>
        <w:tc>
          <w:tcPr>
            <w:tcW w:w="168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116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84"/>
              </w:rPr>
              <w:t>2021</w:t>
            </w:r>
          </w:p>
        </w:tc>
        <w:tc>
          <w:tcPr>
            <w:tcW w:w="9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79"/>
              </w:rPr>
              <w:t>€</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 million</w:t>
            </w:r>
          </w:p>
        </w:tc>
        <w:tc>
          <w:tcPr>
            <w:tcW w:w="3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2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 million</w:t>
            </w:r>
          </w:p>
        </w:tc>
        <w:tc>
          <w:tcPr>
            <w:tcW w:w="168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1160" w:type="dxa"/>
            <w:vAlign w:val="bottom"/>
          </w:tcPr>
          <w:p>
            <w:pPr>
              <w:jc w:val="right"/>
              <w:ind w:right="710"/>
              <w:spacing w:after="0"/>
              <w:rPr>
                <w:sz w:val="20"/>
                <w:szCs w:val="20"/>
                <w:color w:val="auto"/>
              </w:rPr>
            </w:pPr>
            <w:r>
              <w:rPr>
                <w:rFonts w:ascii="Arial" w:cs="Arial" w:eastAsia="Arial" w:hAnsi="Arial"/>
                <w:sz w:val="18"/>
                <w:szCs w:val="18"/>
                <w:color w:val="auto"/>
                <w:w w:val="84"/>
              </w:rPr>
              <w:t>2022</w:t>
            </w:r>
          </w:p>
        </w:tc>
        <w:tc>
          <w:tcPr>
            <w:tcW w:w="900" w:type="dxa"/>
            <w:vAlign w:val="bottom"/>
          </w:tcPr>
          <w:p>
            <w:pPr>
              <w:ind w:left="800"/>
              <w:spacing w:after="0"/>
              <w:rPr>
                <w:sz w:val="20"/>
                <w:szCs w:val="20"/>
                <w:color w:val="auto"/>
              </w:rPr>
            </w:pPr>
            <w:r>
              <w:rPr>
                <w:rFonts w:ascii="Arial" w:cs="Arial" w:eastAsia="Arial" w:hAnsi="Arial"/>
                <w:sz w:val="18"/>
                <w:szCs w:val="18"/>
                <w:color w:val="auto"/>
                <w:w w:val="79"/>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19.8 million</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8.5 million</w:t>
            </w:r>
          </w:p>
        </w:tc>
        <w:tc>
          <w:tcPr>
            <w:tcW w:w="168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116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84"/>
              </w:rPr>
              <w:t>2023</w:t>
            </w:r>
          </w:p>
        </w:tc>
        <w:tc>
          <w:tcPr>
            <w:tcW w:w="9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79"/>
              </w:rPr>
              <w:t>€</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 million</w:t>
            </w:r>
          </w:p>
        </w:tc>
        <w:tc>
          <w:tcPr>
            <w:tcW w:w="3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2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 million</w:t>
            </w:r>
          </w:p>
        </w:tc>
        <w:tc>
          <w:tcPr>
            <w:tcW w:w="168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1160" w:type="dxa"/>
            <w:vAlign w:val="bottom"/>
          </w:tcPr>
          <w:p>
            <w:pPr>
              <w:jc w:val="right"/>
              <w:ind w:right="710"/>
              <w:spacing w:after="0"/>
              <w:rPr>
                <w:sz w:val="20"/>
                <w:szCs w:val="20"/>
                <w:color w:val="auto"/>
              </w:rPr>
            </w:pPr>
            <w:r>
              <w:rPr>
                <w:rFonts w:ascii="Arial" w:cs="Arial" w:eastAsia="Arial" w:hAnsi="Arial"/>
                <w:sz w:val="18"/>
                <w:szCs w:val="18"/>
                <w:color w:val="auto"/>
                <w:w w:val="84"/>
              </w:rPr>
              <w:t>2024</w:t>
            </w:r>
          </w:p>
        </w:tc>
        <w:tc>
          <w:tcPr>
            <w:tcW w:w="900" w:type="dxa"/>
            <w:vAlign w:val="bottom"/>
          </w:tcPr>
          <w:p>
            <w:pPr>
              <w:ind w:left="800"/>
              <w:spacing w:after="0"/>
              <w:rPr>
                <w:sz w:val="20"/>
                <w:szCs w:val="20"/>
                <w:color w:val="auto"/>
              </w:rPr>
            </w:pPr>
            <w:r>
              <w:rPr>
                <w:rFonts w:ascii="Arial" w:cs="Arial" w:eastAsia="Arial" w:hAnsi="Arial"/>
                <w:sz w:val="18"/>
                <w:szCs w:val="18"/>
                <w:color w:val="auto"/>
                <w:w w:val="79"/>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8.6 million</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14.6 million</w:t>
            </w:r>
          </w:p>
        </w:tc>
        <w:tc>
          <w:tcPr>
            <w:tcW w:w="168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116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84"/>
              </w:rPr>
              <w:t>2025</w:t>
            </w:r>
          </w:p>
        </w:tc>
        <w:tc>
          <w:tcPr>
            <w:tcW w:w="9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79"/>
              </w:rPr>
              <w:t>€</w:t>
            </w:r>
          </w:p>
        </w:tc>
        <w:tc>
          <w:tcPr>
            <w:tcW w:w="2840" w:type="dxa"/>
            <w:vAlign w:val="bottom"/>
            <w:shd w:val="clear" w:color="auto" w:fill="CFF0FC"/>
          </w:tcPr>
          <w:p>
            <w:pPr>
              <w:jc w:val="right"/>
              <w:ind w:right="1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2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15.5 million</w:t>
            </w:r>
          </w:p>
        </w:tc>
        <w:tc>
          <w:tcPr>
            <w:tcW w:w="1680" w:type="dxa"/>
            <w:vAlign w:val="bottom"/>
          </w:tcPr>
          <w:p>
            <w:pPr>
              <w:spacing w:after="0"/>
              <w:rPr>
                <w:sz w:val="19"/>
                <w:szCs w:val="19"/>
                <w:color w:val="auto"/>
              </w:rPr>
            </w:pPr>
          </w:p>
        </w:tc>
      </w:tr>
      <w:tr>
        <w:trPr>
          <w:trHeight w:val="230"/>
        </w:trPr>
        <w:tc>
          <w:tcPr>
            <w:tcW w:w="1680" w:type="dxa"/>
            <w:vAlign w:val="bottom"/>
          </w:tcPr>
          <w:p>
            <w:pPr>
              <w:spacing w:after="0"/>
              <w:rPr>
                <w:sz w:val="20"/>
                <w:szCs w:val="20"/>
                <w:color w:val="auto"/>
              </w:rPr>
            </w:pPr>
          </w:p>
        </w:tc>
        <w:tc>
          <w:tcPr>
            <w:tcW w:w="1160" w:type="dxa"/>
            <w:vAlign w:val="bottom"/>
          </w:tcPr>
          <w:p>
            <w:pPr>
              <w:jc w:val="right"/>
              <w:ind w:right="710"/>
              <w:spacing w:after="0"/>
              <w:rPr>
                <w:sz w:val="20"/>
                <w:szCs w:val="20"/>
                <w:color w:val="auto"/>
              </w:rPr>
            </w:pPr>
            <w:r>
              <w:rPr>
                <w:rFonts w:ascii="Arial" w:cs="Arial" w:eastAsia="Arial" w:hAnsi="Arial"/>
                <w:sz w:val="18"/>
                <w:szCs w:val="18"/>
                <w:color w:val="auto"/>
                <w:w w:val="84"/>
              </w:rPr>
              <w:t>2026</w:t>
            </w:r>
          </w:p>
        </w:tc>
        <w:tc>
          <w:tcPr>
            <w:tcW w:w="900" w:type="dxa"/>
            <w:vAlign w:val="bottom"/>
          </w:tcPr>
          <w:p>
            <w:pPr>
              <w:ind w:left="800"/>
              <w:spacing w:after="0"/>
              <w:rPr>
                <w:sz w:val="20"/>
                <w:szCs w:val="20"/>
                <w:color w:val="auto"/>
              </w:rPr>
            </w:pPr>
            <w:r>
              <w:rPr>
                <w:rFonts w:ascii="Arial" w:cs="Arial" w:eastAsia="Arial" w:hAnsi="Arial"/>
                <w:sz w:val="18"/>
                <w:szCs w:val="18"/>
                <w:color w:val="auto"/>
                <w:w w:val="79"/>
              </w:rPr>
              <w:t>€</w:t>
            </w:r>
          </w:p>
        </w:tc>
        <w:tc>
          <w:tcPr>
            <w:tcW w:w="2840" w:type="dxa"/>
            <w:vAlign w:val="bottom"/>
          </w:tcPr>
          <w:p>
            <w:pPr>
              <w:jc w:val="right"/>
              <w:ind w:right="1212"/>
              <w:spacing w:after="0"/>
              <w:rPr>
                <w:sz w:val="20"/>
                <w:szCs w:val="20"/>
                <w:color w:val="auto"/>
              </w:rPr>
            </w:pPr>
            <w:r>
              <w:rPr>
                <w:rFonts w:ascii="Arial" w:cs="Arial" w:eastAsia="Arial" w:hAnsi="Arial"/>
                <w:sz w:val="18"/>
                <w:szCs w:val="18"/>
                <w:color w:val="auto"/>
              </w:rPr>
              <w:t>—</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19.4 million</w:t>
            </w:r>
          </w:p>
        </w:tc>
        <w:tc>
          <w:tcPr>
            <w:tcW w:w="1680" w:type="dxa"/>
            <w:vAlign w:val="bottom"/>
          </w:tcPr>
          <w:p>
            <w:pPr>
              <w:spacing w:after="0"/>
              <w:rPr>
                <w:sz w:val="20"/>
                <w:szCs w:val="20"/>
                <w:color w:val="auto"/>
              </w:rPr>
            </w:pPr>
          </w:p>
        </w:tc>
      </w:tr>
      <w:tr>
        <w:trPr>
          <w:trHeight w:val="431"/>
        </w:trPr>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Pr>
          <w:p>
            <w:pPr>
              <w:jc w:val="right"/>
              <w:ind w:right="692"/>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t>In connection with this amendment, the Company is obligated to pay amendment fees of $1.5 million by September 15, 2019 and $1.25 million by December 15,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MidCap Credit Facility</w:t>
      </w:r>
    </w:p>
    <w:p>
      <w:pPr>
        <w:spacing w:after="0" w:line="117" w:lineRule="exact"/>
        <w:rPr>
          <w:sz w:val="20"/>
          <w:szCs w:val="20"/>
          <w:color w:val="auto"/>
        </w:rPr>
      </w:pPr>
    </w:p>
    <w:p>
      <w:pPr>
        <w:jc w:val="both"/>
        <w:ind w:right="740"/>
        <w:spacing w:after="0" w:line="286" w:lineRule="auto"/>
        <w:rPr>
          <w:sz w:val="20"/>
          <w:szCs w:val="20"/>
          <w:color w:val="auto"/>
        </w:rPr>
      </w:pPr>
      <w:r>
        <w:rPr>
          <w:rFonts w:ascii="Arial" w:cs="Arial" w:eastAsia="Arial" w:hAnsi="Arial"/>
          <w:sz w:val="17"/>
          <w:szCs w:val="17"/>
          <w:color w:val="auto"/>
        </w:rPr>
        <w:t>On August 6, 2019 (the “Closing Date”), MannKind Corporation (“MannKind”) entered into a Credit and Security Agreement (the “MidCap Credit Facility”), by and among MannKind, MannKind LLC, the Company’s wholly owned subsidiary (“MannKind LLC”, and together with MannKind, collectively, the “Company”), the lenders party thereto from time to time and MidCap Financial Trust (“MidCap”), as agent.</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MidCap Credit Facility provides a secured term loan facility in an aggregate principal amount of up to $75.0 million. The Company borrowed the first advance of $40.0 million (“Tranche 1”) on August 6, 2019. Under the terms of the MidCap Credit Facility, the second advance of $10.0 million (“Tranche 2”) will be available to the Company until April 15, 2020, subject to the Company’s satisfaction of certain conditions described in the MidCap Credit Facility, including the Company achieving Afrezza Net Revenue (as defined in the MidCap Credit Facility) of at least $30.0 million on a trailing twelve month basis. Under the terms of the MidCap Credit Facility, the third advance of $25.0 million (“Tranche 3”) will be available to the Company until June 30, 2021, subject to the satisfaction of certain milestone conditions associated with TreT .</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Tranche 1 and, if borrowed, Tranche 2 and Tranche 3, each accrue interest at an annual rate equal to LIBOR plus 6.75%, subject to a LIBOR floor of</w:t>
      </w:r>
    </w:p>
    <w:p>
      <w:pPr>
        <w:spacing w:after="0" w:line="3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2.00%. Interest on each term loan advance is due and payable monthly in arrears. Principal on each term loan advance under Tranche 1 and Tranche 2 is payable in 36 equal monthly installments beginning September 1, 2021, until paid in full on August 1, 2024, and principal on each term loan advance under Tranche 3 is payable beginning on the later of (i) September 1, 2021, and (ii) the first day of the first full calendar month immediately following such term loan advance, in an amount equal to the outstanding term loan advance in respect of Tranche 3 divided by the number of full calendar months remaining before August 1, 2024. The Company has the option to prepay the term loans, in whole or in part, subject to early termination fees in an amount equal to</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3.00% of principal prepaid if prepayment occurs on or prior to the first anniversary of the Closing Date, 2.00% of principal prepaid if prepayment occurs after the first anniversary of the Closing Date but on or prior to the second anniversary of the Closing Date, and 1.00% of principal prepaid if prepayment occurs after the second anniversary of the Closing Date and prior to or on the third anniversary of the Closing Date. In connection with execution of the MidCap Credit Facility, the Company paid MidCap a $375,000 origination fee.</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termination of the MidCap Credit Facility, the Company is required to pay an exit fee equal to 6.00% of the principal amount of all term loans advanced to the Company under the MidCap Credit Facility.</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Company’s obligations under the MidCap Credit Facility are secured by a security interest on substantially all of its assets, including intellectual property. Additionally, the Company’s future subsidiaries, if any, may be required to become co-borrowers or guarantors under the credit facility.</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MidCap Credit Facility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requirements (as defined in the MidCap Credit Facility), tested on a monthly basis, and a minimum cash covenant of $15.0 million at all times prior to the funding of Tranche 2, and $20.0 million at all times following the funding of Tranche 2 or Tranche 3.</w:t>
      </w:r>
    </w:p>
    <w:p>
      <w:pPr>
        <w:spacing w:after="0" w:line="19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agreed to issue warrants to purchase shares of MannKind’s common stock (the “MidCap Warrants”) upon the drawdown of each term loan advance under the MidCap Credit Facility in an aggregate amount equal to 3.25% of the amount drawn, divided by the exercise price per share for that tranche. The exercise price per share is equal to the volume-weighted average closing price of MannKind’s common stock for the ten business days immediately preceding the second business day before the issue date. As a result of Tranche 1, the Company issued warrants to purchase an aggregate of 1,171,614 shares of the Company’s common stock, at an exercise price equal to $1.11 per share (the “Tranche 1 Warrants”).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Exchange of 2021 Convertible Notes for 2024 Convertible Notes and the Indenture for the 2024 Convertible Notes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August 6, 2019, MannKind entered into a privately-negotiated exchange agreement (the “2021 Note Exchange Agreement”) with Bruce &amp; Co., Inc., for itself and on behalf of the beneficial owners of the holders of MannKind’s outstanding 2021 notes, pursuant to which MannKind agreed to, among other things, (i) repay $1,470,147 in cash to such holders ($1,500,000 less the amount of interest accruing under the 2021 notes between August 6, 2019 and August 15, 2019), (ii) issue 4,017,857 shares of MannKind’s common stock to such holders (at a conversion price of $1.12 per share), (iii) issue new 5.75% Convertible Senior Subordinated Exchange Notes due 2024 (the “2024 convertible notes”) to such holders pursuant to the provisions of an indenture (the “Indenture”) in an aggregate principal amount of $5,000,000 and (iv) issue two non-interest bearing promissory notes to such holders, each in the amount of $2,630,750, one of which will mature on June 30, 2020 (the “June 2020 note”) and the other of which will mature on December 31, 2020 (the “December 2020 note”, and together with the June 2020 note, the “2020 notes”), in exchange for the cancellation of the $18.7 million in principal amount of the 2021 notes. The 2020 notes may be prepaid at any time on or prior to their respective maturity dates at the option of MannKind. In addition, MannKind may elect to pay the 2020 notes at any time on or prior to their respective maturity dates, if certain conditions are met, in shares of MannKind’s common stock at a price per share equal to the last reported sale price on the trading day immediately prior to the payment date. The exchange pursuant to the 2021 Note Exchange Agreement was effected on August 6, 2019.</w:t>
      </w:r>
    </w:p>
    <w:p>
      <w:pPr>
        <w:spacing w:after="0" w:line="1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2024 convertible notes were issued pursuant to an indenture, dated as of August 6, 2019, between MannKind and U.S. Bank National Association, as trustee. The 2024 convertible notes are MannKind’s general, unsecured obligations, and are subordinated in right of payment to the indebtedness incurred pursuant to the MidCap Credit Facility. The 2024 convertible notes rank equally in right of payment with MannKind’s other unsecured senior debt. The 2024 convertible Notes accrue interest at the rate of 5.75% per year on the principal amount, payable semiannually in arrears on February 15 and August 15 of each year, beginning February 15, 2020, with interest accruing from August 6, 2019. Interest on the 2024 convertible notes will be payable in cash or, at the option of MannKind if certain conditions are met, in shares of MannKind’s common stock at a price per share equal to the last reported sale price on the trading day immediately prior to the interest payment date. The 2024 convertible notes will mature on the earlier of (i) November 4, 2024 or (ii) the 91</w:t>
      </w:r>
      <w:r>
        <w:rPr>
          <w:rFonts w:ascii="Arial" w:cs="Arial" w:eastAsia="Arial" w:hAnsi="Arial"/>
          <w:sz w:val="13"/>
          <w:szCs w:val="13"/>
          <w:color w:val="auto"/>
        </w:rPr>
        <w:t>st</w:t>
      </w:r>
      <w:r>
        <w:rPr>
          <w:rFonts w:ascii="Arial" w:cs="Arial" w:eastAsia="Arial" w:hAnsi="Arial"/>
          <w:sz w:val="16"/>
          <w:szCs w:val="16"/>
          <w:color w:val="auto"/>
        </w:rPr>
        <w:t xml:space="preserve"> day after the payment in full of, and termination and discharge of all obligations (other than contingent indemnity obligations) under the MidCap Credit Facility.</w:t>
      </w:r>
    </w:p>
    <w:p>
      <w:pPr>
        <w:spacing w:after="0" w:line="16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2024 convertible notes will be convertible, at the option of the holder, at any time on or prior to the close of business on the business day immediately preceding the stated maturity date, into shares of MannKind’s common stock at a conversion rate of 333.3333 shares per $1,000 principal amount of 2024 convertible notes, which is equal to a conversion price of approximately $3.00 per share. The conversion rate will be subject to adjustment under certain circumstances described in the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includes customary events of default, including:</w:t>
      </w:r>
    </w:p>
    <w:p>
      <w:pPr>
        <w:spacing w:after="0" w:line="117" w:lineRule="exact"/>
        <w:rPr>
          <w:sz w:val="20"/>
          <w:szCs w:val="20"/>
          <w:color w:val="auto"/>
        </w:rPr>
      </w:pPr>
    </w:p>
    <w:p>
      <w:pPr>
        <w:ind w:left="1040" w:right="4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fails to pay when due the principal of or premium, if any, on any of the 2024 convertible notes at maturity, upon repurchase, acceleration or otherwise;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fails to pay an installment of interest on any of the 2024 convertible notes for 30 days after the date when due;</w:t>
      </w:r>
    </w:p>
    <w:p>
      <w:pPr>
        <w:spacing w:after="0" w:line="117" w:lineRule="exact"/>
        <w:rPr>
          <w:rFonts w:ascii="Arial" w:cs="Arial" w:eastAsia="Arial" w:hAnsi="Arial"/>
          <w:sz w:val="18"/>
          <w:szCs w:val="18"/>
          <w:color w:val="auto"/>
        </w:rPr>
      </w:pPr>
    </w:p>
    <w:p>
      <w:pPr>
        <w:ind w:left="1040" w:right="100" w:hanging="519"/>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fails to deliver when due all shares of the Company’s common stock, together with cash instead of fractional shares, and/or other property, if applicable, deliverable upon conversion of the 2024 convertible Notes, which failure continues for 10 days;</w:t>
      </w:r>
    </w:p>
    <w:p>
      <w:pPr>
        <w:spacing w:after="0" w:line="38" w:lineRule="exact"/>
        <w:rPr>
          <w:rFonts w:ascii="Arial" w:cs="Arial" w:eastAsia="Arial" w:hAnsi="Arial"/>
          <w:sz w:val="17"/>
          <w:szCs w:val="17"/>
          <w:color w:val="auto"/>
        </w:rPr>
      </w:pPr>
    </w:p>
    <w:p>
      <w:pPr>
        <w:ind w:left="1040" w:right="18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fails to perform or observe any other term, covenant or agreement contained in the 2024 convertible notes or the Indenture for a period of 60 days after written notice of such failure, requiring the Company to remedy the same, shall have been given to the Company;</w:t>
      </w:r>
    </w:p>
    <w:p>
      <w:pPr>
        <w:spacing w:after="0" w:line="15" w:lineRule="exact"/>
        <w:rPr>
          <w:rFonts w:ascii="Arial" w:cs="Arial" w:eastAsia="Arial" w:hAnsi="Arial"/>
          <w:sz w:val="16"/>
          <w:szCs w:val="16"/>
          <w:color w:val="auto"/>
        </w:rPr>
      </w:pPr>
    </w:p>
    <w:p>
      <w:pPr>
        <w:ind w:left="1040" w:hanging="519"/>
        <w:spacing w:after="0" w:line="25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the Company fails to make any payment by the end of the applicable grace period, if any, after the maturity of any indebtedness for borrowed money in an amount in excess of $25,000,000 or (ii) there is an acceleration of any indebtedness for borrowed money in an amount in excess of $25,000,000 because of a default with respect to such indebtedness without such indebtedness having been discharged or such acceleration having been cured, waived, rescinded or annulled, in the case of either (i) or (ii) above, for a period of 30 days after written notice to the Company;</w:t>
      </w:r>
    </w:p>
    <w:p>
      <w:pPr>
        <w:spacing w:after="0" w:line="8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fails to provide a fundamental change company notice;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p>
      <w:pPr>
        <w:ind w:right="60"/>
        <w:spacing w:after="0" w:line="271" w:lineRule="auto"/>
        <w:rPr>
          <w:sz w:val="20"/>
          <w:szCs w:val="20"/>
          <w:color w:val="auto"/>
        </w:rPr>
      </w:pPr>
      <w:r>
        <w:rPr>
          <w:rFonts w:ascii="Arial" w:cs="Arial" w:eastAsia="Arial" w:hAnsi="Arial"/>
          <w:sz w:val="17"/>
          <w:szCs w:val="17"/>
          <w:color w:val="auto"/>
        </w:rPr>
        <w:t>If certain bankruptcy and insolvency-related events of default occur, the principal of, and accrued and unpaid interest on, all of the then outstanding 2024 convertible notes shall automatically become due and payable. If an event of default other than certain bankruptcy and insolvency-related events of defaults occurs and is continuing, the Trustee or the holders of at least 25% in aggregate principal amount of the then-outstanding 2024 convertible notes, by written notice to the Trustee, may declare the 2024 convertible notes due and payable at their principal amount plus any accrued and unpaid interest, and thereupon the Trustee may, at its discretion, proceed to protect and enforce the rights of the holders by the appropriate judicial proceedings. Notwithstanding the foregoing, the Indenture provides that, to the extent the Company elects, the sole remedy for an event of default relating to certain failures by the Company to comply with certain reporting covenants in the Indenture will, for the first 180 days after such event of default, consist exclusively of the right to receive additional interest on the 2024 convertible notes.</w:t>
      </w:r>
    </w:p>
    <w:p>
      <w:pPr>
        <w:spacing w:after="0" w:line="1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If MannKind undergoes certain fundamental changes, except in certain circumstances, each holder of 2024 convertible notes will have the option to require MannKind to repurchase all or any portion of that holder’s 2024 convertible notes. The fundamental change repurchase price will be 100% of the principal amount of the 2024 convertible notes to be repurchased plus accrued and unpaid interest, if any.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MannKind may elect at its option to cause all or any portion of the 2024 convertible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 of Mann Group Note</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On August 5, 2019, MannKind entered into a privately-negotiated exchange agreement (the “Mann Group Exchange Agreement”) with The Mann Group, pursuant to which MannKind agreed to, among other things, (i) repay $3,000,000 in cash to the Mann Group, (ii) issue 7,142,857 shares of MannKind’s common stock to the Mann Group (at a conversion price of $1.12 per share), (iii) issue a new convertible promissory note (the “Mann Group Convertible Note”) to the Mann Group in an aggregate principal amount of $35,000,000 and (iv) issue a new non-convertible promissory note (the “Mann Group Non-Convertible Note,” together with the Mann Group Convertible Note, the “New Mann Group Loan Arrangement”) to the Mann Group in an aggregate principal amount of $35,050,750, in exchange for the cancellation of the $70.1 million in principal amount and accrued interest on the amended and restated promissory note dated March 11, 2018 held by the Mann Group.</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Mann Group Convertible Note and Mann Group Non-Convertible Note will each accrue interest at the rate of 7.00% per year on the principal amount, payable quarterly in arrears on the first day of each calendar quarter beginning October 1, 2019.</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Mann Group Convertible Note will mature on November 3, 2024. The principal and any accrued and unpaid interest under the Mann Group Convertible Note may be converted, at the option of the Mann Group, at any time on or prior to the close of business on the business day immediately preceding the stated maturity date, into shares of MannKind’s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Mann Group Convertible Note will be payable in kind by adding the amount thereof to the principal amount; provided that with respect to interest accruing from and after January 1, 2021, MannKind may, at its option, elect to pay any such interest on any interest payment date, if certain conditions are met, in shares of MannKind’s common stock at a price per shall equal to the last reported sale price on the trading day immediately prior to the payment date.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Mann Group Non-Convertible Note will mature on the earlier of (i) November 3, 2024 or (ii) the 90th day after the repayment in full, and termination and discharge of all obligations (other than contingent indemnity obligations) under the MidCap Credit Facility. Interest on the Mann Group Non-Convertible Note will be payable in kind by adding the amount thereof to the principal amount; provided that MannKind may, at its option, elect to pay any such interest on any interest payment date, if certain conditions are met, in shares of MannKind’s common stock at a price per shall equal to the last reported sale price on the trading day immediately prior to the interest payment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August 2019 Exchange Agreement</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August 6, 2019, the Company entered into an Exchange Agreement (the “Deerfield Exchange Agreement”) with Deerfield pursuant to which the Company agreed to, among other things, (i) repay $2,000,000 of the aggregate principal amount under the 2019 notes held by Deerfield (the “Deerfield Tranche 1 Notes”) and pay all accrued and unpaid interest on the Deerfield Tranche 1 Notes then-outstanding, (ii) issue an aggregate of 2,678,571 shares of MannKind’s common stock to Deerfield in exchange for $3,000,000 aggregate principal amount of Deerfield Tranche 1 Notes and (iii) cancel the Deerfield Tranche 1 Notes. The principal amount being repaid and exchanged under the Deerfield Tranche 1 Notes represents the final outstanding principal amount that would otherwise have become due and payable on August 31, 2019.</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2018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patients with diseases such as diabetes and pulmonary arterial hypertension. Our only approved product, Afrezza, is a rapid-acting inhaled insulin that was approved by the FDA in June 2014 to improve glycemic control in adult patients with diabetes. Afrezza became available by prescription in United States retail pharmacies in February 2015.</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June 30, 2019, we had an accumulated deficit of $3.0 billion and a stockholders’ deficit of $196.0 million. We had a net loss of $12.4 million and $27.3 million for the three and six months ended June 30, 2019, respectively. We have funded our operations primarily through the sale of equity and convertible debt securities; the receipt of upfront and milestone payments under the Sanofi License Agreement and under the UT License Agreement; and borrowings under the Facility Agreement with Deerfield, under the Mann Group Loan Arrangement and under a senior secured revolving promissory note that we entered into with an affiliate of Sanofi in September 2014 in connection with the Sanofi License Agreement (the “Sanofi Loan Facility”), which was terminated in 2016. In August 2019, we entered into the MidCap Credit Facility, which will allow us to borrow up to $75.0 million to provide additional funding for our operations. As discussed below in “Liquidity and Capital Resources,” if we are unable to obtain additional funding, there is substantial doubt about our ability to continue as a going concern.</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need to raise additional capital to fund our operations, our ability to successfully commercialize Afrezza and manufacture sufficient quantities of Afrezza, competition from other products and technologies and uncertainties associated with obtaining and enforcing patent rights. Additional significant risks also include the risks inherent in clinical trials and the regulatory approval process for our product candidates, which in some cases depends upon the efforts of our partners.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critical accounting policies can be found in Item 7. Management’s Discussion and Analysis of Financial Condition and Results of Operations in our Form 10-K for the year ended December 31, 2018. See Note 1 – Description of Business and Significant Accounting Policies in the condensed consolidated financial statements included in Part I – Financial Statements (Unaudited) for descriptions of the new accounting policies and impact of adoption.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revenue categories for the three and six months ended June 30, 2019 and 2018 (dollars in thousands):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5"/>
              </w:rPr>
              <w:t>Three Months Ended June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5"/>
        </w:trPr>
        <w:tc>
          <w:tcPr>
            <w:tcW w:w="4460" w:type="dxa"/>
            <w:vAlign w:val="bottom"/>
          </w:tcPr>
          <w:p>
            <w:pPr>
              <w:ind w:left="740"/>
              <w:spacing w:after="0"/>
              <w:rPr>
                <w:sz w:val="20"/>
                <w:szCs w:val="20"/>
                <w:color w:val="auto"/>
              </w:rPr>
            </w:pPr>
            <w:r>
              <w:rPr>
                <w:rFonts w:ascii="Arial" w:cs="Arial" w:eastAsia="Arial" w:hAnsi="Arial"/>
                <w:sz w:val="18"/>
                <w:szCs w:val="18"/>
                <w:color w:val="auto"/>
              </w:rPr>
              <w:t>Wholesaler distribution fees, rebates and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chargebacks, product returns and other</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880"/>
              <w:spacing w:after="0"/>
              <w:rPr>
                <w:sz w:val="20"/>
                <w:szCs w:val="20"/>
                <w:color w:val="auto"/>
              </w:rPr>
            </w:pPr>
            <w:r>
              <w:rPr>
                <w:rFonts w:ascii="Arial" w:cs="Arial" w:eastAsia="Arial" w:hAnsi="Arial"/>
                <w:sz w:val="18"/>
                <w:szCs w:val="18"/>
                <w:color w:val="auto"/>
              </w:rPr>
              <w:t>discounts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(4,274)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(1,325)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Revenue - collaborations and services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8,850</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10,172%</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 - other</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500"/>
              <w:spacing w:after="0"/>
              <w:rPr>
                <w:sz w:val="20"/>
                <w:szCs w:val="20"/>
                <w:color w:val="auto"/>
              </w:rPr>
            </w:pPr>
            <w:r>
              <w:rPr>
                <w:rFonts w:ascii="Arial" w:cs="Arial" w:eastAsia="Arial" w:hAnsi="Arial"/>
                <w:sz w:val="18"/>
                <w:szCs w:val="18"/>
                <w:color w:val="auto"/>
              </w:rPr>
              <w:t>Total revenues</w:t>
            </w:r>
          </w:p>
        </w:tc>
        <w:tc>
          <w:tcPr>
            <w:tcW w:w="7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15,002</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3,893</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11,109</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5"/>
        </w:trPr>
        <w:tc>
          <w:tcPr>
            <w:tcW w:w="4460" w:type="dxa"/>
            <w:vAlign w:val="bottom"/>
          </w:tcPr>
          <w:p>
            <w:pPr>
              <w:ind w:left="740"/>
              <w:spacing w:after="0"/>
              <w:rPr>
                <w:sz w:val="20"/>
                <w:szCs w:val="20"/>
                <w:color w:val="auto"/>
              </w:rPr>
            </w:pPr>
            <w:r>
              <w:rPr>
                <w:rFonts w:ascii="Arial" w:cs="Arial" w:eastAsia="Arial" w:hAnsi="Arial"/>
                <w:sz w:val="18"/>
                <w:szCs w:val="18"/>
                <w:color w:val="auto"/>
              </w:rPr>
              <w:t>Wholesaler distribution fees, rebates and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chargebacks, product returns and other</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880"/>
              <w:spacing w:after="0"/>
              <w:rPr>
                <w:sz w:val="20"/>
                <w:szCs w:val="20"/>
                <w:color w:val="auto"/>
              </w:rPr>
            </w:pPr>
            <w:r>
              <w:rPr>
                <w:rFonts w:ascii="Arial" w:cs="Arial" w:eastAsia="Arial" w:hAnsi="Arial"/>
                <w:sz w:val="18"/>
                <w:szCs w:val="18"/>
                <w:color w:val="auto"/>
              </w:rPr>
              <w:t>discounts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(2,662)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Revenue - collaborations and services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21,159</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 - other</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500"/>
              <w:spacing w:after="0"/>
              <w:rPr>
                <w:sz w:val="20"/>
                <w:szCs w:val="20"/>
                <w:color w:val="auto"/>
              </w:rPr>
            </w:pPr>
            <w:r>
              <w:rPr>
                <w:rFonts w:ascii="Arial" w:cs="Arial" w:eastAsia="Arial" w:hAnsi="Arial"/>
                <w:sz w:val="18"/>
                <w:szCs w:val="18"/>
                <w:color w:val="auto"/>
              </w:rPr>
              <w:t>Total revenues</w:t>
            </w:r>
          </w:p>
        </w:tc>
        <w:tc>
          <w:tcPr>
            <w:tcW w:w="7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32,450</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7,358</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25,092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Gross revenue from the sales of Afrezza for the quarter ended June 30, 2019 increased by $3.6 million, or 54%, compared to the same quarter in the prior year, primarily driven by higher product demand and price increases, as well as a more favorable mix of Afrezza cartridges. The gross-to-net adjustment was $4.3 million (or 41% of gross revenue) for the quarter ended June 30, 2019 compared to $2.9 million (or 44% of gross revenue) for the same quarter in the prior year. The lower percentage was primarily due to lower commercial and government rebates, partially offset by a higher rate of product returns.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revenue from collaborations and services for the quarter ended June 30, 2019 increased by $8.9 million compared to the same quarter in the prior year, primarily attributable to the UT License Agreement ($7.8 million) and the UT Research Agreement ($1.1 million).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revenue from the sales of Afrezza for the six months ended June 30, 2019 increased by $6.6 million, or 56%, compared to the same period in the prior year, primarily driven by higher product demand and price increases, as well as a more favorable mix of Afrezza cartridges. The gross-to-net adjustment was $7.4 million (or 40% of gross revenue) for the six months ended June 30, 2019 compared to $4.7 million (or 40% of gross revenue) for the same period in the prior year. During this period, lower commercial and government rebates were offset by a higher rate of product returns.</w:t>
      </w: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revenue from collaborations and services for the quarter ended June 30, 2019 increased by $21.2 million compared to the same period in the prior year, primarily attributable to the UT License Agreement ($15.4 million) and the UT Research Agreement ($5.7 million).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provide a comparison of the commercial product gross profit categories for the three and six months ended June 30, 2019 and 2018 (dollars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5"/>
              </w:rPr>
              <w:t>Three Months Ended June 30,</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4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2,312</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(768)</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500"/>
              <w:spacing w:after="0"/>
              <w:rPr>
                <w:sz w:val="20"/>
                <w:szCs w:val="20"/>
                <w:color w:val="auto"/>
              </w:rPr>
            </w:pPr>
            <w:r>
              <w:rPr>
                <w:rFonts w:ascii="Arial" w:cs="Arial" w:eastAsia="Arial" w:hAnsi="Arial"/>
                <w:sz w:val="18"/>
                <w:szCs w:val="18"/>
                <w:color w:val="auto"/>
              </w:rPr>
              <w:t>Commercial product gross profit</w:t>
            </w:r>
          </w:p>
        </w:tc>
        <w:tc>
          <w:tcPr>
            <w:tcW w:w="10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1,738</w:t>
            </w: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(1,342)</w:t>
            </w:r>
          </w:p>
        </w:tc>
        <w:tc>
          <w:tcPr>
            <w:tcW w:w="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3,080</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9"/>
              </w:rPr>
              <w:t>Six Months Ended June 30,</w:t>
            </w: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4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3,986</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(756)</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500"/>
              <w:spacing w:after="0"/>
              <w:rPr>
                <w:sz w:val="20"/>
                <w:szCs w:val="20"/>
                <w:color w:val="auto"/>
              </w:rPr>
            </w:pPr>
            <w:r>
              <w:rPr>
                <w:rFonts w:ascii="Arial" w:cs="Arial" w:eastAsia="Arial" w:hAnsi="Arial"/>
                <w:sz w:val="18"/>
                <w:szCs w:val="18"/>
                <w:color w:val="auto"/>
              </w:rPr>
              <w:t>Commercial product gross profit</w:t>
            </w:r>
          </w:p>
        </w:tc>
        <w:tc>
          <w:tcPr>
            <w:tcW w:w="10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2,794</w:t>
            </w: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(1,948)</w:t>
            </w:r>
          </w:p>
        </w:tc>
        <w:tc>
          <w:tcPr>
            <w:tcW w:w="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4,742</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Commercial product gross profit for the three and six months ended June 30, 2019 increased by $3.1 million or 230%, and $4.7 million or 243%, respectively, compared to the same periods in the prior year. The increases were primarily attributable to higher commercial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expense categories for the three and six months ended June 30, 2019 and 2018 (dollars in thousands):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5"/>
              </w:rPr>
              <w:t>Three Months Ended June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4,327</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 collaborations and services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(1,335)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(2,958)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(2,164)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foreign currency translation</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(5,363)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8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25,954</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24,430</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8,347</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9,103</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 collaborations and services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(2,312)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(4,779)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foreign currency translation</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8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56,916</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54,684</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Cost of goods sold for the quarter ended June 30, 2019 decreased by $0.8 million compared to the same quarter in the prior year, primarily due to a $0.4 million decrease in foreign exchange currency loss and a $0.2 million decrease in inventory write-offs, partially offset by costs due to higher sales.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3" w:name="page34"/>
    <w:bookmarkEnd w:id="33"/>
    <w:p>
      <w:pPr>
        <w:ind w:right="260"/>
        <w:spacing w:after="0" w:line="277" w:lineRule="auto"/>
        <w:rPr>
          <w:sz w:val="20"/>
          <w:szCs w:val="20"/>
          <w:color w:val="auto"/>
        </w:rPr>
      </w:pPr>
      <w:r>
        <w:rPr>
          <w:rFonts w:ascii="Arial" w:cs="Arial" w:eastAsia="Arial" w:hAnsi="Arial"/>
          <w:sz w:val="18"/>
          <w:szCs w:val="18"/>
          <w:color w:val="auto"/>
        </w:rPr>
        <w:t>Cost of goods sold for the six months ended June 30, 2019 decreased by $0.8 million compared to the same period in the prior year primarily due to a $0.8 million decrease in inventory write-offs, partially offset by costs due to higher sales.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Cost of revenue - collaborations and services was $2.1 million and $3.7 million for the three and six months ended June 30, 2019, respectively, compared to zero for the same periods in the prior year. Cost of revenue - collaborations and services for both periods in 2019 was attributable to resource costs related to conducting activities under the UT License Agreement and UT Research Agreement.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for the quarter ended June 30, 2019 decreased by $1.3 million, or 45%, compared with the same quarter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attributable to $0.5 million decreases in both clinical trial spending and personnel costs.</w:t>
      </w:r>
    </w:p>
    <w:p>
      <w:pPr>
        <w:spacing w:after="0" w:line="23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Research and development expenses for the six months ended June 30, 2019 decreased by $2.3 million, or 41%, compared with the same period in the prior year. This was primarily attributable to $1.0 million decrease in personnel related costs and a $0.7 million decrease in clinical trial spending.</w:t>
      </w:r>
    </w:p>
    <w:p>
      <w:pPr>
        <w:spacing w:after="0" w:line="14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Selling expenses for the quarter ended June 30, 2019 decreased by $3.0 million, or 24%, compared to the same quarter in the prior year. The decrease was primarily attributable to a $1.7 million decrease in personnel related costs and a $1.0 million decrease in marketing spending.</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expenses for the six months ended June 30, 2019 increased by $4.7 million, or 20%, compared to the same period in the prior year. This was primarily attributable to a $9.3 million increase in costs for a television campaign for Afrezza, offset by a $1.9 million decrease in personnel related costs, a $1.6 million decrease in marketing spending and $0.4 million decrease in sponsorship.</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for the quarter ended June 30, 2019 decreased by $2.2 million, or 23%, compared to the same quarter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primarily attributable to a $1.3 million decrease in professional fees and a $0.6 million decrease in personnel costs.</w:t>
      </w:r>
    </w:p>
    <w:p>
      <w:pPr>
        <w:spacing w:after="0" w:line="25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General and administrative expenses for the six months ended June 30, 2019 decreased by $4.8 million, or 25%, compared to the same period in the prior year. This decrease was primarily attributable to a $2.6 million decrease in personnel costs and a $2.0 million decrease in professional fees.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provide a comparison of the other income (expense) categories for the three and six months ended June 30, 2019 and 2018 (dollars in thousands):</w:t>
      </w:r>
    </w:p>
    <w:p>
      <w:pPr>
        <w:spacing w:after="0" w:line="243"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5"/>
              </w:rPr>
              <w:t>$ Change</w:t>
            </w:r>
          </w:p>
        </w:tc>
        <w:tc>
          <w:tcPr>
            <w:tcW w:w="280" w:type="dxa"/>
            <w:vAlign w:val="bottom"/>
            <w:tcBorders>
              <w:bottom w:val="single" w:sz="8" w:color="CFF0FC"/>
            </w:tcBorders>
            <w:gridSpan w:val="2"/>
          </w:tcPr>
          <w:p>
            <w:pPr>
              <w:spacing w:after="0"/>
              <w:rPr>
                <w:sz w:val="13"/>
                <w:szCs w:val="13"/>
                <w:color w:val="auto"/>
              </w:rPr>
            </w:pPr>
          </w:p>
        </w:tc>
        <w:tc>
          <w:tcPr>
            <w:tcW w:w="9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(1,709)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 payable to related party</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(1,109)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(1,046)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(expense)</w:t>
            </w:r>
          </w:p>
        </w:tc>
        <w:tc>
          <w:tcPr>
            <w:tcW w:w="8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(1,435)</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(1,898)</w:t>
            </w:r>
          </w:p>
        </w:tc>
        <w:tc>
          <w:tcPr>
            <w:tcW w:w="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w:t>
            </w:r>
          </w:p>
        </w:tc>
        <w:tc>
          <w:tcPr>
            <w:tcW w:w="220" w:type="dxa"/>
            <w:vAlign w:val="bottom"/>
            <w:tcBorders>
              <w:right w:val="single" w:sz="8" w:color="CFF0FC"/>
            </w:tcBorders>
            <w:shd w:val="clear" w:color="auto" w:fill="CFF0FC"/>
          </w:tcPr>
          <w:p>
            <w:pPr>
              <w:spacing w:after="0"/>
              <w:rPr>
                <w:sz w:val="19"/>
                <w:szCs w:val="19"/>
                <w:color w:val="auto"/>
              </w:rPr>
            </w:pPr>
          </w:p>
        </w:tc>
        <w:tc>
          <w:tcPr>
            <w:tcW w:w="12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Interest expense on notes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(1,157)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(3,503)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2,346</w:t>
            </w:r>
          </w:p>
        </w:tc>
        <w:tc>
          <w:tcPr>
            <w:tcW w:w="220" w:type="dxa"/>
            <w:vAlign w:val="bottom"/>
          </w:tcPr>
          <w:p>
            <w:pPr>
              <w:spacing w:after="0"/>
              <w:rPr>
                <w:sz w:val="19"/>
                <w:szCs w:val="19"/>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on note payable to related party</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(2,189)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(2,160)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2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(92)</w:t>
            </w:r>
          </w:p>
        </w:tc>
        <w:tc>
          <w:tcPr>
            <w:tcW w:w="12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vMerge w:val="restart"/>
          </w:tcPr>
          <w:p>
            <w:pPr>
              <w:ind w:left="160"/>
              <w:spacing w:after="0"/>
              <w:rPr>
                <w:sz w:val="20"/>
                <w:szCs w:val="20"/>
                <w:color w:val="auto"/>
              </w:rPr>
            </w:pPr>
            <w:r>
              <w:rPr>
                <w:rFonts w:ascii="Arial" w:cs="Arial" w:eastAsia="Arial" w:hAnsi="Arial"/>
                <w:sz w:val="18"/>
                <w:szCs w:val="18"/>
                <w:color w:val="auto"/>
              </w:rPr>
              <w:t>Total other income (expense)</w:t>
            </w:r>
          </w:p>
        </w:tc>
        <w:tc>
          <w:tcPr>
            <w:tcW w:w="880" w:type="dxa"/>
            <w:vAlign w:val="bottom"/>
            <w:vMerge w:val="restart"/>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(2,804)</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(5,494)</w:t>
            </w:r>
          </w:p>
        </w:tc>
        <w:tc>
          <w:tcPr>
            <w:tcW w:w="1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2,690</w:t>
            </w:r>
          </w:p>
        </w:tc>
        <w:tc>
          <w:tcPr>
            <w:tcW w:w="220" w:type="dxa"/>
            <w:vAlign w:val="bottom"/>
          </w:tcPr>
          <w:p>
            <w:pPr>
              <w:spacing w:after="0"/>
              <w:rPr>
                <w:sz w:val="19"/>
                <w:szCs w:val="19"/>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Interest income increased by $0.2 million or 364% and $0.4 million or 256% for the three and six months ended June 30, 2019, respectively, compared to the same periods in the prior year, which was primarily attributable to a higher balance on our money market funds and short-term investments.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4" w:name="page35"/>
    <w:bookmarkEnd w:id="34"/>
    <w:p>
      <w:pPr>
        <w:jc w:val="both"/>
        <w:ind w:right="160"/>
        <w:spacing w:after="0" w:line="264" w:lineRule="auto"/>
        <w:rPr>
          <w:sz w:val="20"/>
          <w:szCs w:val="20"/>
          <w:color w:val="auto"/>
        </w:rPr>
      </w:pPr>
      <w:r>
        <w:rPr>
          <w:rFonts w:ascii="Arial" w:cs="Arial" w:eastAsia="Arial" w:hAnsi="Arial"/>
          <w:sz w:val="18"/>
          <w:szCs w:val="18"/>
          <w:color w:val="auto"/>
        </w:rPr>
        <w:t>Interest expense on notes, which includes the Facility Financing Obligation and senior convertible notes, decreased by $1.1 million or 67% and $2.3 million or 67% for the three and six months ended June 30, 2019, compared to the same periods in the prior year, which was primarily attributable to a reduction in principal debt balances.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and from borrowings under certain loan arrangements, including the Mann Group Loan Arrangement, the Facility Agreement, and, most recently, the MidCap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as of June 30, 2019 and as of the date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20"/>
                <w:szCs w:val="20"/>
                <w:color w:val="auto"/>
              </w:rPr>
            </w:pPr>
            <w:r>
              <w:rPr>
                <w:rFonts w:ascii="Arial" w:cs="Arial" w:eastAsia="Arial" w:hAnsi="Arial"/>
                <w:sz w:val="14"/>
                <w:szCs w:val="14"/>
                <w:b w:val="1"/>
                <w:bCs w:val="1"/>
                <w:color w:val="auto"/>
              </w:rPr>
              <w:t>Holder</w:t>
            </w: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As of June 30, 2019</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As of August 7, 2019</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Principal</w:t>
            </w:r>
          </w:p>
        </w:tc>
        <w:tc>
          <w:tcPr>
            <w:tcW w:w="1080" w:type="dxa"/>
            <w:vAlign w:val="bottom"/>
            <w:gridSpan w:val="2"/>
          </w:tcPr>
          <w:p>
            <w:pPr>
              <w:jc w:val="center"/>
              <w:ind w:right="250"/>
              <w:spacing w:after="0" w:line="133" w:lineRule="exact"/>
              <w:rPr>
                <w:sz w:val="20"/>
                <w:szCs w:val="20"/>
                <w:color w:val="auto"/>
              </w:rPr>
            </w:pPr>
            <w:r>
              <w:rPr>
                <w:rFonts w:ascii="Arial" w:cs="Arial" w:eastAsia="Arial" w:hAnsi="Arial"/>
                <w:sz w:val="14"/>
                <w:szCs w:val="14"/>
                <w:b w:val="1"/>
                <w:bCs w:val="1"/>
                <w:color w:val="auto"/>
                <w:w w:val="96"/>
              </w:rPr>
              <w:t>Annual</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Maturity</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Conversion</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Annual</w:t>
            </w:r>
          </w:p>
        </w:tc>
        <w:tc>
          <w:tcPr>
            <w:tcW w:w="80" w:type="dxa"/>
            <w:vAlign w:val="bottom"/>
          </w:tcPr>
          <w:p>
            <w:pPr>
              <w:spacing w:after="0"/>
              <w:rPr>
                <w:sz w:val="11"/>
                <w:szCs w:val="11"/>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8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0"/>
              </w:rPr>
              <w:t>interest</w:t>
            </w:r>
          </w:p>
        </w:tc>
        <w:tc>
          <w:tcPr>
            <w:tcW w:w="12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3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date</w:t>
            </w:r>
          </w:p>
        </w:tc>
        <w:tc>
          <w:tcPr>
            <w:tcW w:w="2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date</w:t>
            </w:r>
          </w:p>
        </w:tc>
        <w:tc>
          <w:tcPr>
            <w:tcW w:w="2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Bruce &amp; Co.</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$18.7 million</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October 2021</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million</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November 2024</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per share</w:t>
            </w: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 million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June 2020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 million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December 2020</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Deerfield</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 million</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9.75%</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July 2019</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$5.0 million</w:t>
            </w: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9.75%</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6"/>
              </w:rPr>
              <w:t>August 2019</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20"/>
                <w:szCs w:val="20"/>
                <w:color w:val="auto"/>
              </w:rPr>
            </w:pPr>
            <w:r>
              <w:rPr>
                <w:rFonts w:ascii="Arial" w:cs="Arial" w:eastAsia="Arial" w:hAnsi="Arial"/>
                <w:sz w:val="18"/>
                <w:szCs w:val="18"/>
                <w:color w:val="auto"/>
              </w:rPr>
              <w:t>The Mann</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$80.6 million</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5.84%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July 2021</w:t>
            </w: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$35.0 million</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7.00%</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November 2024</w:t>
            </w: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40"/>
              <w:spacing w:after="0"/>
              <w:rPr>
                <w:sz w:val="20"/>
                <w:szCs w:val="20"/>
                <w:color w:val="auto"/>
              </w:rPr>
            </w:pPr>
            <w:r>
              <w:rPr>
                <w:rFonts w:ascii="Arial" w:cs="Arial" w:eastAsia="Arial" w:hAnsi="Arial"/>
                <w:sz w:val="18"/>
                <w:szCs w:val="18"/>
                <w:color w:val="auto"/>
              </w:rPr>
              <w:t>Group</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(including</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per share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accrued</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interest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paid-in-kind)</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6"/>
              </w:rPr>
              <w:t>$35.1 million</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7.00%</w:t>
            </w:r>
          </w:p>
        </w:tc>
        <w:tc>
          <w:tcPr>
            <w:tcW w:w="14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w w:val="95"/>
              </w:rPr>
              <w:t>November 2024</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20"/>
                <w:szCs w:val="20"/>
                <w:color w:val="auto"/>
              </w:rPr>
            </w:pPr>
            <w:r>
              <w:rPr>
                <w:rFonts w:ascii="Arial" w:cs="Arial" w:eastAsia="Arial" w:hAnsi="Arial"/>
                <w:sz w:val="18"/>
                <w:szCs w:val="18"/>
                <w:color w:val="auto"/>
              </w:rPr>
              <w:t>MidCap</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$40.0 million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LIBOR</w:t>
            </w:r>
          </w:p>
        </w:tc>
        <w:tc>
          <w:tcPr>
            <w:tcW w:w="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August 2024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plus 6.75%</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July 31, 2014, we entered into the Insulin Supply Agreement, pursuant to which we agreed to purchase certain annual minimum quantities of insulin. See Note 11 — Commitments and Contingencies, and Note 13 – Subsequent Events for further information related to the Insulin Supply Agreement.</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2024 convertible notes, 2020 notes, the MidCap Credit Facility or the New Mann Group Loan Arrangement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The 2024 convertible notes and the New Mann Group Loan Arrangement are fully convertible at any time prior to maturity as further disclosed in Note 6 – Related Party Arrangements and Note 7 – Borrowings.</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have been able to timely make our required interest payments to date, we cannot guarantee that we will be able to do so in the future. If we fail to pay interest on the 2024 convertible notes or our term loan under the MidCap Credit Facility (“MidCap Term Loan”), or if we fail to repay or repurchase the 2024 convertible notes, 2020 notes, MidCap Term Loan or borrowings under the New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$75.0 million of which remains payable upon achievement of such milestones. See Note 11 — Commitments and Contingencies and Note 7 — Borrowings for further information related to the Milestone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These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six months ended June 30, 2019, we used $31.3 million of cash for our operating activities as a result of our net loss of $27.3 million, offset by a net cash inflow from changes in balances of operating assets and liabilities of $10.7 million and non-cash charges of $6.6 million. The net cash inflow was primarily due to a decrease in deferred revenue of $6.8 million, recognized loss on purchase commitments of $4.0 million, accounts receivable of $1.0 million, operating lease payments of $0.7 million and inventory of $0.4 million, offset by an increase accounts payable of $2.2 million. The non-cash charges included $3.7 million of stock-based compensation, $2.3 million of interest accrued through notes payable to related party and $0.7 million from gains on foreign currency exchange.</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six months ended June 30, 2018, we used $48.8 million of cash for our operating activities as a result of our net loss of $53.1 million, offset by a net cash inflow resulting from change in balances of operating assets and liabilities of $2.1 million and non-cash charges of $6.4 million. The net cash inflow was primarily a result decreases in recognized loss on purchase commitments ($5.8 million) and lower inventory ($1.8 million) and accounts receivable ($0.2 million), offset by increases in accounts payable ($2.3 million), deferred payments from collaboration ($2.0 million) and accrued expenses and other current liabilities (($0.8 million) and decreases in prepaid expenses and other assets ($0.4 million). The non-cash charges included $4.2 million of stock-based compensation expense, $2.2 million of interest accrued on notes payable to the related party $1.5 million of depreciation, amortization and accretion, $0.8 million inventory write-off, $0.1 million loss on extinguishment of debt and other net assets of $0.1 million, offset by a $2.4 million foreign currency exchange gain. We recorded a write down of inventory charges of approximately $0.8 million for the six months ended June 30, 2018. These charges are presented separately in the accompanying condensed consolidated cash flow statement for 2018.</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used in investing activities of $26.4 million for the six months ended June 30, 2019, was primarily due to a purchase of short-term treasury bills. There was no investing activities for the six months ended June 30, 2018.</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used in financing activities of $0.7 million for the six months ended June 30, 2019 was primarily due to a principal payment of the Facility Financing Obligation of $2.5 million, offset by $1.9 million in proceeds from sales of our common stock under our Controlled Equity Offering</w:t>
      </w:r>
      <w:r>
        <w:rPr>
          <w:rFonts w:ascii="Arial" w:cs="Arial" w:eastAsia="Arial" w:hAnsi="Arial"/>
          <w:sz w:val="15"/>
          <w:szCs w:val="15"/>
          <w:color w:val="auto"/>
        </w:rPr>
        <w:t>SM</w:t>
      </w:r>
      <w:r>
        <w:rPr>
          <w:rFonts w:ascii="Arial" w:cs="Arial" w:eastAsia="Arial" w:hAnsi="Arial"/>
          <w:sz w:val="18"/>
          <w:szCs w:val="18"/>
          <w:color w:val="auto"/>
        </w:rPr>
        <w:t xml:space="preserve"> Sales Agreement with Cantor Fitzgerald &amp; Co. Cash provided from financing activities was $27.2 million for the six months ended June 30, 2018 which primarily related to $26.4 million in net proceeds from a registered direct offering of our common stock in April 2018.</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117"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color w:val="auto"/>
        </w:rPr>
        <w:t>As of June 30, 2019, we had $8.0 million of cash and cash equivalents, $5.3 million of restricted cash and $24.9 million of short-term investments. Our cash position and short-term investments, together with our short-term debt obligations and anticipated operating expenses, raises substantial doubt about our ability to continue as a going concern. We expect to expend our capital resources for the manufacturing, sales and marketing of Afrezza and to develop our product pipeline candidates. We also intend to use our capital resources for general corporate purposes. We will need to raise additional capital before we exhaust our current cash resources in order to continue to fund our research and development, support continued product growth and commercialization efforts, and to fund operations. We will seek to raise additional funds through various potential sources, such as equity and debt financings, or through collaboration and licensing agreements.</w:t>
      </w:r>
    </w:p>
    <w:p>
      <w:pPr>
        <w:spacing w:after="0" w:line="15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collaboration, license, sale of securities or sale or license of assets will be available to us on a timely basis or on acceptable terms, or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when needed,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As of June 30, 2019, there were no material changes outside of the ordinary course of business in our contractual obligations from those disclosed within “Management’s Discussion and Analysis of Financial Condition and Results of Operations,” as contained in the Annual Report, other than the following:</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2019, we entered into a Eleventh Amendment to Facility Agreement (the “Eleventh Amendment”) with Deerfield, pursuant to which the parties amended the Facility Agreement to defer the repayment of $5.0 million in principal amount of 2019 notes (the “July Payment”) issued in tranche 1 under the Facility Agreement from July 1, 2019 to August 31, 2019, conditioned upon, among other things, our depositing of $5.0 million into an escrow account until the July Payment has been satisfied in full.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Also see Note 13 Subsequent Events.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37" w:name="page38"/>
    <w:bookmarkEnd w:id="37"/>
    <w:p>
      <w:pPr>
        <w:ind w:right="424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140"/>
        <w:spacing w:after="0" w:line="279" w:lineRule="auto"/>
        <w:rPr>
          <w:sz w:val="20"/>
          <w:szCs w:val="20"/>
          <w:color w:val="auto"/>
        </w:rPr>
      </w:pPr>
      <w:r>
        <w:rPr>
          <w:rFonts w:ascii="Arial" w:cs="Arial" w:eastAsia="Arial" w:hAnsi="Arial"/>
          <w:sz w:val="17"/>
          <w:szCs w:val="17"/>
          <w:color w:val="auto"/>
        </w:rPr>
        <w:t>As of June 30, 2019, all our debt had fixed interest rates, so we did not have exposure to changes in our interest expense as a result of changes in interest rates. Specifically, the interest rate on amounts borrowed under The Mann Group Loan Arrangement was fixed at 5.84%; under the 2021 convertible notes, 5.75%; and under the 2019 notes, 9.75%. See Note 13 – Subsequent Events to the condensed consolidated financial statements included in Part I – Financial Statements (Unaudited) for information about the principal amount of outstanding debt.</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U.S. Treasury bills or notes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change in interest rates equal to 10% of the interest rates on June 30, 2019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On April 1, 2019, we entered into a foreign currency hedging transaction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of €3.9 million and is renewable every 90 days. We realized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currency loss during the second quarter of 2019. This amount is recorded in other income and expense.</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foreign currencies. On April 2, 2018, we entered into a foreign currency short-term (90 days) hedging transactions to mitigate our foreign currency exchange risks associated with our insulin purchase obligation under the Insulin Supply Agreement. For the three months ended June 30, 2019, we realized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currency gain. This amount was recorded in other income and expense. Exchange rate fluctuations may adversely affect our expenses, results of operations, financial position and cash flows. If a change in the U.S. dollar to Euro exchange rate equal to 10% of the U.S. dollar to Euro exchange rate on June 30, 2019 were to occur, this change would have resulted in a foreign currency impact to our pre-tax income (losses) of approximately $9.4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June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June 30, 2019, we have concluded, as of such date,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At a case conference in February 2019, the court directed the parties to negotiate a procedure for determining whether the plaintiff can distinguish the claims in the Israeli litigation from those in a U.S. case against us based on the same events (which was dismissed by the U.S. district court for the Central District of California in August 2016). In July 2019, the plaintiff asked the court to be allowed to amend his claim. This motion will be heard in September 2019. We will continue to vigorously defend against the claims advanced.</w:t>
      </w:r>
    </w:p>
    <w:p>
      <w:pPr>
        <w:spacing w:after="0" w:line="18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fund our operations, and there is substantial doubt about our ability to continue as a going concern.*</w:t>
      </w:r>
    </w:p>
    <w:p>
      <w:pPr>
        <w:spacing w:after="0" w:line="14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report includes disclosures stating that our existing cash resources and our accumulated stockholder’s deficit raise substantial doubt about our ability to continue as a going concern. As of June 30, 2019, we had cash and cash equivalents of $13.3 million, short-term investment of $24.9 million and a stockholders’ deficit of $196.0 million.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57"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degree to which we are able to generate revenue from our Technosphere drug delivery platform, including through our collaborations;</w:t>
      </w:r>
    </w:p>
    <w:p>
      <w:pPr>
        <w:spacing w:after="0" w:line="101" w:lineRule="exact"/>
        <w:rPr>
          <w:rFonts w:ascii="Arial" w:cs="Arial" w:eastAsia="Arial" w:hAnsi="Arial"/>
          <w:sz w:val="17"/>
          <w:szCs w:val="17"/>
          <w:color w:val="auto"/>
        </w:rPr>
      </w:pPr>
    </w:p>
    <w:p>
      <w:pPr>
        <w:ind w:left="1040" w:right="120" w:hanging="519"/>
        <w:spacing w:after="0" w:line="24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13" w:lineRule="exact"/>
        <w:rPr>
          <w:rFonts w:ascii="Arial" w:cs="Arial" w:eastAsia="Arial" w:hAnsi="Arial"/>
          <w:sz w:val="16"/>
          <w:szCs w:val="16"/>
          <w:color w:val="auto"/>
        </w:rPr>
      </w:pPr>
    </w:p>
    <w:p>
      <w:pPr>
        <w:ind w:left="1040" w:right="140" w:hanging="519"/>
        <w:spacing w:after="0" w:line="24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make milestone payments to Deerfield;</w:t>
      </w:r>
    </w:p>
    <w:p>
      <w:pPr>
        <w:spacing w:after="0" w:line="90" w:lineRule="exact"/>
        <w:rPr>
          <w:rFonts w:ascii="Arial" w:cs="Arial" w:eastAsia="Arial" w:hAnsi="Arial"/>
          <w:sz w:val="18"/>
          <w:szCs w:val="18"/>
          <w:color w:val="auto"/>
        </w:rPr>
      </w:pPr>
    </w:p>
    <w:p>
      <w:pPr>
        <w:ind w:left="1040" w:right="240" w:hanging="519"/>
        <w:spacing w:after="0" w:line="24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90" w:lineRule="exact"/>
        <w:rPr>
          <w:rFonts w:ascii="Arial" w:cs="Arial" w:eastAsia="Arial" w:hAnsi="Arial"/>
          <w:sz w:val="18"/>
          <w:szCs w:val="18"/>
          <w:color w:val="auto"/>
        </w:rPr>
      </w:pPr>
    </w:p>
    <w:p>
      <w:pPr>
        <w:ind w:left="1040" w:right="220" w:hanging="519"/>
        <w:spacing w:after="0" w:line="24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40" w:name="page41"/>
    <w:bookmarkEnd w:id="40"/>
    <w:p>
      <w:pPr>
        <w:ind w:right="40"/>
        <w:spacing w:after="0" w:line="268" w:lineRule="auto"/>
        <w:rPr>
          <w:sz w:val="20"/>
          <w:szCs w:val="20"/>
          <w:color w:val="auto"/>
        </w:rPr>
      </w:pPr>
      <w:r>
        <w:rPr>
          <w:rFonts w:ascii="Arial" w:cs="Arial" w:eastAsia="Arial" w:hAnsi="Arial"/>
          <w:sz w:val="17"/>
          <w:szCs w:val="17"/>
          <w:color w:val="auto"/>
        </w:rPr>
        <w:t>Successful commercialization of Afrezza is subject to many risks, including some that are outside our control. There are numerous examples of unsuccessful product launches, second launches that underperform original expectations and other failures to fully exploit the market potential of drug products, including by pharmaceutical companies with more experience and resources than us.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 We will need to maintain and enhance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we are unable to maintain payor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fail to achieve commercialize success with Afrezza in the United States, our business, financial condition and results of operations will be materially and adversely affected.</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continue to be successful in establishing or maintaining regional partnerships or other arrangements with third parties for the commercialization of Afrezza outside of the United States.*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spacing w:after="0" w:line="257" w:lineRule="auto"/>
        <w:rPr>
          <w:sz w:val="20"/>
          <w:szCs w:val="20"/>
          <w:color w:val="auto"/>
        </w:rPr>
      </w:pPr>
      <w:r>
        <w:rPr>
          <w:rFonts w:ascii="Arial" w:cs="Arial" w:eastAsia="Arial" w:hAnsi="Arial"/>
          <w:sz w:val="18"/>
          <w:szCs w:val="18"/>
          <w:color w:val="auto"/>
        </w:rPr>
        <w:t>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likely not be able to advance these programs unless we are able to enter into collaborations with third parties to fund these programs or to obtain funding to enable us to continue these programs.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are not currently profitable and have rarely generated positive net cash flow from operations. As of June 30, 2019, we had an accumulated deficit of $3.0 billion. The accumulated deficit has resulted principally from costs incurred in our research and development programs, the write-off of goodwill, inventory and property, plant and equipment, and general operating expenses. We expect to make substantial expenditures and to incur increasing operating losses in the future in order to continue the commercialization of Afrezza. In addition, under our Insulin Supply Agreement with Amphastar, we agreed to purchase certain annual minimum quantities of insulin through 2026. As of the date of this report, there was €82.1 million remaining in aggregate purchase commitments under this agreement. We may not have the necessary capital resources on hand in order to service this contractual commitment.</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report, we have $120.3 million principal amount of outstanding debt consisting of:</w:t>
      </w:r>
    </w:p>
    <w:p>
      <w:pPr>
        <w:spacing w:after="0" w:line="117" w:lineRule="exact"/>
        <w:rPr>
          <w:sz w:val="20"/>
          <w:szCs w:val="20"/>
          <w:color w:val="auto"/>
        </w:rPr>
      </w:pPr>
    </w:p>
    <w:p>
      <w:pPr>
        <w:jc w:val="both"/>
        <w:ind w:left="1040" w:right="34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 million principal amount of 2024 convertible notes bearing interest at 5.75% per annum, with interest payable in cash semiannually in arrears on February 15 and August 15 of each year, and maturing in November 2024, all of which is convertible into shares of our common stock at the option of holder at a conversion price of $3.00 per share;</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$5.3 million principal amount of 2020 notes, half of which mature in June 2020 and half of which mature in December 2020;</w:t>
      </w:r>
    </w:p>
    <w:p>
      <w:pPr>
        <w:spacing w:after="0" w:line="117"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New Mann Group Loan Arrangement bearing interest at a fixed rate of 7.00% per annum compounded quarterly and maturing in November 2024, $35.0 million of which is convertible into shares of our common stock at the option of The Mann Group at a conversion price of $2.50 per share; and</w:t>
      </w:r>
    </w:p>
    <w:p>
      <w:pPr>
        <w:spacing w:after="0" w:line="73" w:lineRule="exact"/>
        <w:rPr>
          <w:rFonts w:ascii="Arial" w:cs="Arial" w:eastAsia="Arial" w:hAnsi="Arial"/>
          <w:sz w:val="18"/>
          <w:szCs w:val="18"/>
          <w:color w:val="auto"/>
        </w:rPr>
      </w:pPr>
    </w:p>
    <w:p>
      <w:pPr>
        <w:ind w:left="1040" w:right="280" w:hanging="505"/>
        <w:spacing w:after="0" w:line="277"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LIBOR plus 6.75%, subject to a LIBOR floor of 2.00%, and maturing in August 2024.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right="80"/>
        <w:spacing w:after="0" w:line="255" w:lineRule="auto"/>
        <w:rPr>
          <w:sz w:val="20"/>
          <w:szCs w:val="20"/>
          <w:color w:val="auto"/>
        </w:rPr>
      </w:pPr>
      <w:r>
        <w:rPr>
          <w:rFonts w:ascii="Arial" w:cs="Arial" w:eastAsia="Arial" w:hAnsi="Arial"/>
          <w:sz w:val="18"/>
          <w:szCs w:val="18"/>
          <w:color w:val="auto"/>
        </w:rPr>
        <w:t>Under the MidCap Credit Facility, our interest rate on borrowed amounts is dependent on LIBOR, which is the basic rate of interest used in lending between banks on the London interbank market and is widely used as a reference for setting the interest rate on loans globally, is currently scheduled to be phased out in 2021. Before LIBOR is phased out, we may need to renegotiate the MidCap Credit Facility to replace LIBOR with a new standard, which has yet to be established. The consequences of these developments cannot be entirely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Further, the MidCap Credit Facility requires us, and any debt arrangements we may enter into in the future may require us, to comply with various covenants that limit our ability to, among other things:</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MidCap Credit Facility also contains a covenant relating to trailing twelve month minimum Afrezza Net Revenue requirements (as defined in the Credit Agreement), tested on a monthly basis, as described in more detail in the MidCap Credit Facility. If we fail to meet this covenant, we may lose the ability to borrow the Tranche 2 advance and the Tranche 3 advance if the other conditions for those advances are satisfied, and any outstanding borrowings, together with accrued interest, under the MidCap Credit Facility could be declared immediately due and payable.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3" w:name="page44"/>
    <w:bookmarkEnd w:id="43"/>
    <w:p>
      <w:pPr>
        <w:ind w:right="40"/>
        <w:spacing w:after="0" w:line="270"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2020 notes, MidCap Term Loan or borrowings under The New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18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3" w:lineRule="exact"/>
        <w:rPr>
          <w:sz w:val="20"/>
          <w:szCs w:val="20"/>
          <w:color w:val="auto"/>
        </w:rPr>
      </w:pPr>
    </w:p>
    <w:p>
      <w:pPr>
        <w:jc w:val="both"/>
        <w:ind w:left="1040" w:right="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source of insulin that we have qualified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7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 packs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5" w:name="page46"/>
    <w:bookmarkEnd w:id="45"/>
    <w:p>
      <w:pPr>
        <w:ind w:right="40"/>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2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other products that we may develop in the future depends on many factors, including the:</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September 2018, CMS announced that it will allow Medicare Advantage Plans the option to use step therapy for Part B drugs beginning January 1, 2019. In addition, on January 31, 2019, the United States Department of Health and Human Services Office of Inspector General, proposed modifications to the federal Anti-Kickback Statute discount safe harbor for the purpose of reducing the cost of drugs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will require additional authorization to become effective, Congress and the Trump administration have stated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payors may take in response to any drug pricing and reimbursement reform proposals or legislation. Such reforms may limit our ability to generate revenues from sales of Afrezza or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60"/>
        <w:spacing w:after="0" w:line="264" w:lineRule="auto"/>
        <w:rPr>
          <w:sz w:val="20"/>
          <w:szCs w:val="20"/>
          <w:color w:val="auto"/>
        </w:rPr>
      </w:pPr>
      <w:r>
        <w:rPr>
          <w:rFonts w:ascii="Arial" w:cs="Arial" w:eastAsia="Arial" w:hAnsi="Arial"/>
          <w:sz w:val="18"/>
          <w:szCs w:val="18"/>
          <w:color w:val="auto"/>
        </w:rPr>
        <w:t>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 health administration authorities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in many foreign countries,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reimbursement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PPACA of importance to us are the following:</w:t>
      </w:r>
    </w:p>
    <w:p>
      <w:pPr>
        <w:spacing w:after="0" w:line="103" w:lineRule="exact"/>
        <w:rPr>
          <w:sz w:val="20"/>
          <w:szCs w:val="20"/>
          <w:color w:val="auto"/>
        </w:rPr>
      </w:pPr>
    </w:p>
    <w:p>
      <w:pPr>
        <w:ind w:left="1040" w:right="2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jc w:val="both"/>
        <w:ind w:left="1040" w:right="40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 which has been suspended for calendar years 2016 through 2019;</w:t>
      </w:r>
    </w:p>
    <w:p>
      <w:pPr>
        <w:spacing w:after="0" w:line="86"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left="1040" w:right="6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jc w:val="both"/>
        <w:ind w:left="1040" w:right="60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1040" w:right="40" w:hanging="519"/>
        <w:spacing w:after="0" w:line="302"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59" w:lineRule="exact"/>
        <w:rPr>
          <w:rFonts w:ascii="Arial" w:cs="Arial" w:eastAsia="Arial" w:hAnsi="Arial"/>
          <w:sz w:val="16"/>
          <w:szCs w:val="16"/>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30"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as well as efforts by the Trump administration to repeal or replace certain aspects of the PPACA.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(“Tax Act”) includes a provision that repealed, effective January 1, 2019, the tax-based shared responsibility payment imposed by the PPACA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PPACA, effective January 1, 2019, to close the coverage gap in most Medicare drug plans.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PPACA will impact the PPACA and our business.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2027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right="220"/>
        <w:spacing w:after="0" w:line="276"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40" w:right="80" w:hanging="519"/>
        <w:spacing w:after="0" w:line="273"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3" w:lineRule="exact"/>
        <w:rPr>
          <w:rFonts w:ascii="Arial" w:cs="Arial" w:eastAsia="Arial" w:hAnsi="Arial"/>
          <w:sz w:val="17"/>
          <w:szCs w:val="17"/>
          <w:color w:val="auto"/>
        </w:rPr>
      </w:pPr>
    </w:p>
    <w:p>
      <w:pPr>
        <w:ind w:left="1040" w:right="60" w:hanging="519"/>
        <w:spacing w:after="0" w:line="273"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83" w:lineRule="exact"/>
        <w:rPr>
          <w:rFonts w:ascii="Arial" w:cs="Arial" w:eastAsia="Arial" w:hAnsi="Arial"/>
          <w:sz w:val="17"/>
          <w:szCs w:val="17"/>
          <w:color w:val="auto"/>
        </w:rPr>
      </w:pPr>
    </w:p>
    <w:p>
      <w:pPr>
        <w:ind w:left="1040" w:right="4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86" w:lineRule="exact"/>
        <w:rPr>
          <w:rFonts w:ascii="Arial" w:cs="Arial" w:eastAsia="Arial" w:hAnsi="Arial"/>
          <w:sz w:val="18"/>
          <w:szCs w:val="18"/>
          <w:color w:val="auto"/>
        </w:rPr>
      </w:pPr>
    </w:p>
    <w:p>
      <w:pPr>
        <w:ind w:left="1040" w:hanging="519"/>
        <w:spacing w:after="0" w:line="286"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In addition, in May 2018, the European Union, or EU,</w:t>
      </w:r>
    </w:p>
    <w:p>
      <w:pPr>
        <w:spacing w:after="0" w:line="1" w:lineRule="exact"/>
        <w:rPr>
          <w:rFonts w:ascii="Arial" w:cs="Arial" w:eastAsia="Arial" w:hAnsi="Arial"/>
          <w:sz w:val="16"/>
          <w:szCs w:val="16"/>
          <w:color w:val="auto"/>
        </w:rPr>
      </w:pPr>
    </w:p>
    <w:p>
      <w:pPr>
        <w:ind w:left="1040" w:right="160"/>
        <w:spacing w:after="0" w:line="253" w:lineRule="auto"/>
        <w:rPr>
          <w:rFonts w:ascii="Arial" w:cs="Arial" w:eastAsia="Arial" w:hAnsi="Arial"/>
          <w:sz w:val="16"/>
          <w:szCs w:val="16"/>
          <w:color w:val="auto"/>
        </w:rPr>
      </w:pPr>
      <w:r>
        <w:rPr>
          <w:rFonts w:ascii="Arial" w:cs="Arial" w:eastAsia="Arial" w:hAnsi="Arial"/>
          <w:sz w:val="18"/>
          <w:szCs w:val="18"/>
          <w:color w:val="auto"/>
        </w:rPr>
        <w:t>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96" w:lineRule="exact"/>
        <w:rPr>
          <w:rFonts w:ascii="Arial" w:cs="Arial" w:eastAsia="Arial" w:hAnsi="Arial"/>
          <w:sz w:val="16"/>
          <w:szCs w:val="16"/>
          <w:color w:val="auto"/>
        </w:rPr>
      </w:pPr>
    </w:p>
    <w:p>
      <w:pPr>
        <w:ind w:left="1040" w:hanging="519"/>
        <w:spacing w:after="0" w:line="290"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California recently enacted legislation that has been dubbed the first “GDPR-like” law in the United States. Known as the California Consumer Privacy Act (“CCPA”), it will create new individual privacy rights for consumers (as that word is broadly defined in the law) and place increased privacy and security obligations on entities handling personal data of consumers or households. When it goes into effect on January 1, 2020, the CCPA will require covered companies to provide new disclosures to California consumers, provide such consumers new ways to opt-out of certain sales of personal information, and allow for a new cause of action for data breaches. Legislators have stated that amendments will be proposed to the CCPA before it goes into effect, but it remains unclear what, if any, modifications will be made to this legislation or how it will be interpreted. As currently written, the CCPA will likely impact (possibly significantly) our business activities and exemplifies the vulnerability of our business to not only cyber threats but also the evolving regulatory environment related to personal data;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left="1040" w:right="180" w:hanging="519"/>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92" w:lineRule="exact"/>
        <w:rPr>
          <w:rFonts w:ascii="Arial" w:cs="Arial" w:eastAsia="Arial" w:hAnsi="Arial"/>
          <w:sz w:val="18"/>
          <w:szCs w:val="18"/>
          <w:color w:val="auto"/>
        </w:rPr>
      </w:pPr>
    </w:p>
    <w:p>
      <w:pPr>
        <w:ind w:left="1040" w:right="120" w:hanging="519"/>
        <w:spacing w:after="0" w:line="271"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exceptions and regulatory safe harbors,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Changes or modifications in financial accounting standards, including those related to revenue recognition, may harm our results of operations.*</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From time to time, the Financial Accounting Standards Board (“FASB”), either alone or jointly with other organizations, promulgates new accounting principles that could have an adverse impact on our financial position, results of operations or reported cash flows. In May 2014, the FASB issued Accounting Standards Update (ASU) No. 2014-09, Revenue </w:t>
      </w:r>
      <w:r>
        <w:rPr>
          <w:rFonts w:ascii="Arial" w:cs="Arial" w:eastAsia="Arial" w:hAnsi="Arial"/>
          <w:sz w:val="17"/>
          <w:szCs w:val="17"/>
          <w:i w:val="1"/>
          <w:iCs w:val="1"/>
          <w:color w:val="auto"/>
        </w:rPr>
        <w:t>from Contracts with Customers (Topic 606)</w:t>
      </w:r>
      <w:r>
        <w:rPr>
          <w:rFonts w:ascii="Arial" w:cs="Arial" w:eastAsia="Arial" w:hAnsi="Arial"/>
          <w:sz w:val="17"/>
          <w:szCs w:val="17"/>
          <w:color w:val="auto"/>
        </w:rPr>
        <w:t>, which was subsequently clarified by additional ASUs. The standard requires a company to recognize revenue to depict the transfer of goods or services when transferred to customers in the amount that reflects the consideration it expects to be entitled to receive in exchange for those goods or services. We adopted the new standard for the year beginning January 1, 2018.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of December 31, 2018 we had federal and state net operating loss carryforwards of $2.1 billion and $2.4 billion, respectively, which we assess annually. The federal and state net operating loss carryforwards have begun to expire.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to the end of the previous tax year regarding whether additional limitations may be placed on the net operating loss carryforwards and other tax attributes, and no additional changes in ownership that met Section 382 study ownership change threshold has been identified through December 31, 2018. There is a risk that changes in ownership can and may occur in tax years after December 31, 2018. If a change in ownership were to occur,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and following an oral hearing before the Supreme Court of Israel, has decided to withdraw his appeal. Subsequently, in November 2018, we filed a motion to dismiss the certification motion. At a case conference in February 2019, the court directed the parties to negotiate a procedure for determining whether the plaintiff can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ind w:right="20"/>
        <w:spacing w:after="0" w:line="255" w:lineRule="auto"/>
        <w:rPr>
          <w:sz w:val="20"/>
          <w:szCs w:val="20"/>
          <w:color w:val="auto"/>
        </w:rPr>
      </w:pPr>
      <w:r>
        <w:rPr>
          <w:rFonts w:ascii="Arial" w:cs="Arial" w:eastAsia="Arial" w:hAnsi="Arial"/>
          <w:sz w:val="18"/>
          <w:szCs w:val="18"/>
          <w:color w:val="auto"/>
        </w:rPr>
        <w:t>distinguish the claims in the Israeli litigation from those in a U.S. case against us based on the same events (which was dismissed by the U.S. district court for the Central District of California in August 2016).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It will also serve as the initial production facility for TreT.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right="180"/>
        <w:spacing w:after="0" w:line="259" w:lineRule="auto"/>
        <w:rPr>
          <w:sz w:val="20"/>
          <w:szCs w:val="20"/>
          <w:color w:val="auto"/>
        </w:rPr>
      </w:pPr>
      <w:r>
        <w:rPr>
          <w:rFonts w:ascii="Arial" w:cs="Arial" w:eastAsia="Arial" w:hAnsi="Arial"/>
          <w:sz w:val="18"/>
          <w:szCs w:val="18"/>
          <w:color w:val="auto"/>
        </w:rPr>
        <w:t>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9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3"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w:t>
      </w:r>
    </w:p>
    <w:p>
      <w:pPr>
        <w:jc w:val="both"/>
        <w:ind w:right="340"/>
        <w:spacing w:after="0" w:line="302" w:lineRule="auto"/>
        <w:rPr>
          <w:sz w:val="20"/>
          <w:szCs w:val="20"/>
          <w:color w:val="auto"/>
        </w:rPr>
      </w:pPr>
      <w:r>
        <w:rPr>
          <w:rFonts w:ascii="Arial" w:cs="Arial" w:eastAsia="Arial" w:hAnsi="Arial"/>
          <w:sz w:val="16"/>
          <w:szCs w:val="16"/>
          <w:color w:val="auto"/>
        </w:rPr>
        <w:t>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5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4" w:name="page55"/>
    <w:bookmarkEnd w:id="54"/>
    <w:p>
      <w:pPr>
        <w:ind w:right="460"/>
        <w:spacing w:after="0" w:line="277" w:lineRule="auto"/>
        <w:rPr>
          <w:sz w:val="20"/>
          <w:szCs w:val="20"/>
          <w:color w:val="auto"/>
        </w:rPr>
      </w:pPr>
      <w:r>
        <w:rPr>
          <w:rFonts w:ascii="Arial" w:cs="Arial" w:eastAsia="Arial" w:hAnsi="Arial"/>
          <w:sz w:val="18"/>
          <w:szCs w:val="18"/>
          <w:color w:val="auto"/>
        </w:rPr>
        <w:t>demonstrate the safety and efficacy of any of our product candidates would delay or prevent regulatory approval of our product candidates, which could prevent us from achieving profitability.</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with the approval of Afrezza, the FDA has required that we conduct a five-year, randomized, controlled trial in patients with type 2 diabetes, the primary objective of which is to compare the incidence of pulmonary malignancy observed with Afrezza to that observed in a standard of care control group. To date, we have not enrolled any subjects in this trial.</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700"/>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initially inactivated all Afrezza social media accounts (including Facebook, Instagram and Twitter) then, after consultation with OPDP, placed a corrective post on Facebook and Instagram.</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2020,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7" w:name="page58"/>
    <w:bookmarkEnd w:id="57"/>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40"/>
        <w:spacing w:after="0" w:line="253" w:lineRule="auto"/>
        <w:rPr>
          <w:sz w:val="20"/>
          <w:szCs w:val="20"/>
          <w:color w:val="auto"/>
        </w:rPr>
      </w:pPr>
      <w:r>
        <w:rPr>
          <w:rFonts w:ascii="Arial" w:cs="Arial" w:eastAsia="Arial" w:hAnsi="Arial"/>
          <w:sz w:val="18"/>
          <w:szCs w:val="18"/>
          <w:color w:val="auto"/>
        </w:rPr>
        <w:t>Although we do not believe that Afrezza infringes any third-party patents, we have identified certain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the vesting of restricted stock unit awards and the purchase of shares of common stock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2" w:lineRule="exact"/>
        <w:rPr>
          <w:sz w:val="20"/>
          <w:szCs w:val="20"/>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42"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30"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30"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0" w:name="page61"/>
    <w:bookmarkEnd w:id="60"/>
    <w:p>
      <w:pPr>
        <w:ind w:left="1040" w:right="140"/>
        <w:spacing w:after="0" w:line="308" w:lineRule="auto"/>
        <w:rPr>
          <w:sz w:val="20"/>
          <w:szCs w:val="20"/>
          <w:color w:val="auto"/>
        </w:rPr>
      </w:pPr>
      <w:r>
        <w:rPr>
          <w:rFonts w:ascii="Arial" w:cs="Arial" w:eastAsia="Arial" w:hAnsi="Arial"/>
          <w:sz w:val="17"/>
          <w:szCs w:val="17"/>
          <w:color w:val="auto"/>
        </w:rPr>
        <w:t>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July 16, 2019, we had 189,616,126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2024 convertible notes or borrowings under The New Mann Group Loan Arrangement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40"/>
        <w:spacing w:after="0" w:line="259" w:lineRule="auto"/>
        <w:rPr>
          <w:sz w:val="20"/>
          <w:szCs w:val="20"/>
          <w:color w:val="auto"/>
        </w:rPr>
      </w:pPr>
      <w:r>
        <w:rPr>
          <w:rFonts w:ascii="Arial" w:cs="Arial" w:eastAsia="Arial" w:hAnsi="Arial"/>
          <w:sz w:val="18"/>
          <w:szCs w:val="18"/>
          <w:color w:val="auto"/>
        </w:rPr>
        <w:t>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317" w:lineRule="exact"/>
        <w:rPr>
          <w:sz w:val="20"/>
          <w:szCs w:val="20"/>
          <w:color w:val="auto"/>
        </w:rPr>
      </w:pPr>
    </w:p>
    <w:p>
      <w:pPr>
        <w:ind w:right="4300"/>
        <w:spacing w:after="0" w:line="423"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gridSpan w:val="26"/>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gridSpan w:val="2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160" w:type="dxa"/>
            <w:vAlign w:val="bottom"/>
            <w:tcBorders>
              <w:top w:val="single" w:sz="8" w:color="auto"/>
              <w:bottom w:val="single" w:sz="8" w:color="0000EE"/>
            </w:tcBorders>
            <w:gridSpan w:val="30"/>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Amended and Restated Certificate of Incorporation (incorporated by reference to Exhibit 3.1 to MannKind’s Quarterly Report on Form 10-Q</w:t>
              </w:r>
            </w:hyperlink>
          </w:p>
        </w:tc>
        <w:tc>
          <w:tcPr>
            <w:tcW w:w="320" w:type="dxa"/>
            <w:vAlign w:val="bottom"/>
            <w:tcBorders>
              <w:top w:val="single" w:sz="8" w:color="auto"/>
            </w:tcBorders>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(File No. 000-50865), filed with the SEC on August 9, 2016).</w:t>
              </w:r>
            </w:hyperlink>
          </w:p>
        </w:tc>
        <w:tc>
          <w:tcPr>
            <w:tcW w:w="604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25"/>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5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Exhibit 3.1 to MannKind’s Current Report on Form 8-K (File No. 000-50865), filed with the SEC on March 2, 2017).</w:t>
              </w:r>
            </w:hyperlink>
          </w:p>
        </w:tc>
        <w:tc>
          <w:tcPr>
            <w:tcW w:w="20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0480" w:type="dxa"/>
            <w:vAlign w:val="bottom"/>
            <w:tcBorders>
              <w:bottom w:val="single" w:sz="8" w:color="0000EE"/>
            </w:tcBorders>
            <w:gridSpan w:val="39"/>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Certificate of Amendment of Amended and Restated Certificate of Incorporation of MannKind Corporation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MannKind’s Current Report on Form 8-K (File No. 000-50865), filed with the SEC on December 13,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0460" w:type="dxa"/>
            <w:vAlign w:val="bottom"/>
            <w:tcBorders>
              <w:bottom w:val="single" w:sz="8" w:color="0000EE"/>
            </w:tcBorders>
            <w:gridSpan w:val="38"/>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Amended and Restated Bylaws (incorporated by reference to MannKind’s Current Report on Form 8-K (File No. 000-50865), filed with the SEC</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on November 19, 2007).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90">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91">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92">
              <w:r>
                <w:rPr>
                  <w:rFonts w:ascii="Arial" w:cs="Arial" w:eastAsia="Arial" w:hAnsi="Arial"/>
                  <w:sz w:val="18"/>
                  <w:szCs w:val="18"/>
                  <w:color w:val="0000EE"/>
                </w:rPr>
                <w:t>3.3</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93">
              <w:r>
                <w:rPr>
                  <w:rFonts w:ascii="Arial" w:cs="Arial" w:eastAsia="Arial" w:hAnsi="Arial"/>
                  <w:sz w:val="18"/>
                  <w:szCs w:val="18"/>
                  <w:color w:val="0000EE"/>
                </w:rPr>
                <w:t>3.4</w:t>
              </w:r>
            </w:hyperlink>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Borders>
              <w:bottom w:val="single" w:sz="8" w:color="0000EE"/>
            </w:tcBorders>
            <w:gridSpan w:val="35"/>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common stock certificate (incorporated by reference to Exhibit 4.2 to MannKind’s Annual Report on Form 10-K (File No. 000-50865),</w:t>
              </w:r>
            </w:hyperlink>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filed with the SEC on March 16, 2017).</w:t>
              </w:r>
            </w:hyperlink>
          </w:p>
        </w:tc>
        <w:tc>
          <w:tcPr>
            <w:tcW w:w="762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480" w:type="dxa"/>
            <w:vAlign w:val="bottom"/>
            <w:tcBorders>
              <w:bottom w:val="single" w:sz="8" w:color="0000EE"/>
            </w:tcBorders>
            <w:gridSpan w:val="39"/>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Form of 9.75% Senior Secured Convertible Promissory Note due 2019 (incorporated by reference Exhibit 99.2 to MannKind’s Current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Form 8-K (File No. 000-50865), filed with the SEC on July 1, 2013).</w:t>
              </w:r>
            </w:hyperlink>
          </w:p>
        </w:tc>
        <w:tc>
          <w:tcPr>
            <w:tcW w:w="550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5"/>
              </w:rPr>
            </w:pPr>
            <w:hyperlink r:id="rId96">
              <w:r>
                <w:rPr>
                  <w:rFonts w:ascii="Arial" w:cs="Arial" w:eastAsia="Arial" w:hAnsi="Arial"/>
                  <w:sz w:val="18"/>
                  <w:szCs w:val="18"/>
                  <w:color w:val="0000EE"/>
                  <w:w w:val="95"/>
                </w:rPr>
                <w:t>Form of Amended and Restated 9.75% Senior Secured Convertible Promissory Note due 2019 (incorporated by reference to Exhibit 4.7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MannKind’s Annual Report on Form 10-K (File No. 000-50865), filed with the SEC on March 3, 2014).</w:t>
              </w:r>
            </w:hyperlink>
          </w:p>
        </w:tc>
        <w:tc>
          <w:tcPr>
            <w:tcW w:w="2460" w:type="dxa"/>
            <w:vAlign w:val="bottom"/>
            <w:tcBorders>
              <w:top w:val="single" w:sz="8" w:color="0000EE"/>
            </w:tcBorders>
            <w:gridSpan w:val="8"/>
          </w:tcPr>
          <w:p>
            <w:pPr>
              <w:spacing w:after="0"/>
              <w:rPr>
                <w:sz w:val="17"/>
                <w:szCs w:val="17"/>
                <w:color w:val="auto"/>
              </w:rPr>
            </w:pPr>
          </w:p>
        </w:tc>
        <w:tc>
          <w:tcPr>
            <w:tcW w:w="5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Tranche B Senior Secured Note due 2019 (incorporated by reference to Exhibit 4.8 to MannKind’s Quarterly Report on Form 10-Q (File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No. 000-50856), filed with the SEC on May 12, 2014).</w:t>
              </w:r>
            </w:hyperlink>
          </w:p>
        </w:tc>
        <w:tc>
          <w:tcPr>
            <w:tcW w:w="6500" w:type="dxa"/>
            <w:vAlign w:val="bottom"/>
            <w:tcBorders>
              <w:top w:val="single" w:sz="8" w:color="0000EE"/>
            </w:tcBorders>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10280" w:type="dxa"/>
            <w:vAlign w:val="bottom"/>
            <w:tcBorders>
              <w:bottom w:val="single" w:sz="8" w:color="0000EE"/>
            </w:tcBorders>
            <w:gridSpan w:val="32"/>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Milestone Rights Purchase Agreement, dated as of July 1, 2013, by and among MannKind, Deerfield Private Design Fund II, L.P. and Horizon</w:t>
              </w:r>
            </w:hyperlink>
          </w:p>
        </w:tc>
        <w:tc>
          <w:tcPr>
            <w:tcW w:w="2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80" w:type="dxa"/>
            <w:vAlign w:val="bottom"/>
            <w:tcBorders>
              <w:bottom w:val="single" w:sz="8" w:color="0000EE"/>
            </w:tcBorders>
            <w:gridSpan w:val="35"/>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Santé FLML SÁRL (incorporated by reference to Exhibit 99.3 to MannKind’s Current Report on Form 8-K (File No. 000-50865), filed with the</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SEC on July 1, 2013).</w:t>
              </w:r>
            </w:hyperlink>
          </w:p>
        </w:tc>
        <w:tc>
          <w:tcPr>
            <w:tcW w:w="8880" w:type="dxa"/>
            <w:vAlign w:val="bottom"/>
            <w:gridSpan w:val="3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0340" w:type="dxa"/>
            <w:vAlign w:val="bottom"/>
            <w:tcBorders>
              <w:bottom w:val="single" w:sz="8" w:color="0000EE"/>
            </w:tcBorders>
            <w:gridSpan w:val="34"/>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Guaranty and Security Agreement, dated as of July 1, 2013, by and among MannKind, MannKind LLC, Deerfield Private Design Fund II, L.P.,</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w w:val="98"/>
              </w:rPr>
            </w:pPr>
            <w:hyperlink r:id="rId99">
              <w:r>
                <w:rPr>
                  <w:rFonts w:ascii="Arial" w:cs="Arial" w:eastAsia="Arial" w:hAnsi="Arial"/>
                  <w:sz w:val="18"/>
                  <w:szCs w:val="18"/>
                  <w:color w:val="0000EE"/>
                  <w:w w:val="98"/>
                </w:rPr>
                <w:t>Deerfield Private Design International II, L.P. and Horizon Santé FLML SÁRL (incorporated by reference to Exhibit 99.4 to MannKind’s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Current Report on Form 8-K (File No. 000-50865), filed with the SEC on July 1, 2013).</w:t>
              </w:r>
            </w:hyperlink>
          </w:p>
        </w:tc>
        <w:tc>
          <w:tcPr>
            <w:tcW w:w="3560" w:type="dxa"/>
            <w:vAlign w:val="bottom"/>
            <w:tcBorders>
              <w:top w:val="single" w:sz="8" w:color="0000EE"/>
            </w:tcBorders>
            <w:gridSpan w:val="8"/>
          </w:tcPr>
          <w:p>
            <w:pPr>
              <w:spacing w:after="0"/>
              <w:rPr>
                <w:sz w:val="17"/>
                <w:szCs w:val="17"/>
                <w:color w:val="auto"/>
              </w:rPr>
            </w:pPr>
          </w:p>
        </w:tc>
        <w:tc>
          <w:tcPr>
            <w:tcW w:w="5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10460" w:type="dxa"/>
            <w:vAlign w:val="bottom"/>
            <w:tcBorders>
              <w:bottom w:val="single" w:sz="8" w:color="0000EE"/>
            </w:tcBorders>
            <w:gridSpan w:val="38"/>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Facility Agreement, dated as of July 1, 2013, by and among MannKind Corporation, Deerfield Private Design Fund II, L.P. and Deerfield Private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Design International II, L.P. (incorporated by reference to Exhibit 99.1 MannKind’s Current Report on Form 8-K (File No. 000-50865),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with the SEC on July 1, 2013).</w:t>
              </w:r>
            </w:hyperlink>
          </w:p>
        </w:tc>
        <w:tc>
          <w:tcPr>
            <w:tcW w:w="7920" w:type="dxa"/>
            <w:vAlign w:val="bottom"/>
            <w:tcBorders>
              <w:top w:val="single" w:sz="8" w:color="0000EE"/>
            </w:tcBorders>
            <w:gridSpan w:val="26"/>
          </w:tcPr>
          <w:p>
            <w:pPr>
              <w:spacing w:after="0"/>
              <w:rPr>
                <w:sz w:val="17"/>
                <w:szCs w:val="17"/>
                <w:color w:val="auto"/>
              </w:rPr>
            </w:pPr>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First Amendment to Facility Agreement and Registration Rights Agreement, dated as of February 28, 2014, by and among MannKind, Deerfield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20" w:type="dxa"/>
            <w:vAlign w:val="bottom"/>
            <w:tcBorders>
              <w:top w:val="single" w:sz="8" w:color="0000EE"/>
            </w:tcBorders>
            <w:gridSpan w:val="36"/>
          </w:tcPr>
          <w:p>
            <w:pPr>
              <w:spacing w:after="0" w:line="196" w:lineRule="exact"/>
              <w:rPr>
                <w:rFonts w:ascii="Arial" w:cs="Arial" w:eastAsia="Arial" w:hAnsi="Arial"/>
                <w:sz w:val="18"/>
                <w:szCs w:val="18"/>
                <w:color w:val="0000EE"/>
                <w:w w:val="96"/>
              </w:rPr>
            </w:pPr>
            <w:hyperlink r:id="rId101">
              <w:r>
                <w:rPr>
                  <w:rFonts w:ascii="Arial" w:cs="Arial" w:eastAsia="Arial" w:hAnsi="Arial"/>
                  <w:sz w:val="18"/>
                  <w:szCs w:val="18"/>
                  <w:color w:val="0000EE"/>
                  <w:w w:val="96"/>
                </w:rPr>
                <w:t>Private Design Fund II, L.P. and Deerfield Private Design International II, L.P. (incorporated by reference to Exhibit 10.39 to MannKind’s</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Annual Report on Form 10-K (File No. 000-50865), filed with the SEC on March 3, 2014).</w:t>
              </w:r>
            </w:hyperlink>
          </w:p>
        </w:tc>
        <w:tc>
          <w:tcPr>
            <w:tcW w:w="3360" w:type="dxa"/>
            <w:vAlign w:val="bottom"/>
            <w:tcBorders>
              <w:top w:val="single" w:sz="8" w:color="0000EE"/>
            </w:tcBorders>
            <w:gridSpan w:val="8"/>
          </w:tcPr>
          <w:p>
            <w:pPr>
              <w:spacing w:after="0"/>
              <w:rPr>
                <w:sz w:val="17"/>
                <w:szCs w:val="17"/>
                <w:color w:val="auto"/>
              </w:rPr>
            </w:pPr>
          </w:p>
        </w:tc>
        <w:tc>
          <w:tcPr>
            <w:tcW w:w="5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7"/>
              </w:rPr>
            </w:pPr>
            <w:hyperlink r:id="rId102">
              <w:r>
                <w:rPr>
                  <w:rFonts w:ascii="Arial" w:cs="Arial" w:eastAsia="Arial" w:hAnsi="Arial"/>
                  <w:sz w:val="18"/>
                  <w:szCs w:val="18"/>
                  <w:color w:val="0000EE"/>
                  <w:w w:val="97"/>
                </w:rPr>
                <w:t>Second Amendment to Facility Agreement and Registration Rights Agreement, dated as of August 11, 2014, by and among MannKind,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Deerfield Private Design Fund II, L.P. and Deerfield Private Design International II, L.P. (incorporated by reference to Exhibit 4.14 to</w:t>
              </w:r>
            </w:hyperlink>
          </w:p>
        </w:tc>
        <w:tc>
          <w:tcPr>
            <w:tcW w:w="120" w:type="dxa"/>
            <w:vAlign w:val="bottom"/>
            <w:tcBorders>
              <w:top w:val="single" w:sz="8" w:color="0000EE"/>
            </w:tcBorders>
          </w:tcPr>
          <w:p>
            <w:pPr>
              <w:spacing w:after="0"/>
              <w:rPr>
                <w:sz w:val="17"/>
                <w:szCs w:val="17"/>
                <w:color w:val="auto"/>
              </w:rPr>
            </w:pPr>
          </w:p>
        </w:tc>
        <w:tc>
          <w:tcPr>
            <w:tcW w:w="7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MannKind’s Quarterly Report on Form 10-Q (File No. 000-50865), filed with the SEC on November 10, 2014).</w:t>
              </w:r>
            </w:hyperlink>
          </w:p>
        </w:tc>
        <w:tc>
          <w:tcPr>
            <w:tcW w:w="24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4"/>
                <w:szCs w:val="24"/>
                <w:color w:val="auto"/>
              </w:rPr>
            </w:pPr>
          </w:p>
        </w:tc>
        <w:tc>
          <w:tcPr>
            <w:tcW w:w="10020" w:type="dxa"/>
            <w:vAlign w:val="bottom"/>
            <w:tcBorders>
              <w:bottom w:val="single" w:sz="8" w:color="0000EE"/>
            </w:tcBorders>
            <w:gridSpan w:val="28"/>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Exchange and Third Amendment to Facility Agreement, dated June 29, 2017 by and among MannKind, MannKind LLC, Deerfield Private</w:t>
              </w:r>
            </w:hyperlink>
          </w:p>
        </w:tc>
        <w:tc>
          <w:tcPr>
            <w:tcW w:w="4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3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Design Fund II, L.P. and Deerfield Private Design International II, L.P. (incorporated by reference to Exhibit 99.2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on Form 8-K (File No. 000-50865), filed with the SEC on June 29,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1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92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Fourth Amendment to Facility Agreement, dated October 23, 2017 by and among MannKind, MannKind LLC, Deerfield Private Design Fund II,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L.P. and Deerfield Private Design International II, L.P. (incorporated by reference to Exhibit 99.1 to MannKind’s Current Report on Form 8-K</w:t>
              </w:r>
            </w:hyperlink>
          </w:p>
        </w:tc>
        <w:tc>
          <w:tcPr>
            <w:tcW w:w="2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(File No. 000-50865), filed with the SEC on October 23,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1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70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4"/>
                <w:szCs w:val="24"/>
                <w:color w:val="auto"/>
              </w:rPr>
            </w:pPr>
          </w:p>
        </w:tc>
        <w:tc>
          <w:tcPr>
            <w:tcW w:w="10320" w:type="dxa"/>
            <w:vAlign w:val="bottom"/>
            <w:tcBorders>
              <w:bottom w:val="single" w:sz="8" w:color="0000EE"/>
            </w:tcBorders>
            <w:gridSpan w:val="33"/>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Fifth Amendment to Facility Agreement, dated January 15, 2018 by and among MannKind, MannKind LLC, Deerfield Private Design Fund II,</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(File No. 000-50865), filed with the SEC on January 19, 2018.</w:t>
              </w:r>
            </w:hyperlink>
          </w:p>
        </w:tc>
        <w:tc>
          <w:tcPr>
            <w:tcW w:w="2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top w:val="single" w:sz="8" w:color="0000EE"/>
            </w:tcBorders>
            <w:gridSpan w:val="13"/>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40" w:type="dxa"/>
            <w:vAlign w:val="bottom"/>
            <w:gridSpan w:val="27"/>
            <w:vMerge w:val="restart"/>
          </w:tcPr>
          <w:p>
            <w:pPr>
              <w:ind w:left="2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40" w:type="dxa"/>
            <w:vAlign w:val="bottom"/>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4"/>
                <w:szCs w:val="24"/>
                <w:color w:val="auto"/>
              </w:rPr>
            </w:pPr>
          </w:p>
        </w:tc>
        <w:tc>
          <w:tcPr>
            <w:tcW w:w="10480" w:type="dxa"/>
            <w:vAlign w:val="bottom"/>
            <w:tcBorders>
              <w:top w:val="single" w:sz="8" w:color="auto"/>
            </w:tcBorders>
            <w:gridSpan w:val="30"/>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Exchange and Sixth Amendment to Facility Agreement, dated January 18, 2018 by and among MannKind, MannKind LLC, Deerfield Private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Design Fund II, L.P., and Deerfield Private Design International II, L.P. (incorporated by reference to Exhibit 99.2 to MannKind’s Current Report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on Form 8-K (File No. 000-50865), filed with the SEC on January 19, 2018.</w:t>
              </w:r>
            </w:hyperlink>
          </w:p>
        </w:tc>
        <w:tc>
          <w:tcPr>
            <w:tcW w:w="49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4"/>
                <w:szCs w:val="24"/>
                <w:color w:val="auto"/>
              </w:rPr>
            </w:pPr>
          </w:p>
        </w:tc>
        <w:tc>
          <w:tcPr>
            <w:tcW w:w="10120" w:type="dxa"/>
            <w:vAlign w:val="bottom"/>
            <w:tcBorders>
              <w:bottom w:val="single" w:sz="8" w:color="0000EE"/>
            </w:tcBorders>
            <w:gridSpan w:val="21"/>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Exchange and Seventh Amendment to Facility Agreement, dated June 8, 2018 by and among MannKind, MannKind LLC, Deerfield Private</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on Form 8-K (File No. 000-50865), filed with the SEC on June 11, 2018).</w:t>
              </w:r>
            </w:hyperlink>
          </w:p>
        </w:tc>
        <w:tc>
          <w:tcPr>
            <w:tcW w:w="51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4"/>
                <w:szCs w:val="24"/>
                <w:color w:val="auto"/>
              </w:rPr>
            </w:pPr>
          </w:p>
        </w:tc>
        <w:tc>
          <w:tcPr>
            <w:tcW w:w="10080" w:type="dxa"/>
            <w:vAlign w:val="bottom"/>
            <w:tcBorders>
              <w:bottom w:val="single" w:sz="8" w:color="0000EE"/>
            </w:tcBorders>
            <w:gridSpan w:val="19"/>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Exchange and Eighth Amendment to Facility Agreement, dated July 12, 2018 by and among MannKind, MannKind LLC, Deerfield Private</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on Form 8-K (File No. 000-50865), filed with the SEC on July 13, 2018).</w:t>
              </w:r>
            </w:hyperlink>
          </w:p>
        </w:tc>
        <w:tc>
          <w:tcPr>
            <w:tcW w:w="51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24"/>
                <w:szCs w:val="24"/>
                <w:color w:val="auto"/>
              </w:rPr>
            </w:pPr>
          </w:p>
        </w:tc>
        <w:tc>
          <w:tcPr>
            <w:tcW w:w="10480" w:type="dxa"/>
            <w:vAlign w:val="bottom"/>
            <w:gridSpan w:val="30"/>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Ninth Amendment to Facility Agreement, dated September 5, 2018 by and among MannKind, MannKind LLC, Deerfield Private Design Fund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0"/>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(File No. 000-50865), filed with the SEC on September 5, 2018).</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4"/>
                <w:szCs w:val="24"/>
                <w:color w:val="auto"/>
              </w:rPr>
            </w:pPr>
          </w:p>
        </w:tc>
        <w:tc>
          <w:tcPr>
            <w:tcW w:w="10380" w:type="dxa"/>
            <w:vAlign w:val="bottom"/>
            <w:tcBorders>
              <w:bottom w:val="single" w:sz="8" w:color="0000EE"/>
            </w:tcBorders>
            <w:gridSpan w:val="27"/>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Tenth Amendment to Facility Agreement, dated September 26, 2018 by and among MannKind, MannKind LLC, Deerfield Private Design Fund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0"/>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(File No. 000-50865), filed with the SEC on September 27, 2018).</w:t>
              </w:r>
            </w:hyperlink>
          </w:p>
        </w:tc>
        <w:tc>
          <w:tcPr>
            <w:tcW w:w="5660" w:type="dxa"/>
            <w:vAlign w:val="bottom"/>
            <w:tcBorders>
              <w:top w:val="single" w:sz="8" w:color="0000EE"/>
            </w:tcBorders>
            <w:gridSpan w:val="2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24"/>
                <w:szCs w:val="24"/>
                <w:color w:val="auto"/>
              </w:rPr>
            </w:pPr>
          </w:p>
        </w:tc>
        <w:tc>
          <w:tcPr>
            <w:tcW w:w="10380" w:type="dxa"/>
            <w:vAlign w:val="bottom"/>
            <w:tcBorders>
              <w:bottom w:val="single" w:sz="8" w:color="0000EE"/>
            </w:tcBorders>
            <w:gridSpan w:val="27"/>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Eleventh Amendment to Facility Agreement, dated June 18, 2019 by and among MannKind, MannKind LLC, Deerfield Private Design Fund II,</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L.P. and Deerfield Private Design International II, L.P. (incorporated by reference to Exhibit 99.1 to MannKind’s Current Report on Form 8-K</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(File No. 000-50865), filed with the SEC on June 19, 2019).</w:t>
              </w:r>
            </w:hyperlink>
          </w:p>
        </w:tc>
        <w:tc>
          <w:tcPr>
            <w:tcW w:w="61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24"/>
                <w:szCs w:val="24"/>
                <w:color w:val="auto"/>
              </w:rPr>
            </w:pPr>
          </w:p>
        </w:tc>
        <w:tc>
          <w:tcPr>
            <w:tcW w:w="10340" w:type="dxa"/>
            <w:vAlign w:val="bottom"/>
            <w:tcBorders>
              <w:bottom w:val="single" w:sz="8" w:color="0000EE"/>
            </w:tcBorders>
            <w:gridSpan w:val="26"/>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Indenture, by and between MannKind and U.S. Bank (dated October 30, 2017 (incorporated by reference to Exhibit 4.1 to MannKind’s Current</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Report on Form 8-K (File No. 000-50865), filed with the SEC on October 30, 2017).</w:t>
              </w:r>
            </w:hyperlink>
          </w:p>
        </w:tc>
        <w:tc>
          <w:tcPr>
            <w:tcW w:w="43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24"/>
                <w:szCs w:val="24"/>
                <w:color w:val="auto"/>
              </w:rPr>
            </w:pPr>
          </w:p>
        </w:tc>
        <w:tc>
          <w:tcPr>
            <w:tcW w:w="10480" w:type="dxa"/>
            <w:vAlign w:val="bottom"/>
            <w:gridSpan w:val="30"/>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Form of 5.75% Convertible Senior Subordinated Exchange Note due 2021 (incorporated by reference to Exhibit A of Exhibit 4.1 to MannKind’s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Current Report on Form 8-K (File No. 000-50865), filed with the SEC on October 30, 2017).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24"/>
                <w:szCs w:val="24"/>
                <w:color w:val="auto"/>
              </w:rPr>
            </w:pPr>
          </w:p>
        </w:tc>
        <w:tc>
          <w:tcPr>
            <w:tcW w:w="10480" w:type="dxa"/>
            <w:vAlign w:val="bottom"/>
            <w:gridSpan w:val="30"/>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Form of Warrant to Purchase Common Stock issued November 16, 2015 (incorporated by reference to Exhibit 4.17 to MannKind’s Annual</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Report on Form 10-K (File No. 000-50865), filed with the SEC on March 15, 2016).</w:t>
              </w:r>
            </w:hyperlink>
          </w:p>
        </w:tc>
        <w:tc>
          <w:tcPr>
            <w:tcW w:w="3880" w:type="dxa"/>
            <w:vAlign w:val="bottom"/>
            <w:tcBorders>
              <w:top w:val="single" w:sz="8" w:color="0000EE"/>
            </w:tcBorders>
            <w:gridSpan w:val="5"/>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24"/>
                <w:szCs w:val="24"/>
                <w:color w:val="auto"/>
              </w:rPr>
            </w:pPr>
          </w:p>
        </w:tc>
        <w:tc>
          <w:tcPr>
            <w:tcW w:w="10480" w:type="dxa"/>
            <w:vAlign w:val="bottom"/>
            <w:gridSpan w:val="30"/>
          </w:tcPr>
          <w:p>
            <w:pPr>
              <w:spacing w:after="0"/>
              <w:rPr>
                <w:rFonts w:ascii="Arial" w:cs="Arial" w:eastAsia="Arial" w:hAnsi="Arial"/>
                <w:sz w:val="18"/>
                <w:szCs w:val="18"/>
                <w:color w:val="0000EE"/>
                <w:w w:val="97"/>
              </w:rPr>
            </w:pPr>
            <w:hyperlink r:id="rId116">
              <w:r>
                <w:rPr>
                  <w:rFonts w:ascii="Arial" w:cs="Arial" w:eastAsia="Arial" w:hAnsi="Arial"/>
                  <w:sz w:val="18"/>
                  <w:szCs w:val="18"/>
                  <w:color w:val="0000EE"/>
                  <w:w w:val="97"/>
                </w:rPr>
                <w:t>Amended and Restated Promissory Note made by MannKind in favor of The Mann Group LLC, dated March 11, 2018 (incorporated by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reference to Exhibit 99.1 to MannKind’s Current Report on Form 8-K (File No. 000-50865), filed with the SEC on March 12, 2018).</w:t>
              </w:r>
            </w:hyperlink>
          </w:p>
        </w:tc>
        <w:tc>
          <w:tcPr>
            <w:tcW w:w="240" w:type="dxa"/>
            <w:vAlign w:val="bottom"/>
            <w:tcBorders>
              <w:top w:val="single" w:sz="8" w:color="0000EE"/>
            </w:tcBorders>
          </w:tcPr>
          <w:p>
            <w:pPr>
              <w:spacing w:after="0"/>
              <w:rPr>
                <w:sz w:val="17"/>
                <w:szCs w:val="17"/>
                <w:color w:val="auto"/>
              </w:rPr>
            </w:pPr>
          </w:p>
        </w:tc>
        <w:tc>
          <w:tcPr>
            <w:tcW w:w="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24"/>
                <w:szCs w:val="24"/>
                <w:color w:val="auto"/>
              </w:rPr>
            </w:pPr>
          </w:p>
        </w:tc>
        <w:tc>
          <w:tcPr>
            <w:tcW w:w="10480" w:type="dxa"/>
            <w:vAlign w:val="bottom"/>
            <w:gridSpan w:val="30"/>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Form of Common Stock Purchase Warrant issued December 26, 2018 (incorporated by reference to Exhibit 4.1 to MannKind’s Current Report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on Form 8-K (File No. 000-50865), filed with the SEC on December 21, 2018).</w:t>
              </w:r>
            </w:hyperlink>
          </w:p>
        </w:tc>
        <w:tc>
          <w:tcPr>
            <w:tcW w:w="4540" w:type="dxa"/>
            <w:vAlign w:val="bottom"/>
            <w:tcBorders>
              <w:top w:val="single" w:sz="8" w:color="0000EE"/>
            </w:tcBorders>
            <w:gridSpan w:val="15"/>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00" w:type="dxa"/>
            <w:vAlign w:val="bottom"/>
            <w:tcBorders>
              <w:bottom w:val="single" w:sz="8" w:color="0000EE"/>
            </w:tcBorders>
            <w:gridSpan w:val="25"/>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Exchange Agreement, dated July 18, 2019, by and among MannKind Corporation, MannKind LLC, Deerfield Private Design Fund II, L.P. and</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0"/>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Deerfield Private Design International II, L.P. (incorporated by reference to Exhibit 99.1 to MannKind’s Current Report on Form 8-K (File No.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000-50865), filed with the SEC on July 18, 2019).</w:t>
              </w:r>
            </w:hyperlink>
          </w:p>
        </w:tc>
        <w:tc>
          <w:tcPr>
            <w:tcW w:w="6680" w:type="dxa"/>
            <w:vAlign w:val="bottom"/>
            <w:tcBorders>
              <w:top w:val="single" w:sz="8" w:color="0000EE"/>
            </w:tcBorders>
            <w:gridSpan w:val="23"/>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480" w:type="dxa"/>
            <w:vAlign w:val="bottom"/>
            <w:gridSpan w:val="30"/>
          </w:tcPr>
          <w:p>
            <w:pPr>
              <w:spacing w:after="0"/>
              <w:rPr>
                <w:rFonts w:ascii="Arial" w:cs="Arial" w:eastAsia="Arial" w:hAnsi="Arial"/>
                <w:sz w:val="18"/>
                <w:szCs w:val="18"/>
                <w:color w:val="0000EE"/>
                <w:w w:val="94"/>
              </w:rPr>
            </w:pPr>
            <w:hyperlink w:anchor="page66">
              <w:r>
                <w:rPr>
                  <w:rFonts w:ascii="Arial" w:cs="Arial" w:eastAsia="Arial" w:hAnsi="Arial"/>
                  <w:sz w:val="18"/>
                  <w:szCs w:val="18"/>
                  <w:color w:val="0000EE"/>
                  <w:w w:val="94"/>
                </w:rPr>
                <w:t>Certification of the Chief Executive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318"/>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Certification of the Chief Financial Officer pursuant to Rules 13a-14(a) and 15d-14(a) of the Securities Exchange Act of 1934, as amended.</w:t>
              </w:r>
            </w:hyperlink>
          </w:p>
        </w:tc>
        <w:tc>
          <w:tcPr>
            <w:tcW w:w="40" w:type="dxa"/>
            <w:vAlign w:val="bottom"/>
            <w:tcBorders>
              <w:top w:val="single" w:sz="8" w:color="0000EE"/>
            </w:tcBorders>
            <w:gridSpan w:val="2"/>
          </w:tcPr>
          <w:p>
            <w:pPr>
              <w:spacing w:after="0"/>
              <w:rPr>
                <w:sz w:val="24"/>
                <w:szCs w:val="24"/>
                <w:color w:val="auto"/>
              </w:rPr>
            </w:pPr>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480" w:type="dxa"/>
            <w:vAlign w:val="bottom"/>
            <w:gridSpan w:val="30"/>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the Chief Executive Officer pursuant to Rules 13a-14(b) and 15d-14(b) of the Securities Exchange Act of 1934, as amended and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Section 1350 of Chapter 63 of Title 18 of the United States Code (18 U.S.C. §1350).</w:t>
              </w:r>
            </w:hyperlink>
          </w:p>
        </w:tc>
        <w:tc>
          <w:tcPr>
            <w:tcW w:w="4280" w:type="dxa"/>
            <w:vAlign w:val="bottom"/>
            <w:tcBorders>
              <w:top w:val="single" w:sz="8" w:color="0000EE"/>
            </w:tcBorders>
            <w:gridSpan w:val="16"/>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4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the Chief Financial Officer pursuant to Rules 13a-14(b) and 15d-14(b) of the Securities Exchange Act of 1934, as amended and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Section 1350 of Chapter 63 of Title 18 of the United States Code (18 U.S.C. §1350).</w:t>
              </w:r>
            </w:hyperlink>
          </w:p>
        </w:tc>
        <w:tc>
          <w:tcPr>
            <w:tcW w:w="0" w:type="dxa"/>
            <w:vAlign w:val="bottom"/>
          </w:tcPr>
          <w:p>
            <w:pPr>
              <w:spacing w:after="0"/>
              <w:rPr>
                <w:sz w:val="1"/>
                <w:szCs w:val="1"/>
                <w:color w:val="auto"/>
              </w:rPr>
            </w:pPr>
          </w:p>
        </w:tc>
      </w:tr>
      <w:tr>
        <w:trPr>
          <w:trHeight w:val="358"/>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60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Interactive Data Files pursuant to Rule 405 of Regulation S-T.</w:t>
            </w:r>
          </w:p>
        </w:tc>
        <w:tc>
          <w:tcPr>
            <w:tcW w:w="44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7, 2019</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tab/>
        <w:t>/s/ MICHAEL E. CASTAGNA</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Executive</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tab/>
        <w:t>/s/ STEVEN B. BINDER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337" w:right="2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2019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80" w:firstLine="8"/>
        <w:spacing w:after="0" w:line="264"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2019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80" w:firstLine="8"/>
        <w:spacing w:after="0" w:line="26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2019,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7th day of August,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380" w:right="20" w:hanging="372"/>
        <w:spacing w:after="0" w:line="286"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ectPr>
          <w:pgSz w:w="11900" w:h="16838" w:orient="portrait"/>
          <w:cols w:equalWidth="0" w:num="1">
            <w:col w:w="11420"/>
          </w:cols>
          <w:pgMar w:left="240" w:top="33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2019,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7th day of August,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380" w:right="20" w:hanging="372"/>
        <w:spacing w:after="0" w:line="286"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lvl w:ilvl="1">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5"/>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90" Type="http://schemas.openxmlformats.org/officeDocument/2006/relationships/hyperlink" Target="http://www.sec.gov/Archives/edgar/data/899460/000119312516676980/d225552dex31.htm" TargetMode="External"/><Relationship Id="rId91" Type="http://schemas.openxmlformats.org/officeDocument/2006/relationships/hyperlink" Target="http://www.sec.gov/Archives/edgar/data/899460/000119312517066630/d313758dex31.htm" TargetMode="External"/><Relationship Id="rId92" Type="http://schemas.openxmlformats.org/officeDocument/2006/relationships/hyperlink" Target="http://www.sec.gov/Archives/edgar/data/899460/000119312517368329/d511527dex31.htm" TargetMode="External"/><Relationship Id="rId93" Type="http://schemas.openxmlformats.org/officeDocument/2006/relationships/hyperlink" Target="http://www.sec.gov/Archives/edgar/data/899460/000095012407005941/v35880exv3w1.htm" TargetMode="External"/><Relationship Id="rId94" Type="http://schemas.openxmlformats.org/officeDocument/2006/relationships/hyperlink" Target="http://www.sec.gov/Archives/edgar/data/899460/000119312517085519/d305327dex42.htm" TargetMode="External"/><Relationship Id="rId95" Type="http://schemas.openxmlformats.org/officeDocument/2006/relationships/hyperlink" Target="http://www.sec.gov/Archives/edgar/data/899460/000119312513279522/d562665dex992.htm" TargetMode="External"/><Relationship Id="rId96" Type="http://schemas.openxmlformats.org/officeDocument/2006/relationships/hyperlink" Target="http://www.sec.gov/Archives/edgar/data/899460/000119312514080324/d647959dex47.htm" TargetMode="External"/><Relationship Id="rId97" Type="http://schemas.openxmlformats.org/officeDocument/2006/relationships/hyperlink" Target="http://www.sec.gov/Archives/edgar/data/899460/000119312514195057/d697163dex48.htm" TargetMode="External"/><Relationship Id="rId98" Type="http://schemas.openxmlformats.org/officeDocument/2006/relationships/hyperlink" Target="http://www.sec.gov/Archives/edgar/data/899460/000119312513279522/d562665dex993.htm" TargetMode="External"/><Relationship Id="rId99" Type="http://schemas.openxmlformats.org/officeDocument/2006/relationships/hyperlink" Target="http://www.sec.gov/Archives/edgar/data/899460/000119312513279522/d562665dex994.htm" TargetMode="External"/><Relationship Id="rId100" Type="http://schemas.openxmlformats.org/officeDocument/2006/relationships/hyperlink" Target="http://www.sec.gov/Archives/edgar/data/899460/000119312513279522/d562665dex991.htm" TargetMode="External"/><Relationship Id="rId101" Type="http://schemas.openxmlformats.org/officeDocument/2006/relationships/hyperlink" Target="http://www.sec.gov/Archives/edgar/data/899460/000119312514080324/d647959dex1039.htm" TargetMode="External"/><Relationship Id="rId102" Type="http://schemas.openxmlformats.org/officeDocument/2006/relationships/hyperlink" Target="http://www.sec.gov/Archives/edgar/data/899460/000119312514406347/d783199dex414.htm" TargetMode="External"/><Relationship Id="rId103" Type="http://schemas.openxmlformats.org/officeDocument/2006/relationships/hyperlink" Target="http://www.sec.gov/Archives/edgar/data/899460/000119312517217588/d419252dex992.htm" TargetMode="External"/><Relationship Id="rId104" Type="http://schemas.openxmlformats.org/officeDocument/2006/relationships/hyperlink" Target="http://www.sec.gov/Archives/edgar/data/899460/000119312517316062/d422089dex991.htm" TargetMode="External"/><Relationship Id="rId105" Type="http://schemas.openxmlformats.org/officeDocument/2006/relationships/hyperlink" Target="http://www.sec.gov/Archives/edgar/data/899460/000119312518013980/d478599dex991.htm" TargetMode="External"/><Relationship Id="rId108" Type="http://schemas.openxmlformats.org/officeDocument/2006/relationships/hyperlink" Target="http://www.sec.gov/Archives/edgar/data/899460/000119312518013980/d478599dex992.htm" TargetMode="External"/><Relationship Id="rId109" Type="http://schemas.openxmlformats.org/officeDocument/2006/relationships/hyperlink" Target="http://www.sec.gov/Archives/edgar/data/899460/000119312518188678/d600246dex991.htm" TargetMode="External"/><Relationship Id="rId110" Type="http://schemas.openxmlformats.org/officeDocument/2006/relationships/hyperlink" Target="http://www.sec.gov/Archives/edgar/data/899460/000119312518217309/d502299dex991.htm" TargetMode="External"/><Relationship Id="rId111" Type="http://schemas.openxmlformats.org/officeDocument/2006/relationships/hyperlink" Target="http://www.sec.gov/Archives/edgar/data/899460/000119312518267036/d609163dex991.htm" TargetMode="External"/><Relationship Id="rId112" Type="http://schemas.openxmlformats.org/officeDocument/2006/relationships/hyperlink" Target="http://www.sec.gov/Archives/edgar/data/899460/000119312518284687/d629664dex991.htm" TargetMode="External"/><Relationship Id="rId113" Type="http://schemas.openxmlformats.org/officeDocument/2006/relationships/hyperlink" Target="http://www.sec.gov/Archives/edgar/data/899460/000119312519175999/d765401dex991.htm" TargetMode="External"/><Relationship Id="rId114" Type="http://schemas.openxmlformats.org/officeDocument/2006/relationships/hyperlink" Target="http://www.sec.gov/Archives/edgar/data/899460/000119312517324984/d485532dex41.htm" TargetMode="External"/><Relationship Id="rId115" Type="http://schemas.openxmlformats.org/officeDocument/2006/relationships/hyperlink" Target="http://www.sec.gov/Archives/edgar/data/899460/000119312516505366/d107849dex417.htm" TargetMode="External"/><Relationship Id="rId116" Type="http://schemas.openxmlformats.org/officeDocument/2006/relationships/hyperlink" Target="http://www.sec.gov/Archives/edgar/data/899460/000119312518078324/d549308dex991.htm" TargetMode="External"/><Relationship Id="rId117" Type="http://schemas.openxmlformats.org/officeDocument/2006/relationships/hyperlink" Target="http://www.sec.gov/Archives/edgar/data/899460/000119312518354835/d668953dex41.htm" TargetMode="External"/><Relationship Id="rId118" Type="http://schemas.openxmlformats.org/officeDocument/2006/relationships/hyperlink" Target="http://www.sec.gov/Archives/edgar/data/899460/000119312519196070/d77960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2019-12-28T08:17:52Z</dcterms:created>
  <dcterms:modified xsi:type="dcterms:W3CDTF">2019-12-28T08:17:52Z</dcterms:modified>
</cp:coreProperties>
</file>