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619760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104775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7" w:lineRule="exact"/>
        <w:rPr>
          <w:sz w:val="24"/>
          <w:szCs w:val="24"/>
          <w:color w:val="auto"/>
        </w:rPr>
      </w:pPr>
    </w:p>
    <w:p>
      <w:pPr>
        <w:ind w:left="3860" w:right="1740" w:hanging="3852"/>
        <w:spacing w:after="0" w:line="328" w:lineRule="auto"/>
        <w:tabs>
          <w:tab w:leader="none" w:pos="36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560"/>
        <w:spacing w:after="0"/>
        <w:tabs>
          <w:tab w:leader="none" w:pos="6660" w:val="left"/>
          <w:tab w:leader="none" w:pos="75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3761740</wp:posOffset>
            </wp:positionH>
            <wp:positionV relativeFrom="paragraph">
              <wp:posOffset>-5080</wp:posOffset>
            </wp:positionV>
            <wp:extent cx="10648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5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96520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20" w:type="dxa"/>
            <w:vAlign w:val="bottom"/>
          </w:tcPr>
          <w:p>
            <w:pPr>
              <w:jc w:val="right"/>
              <w:ind w:right="2297"/>
              <w:spacing w:after="0"/>
              <w:rPr>
                <w:sz w:val="20"/>
                <w:szCs w:val="20"/>
                <w:color w:val="auto"/>
              </w:rPr>
            </w:pPr>
            <w:r>
              <w:rPr>
                <w:rFonts w:ascii="Times New Roman" w:cs="Times New Roman" w:eastAsia="Times New Roman" w:hAnsi="Times New Roman"/>
                <w:sz w:val="18"/>
                <w:szCs w:val="18"/>
                <w:b w:val="1"/>
                <w:bCs w:val="1"/>
                <w:color w:val="auto"/>
              </w:rPr>
              <w:t>13-3607736</w:t>
            </w:r>
          </w:p>
        </w:tc>
        <w:tc>
          <w:tcPr>
            <w:tcW w:w="0" w:type="dxa"/>
            <w:vAlign w:val="bottom"/>
          </w:tcPr>
          <w:p>
            <w:pPr>
              <w:spacing w:after="0"/>
              <w:rPr>
                <w:sz w:val="1"/>
                <w:szCs w:val="1"/>
                <w:color w:val="auto"/>
              </w:rPr>
            </w:pPr>
          </w:p>
        </w:tc>
      </w:tr>
      <w:tr>
        <w:trPr>
          <w:trHeight w:val="220"/>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20" w:type="dxa"/>
            <w:vAlign w:val="bottom"/>
          </w:tcPr>
          <w:p>
            <w:pPr>
              <w:jc w:val="center"/>
              <w:ind w:right="1917"/>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20" w:type="dxa"/>
            <w:vAlign w:val="bottom"/>
          </w:tcPr>
          <w:p>
            <w:pPr>
              <w:jc w:val="center"/>
              <w:ind w:right="1897"/>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342"/>
        </w:trPr>
        <w:tc>
          <w:tcPr>
            <w:tcW w:w="4500" w:type="dxa"/>
            <w:vAlign w:val="bottom"/>
            <w:gridSpan w:val="2"/>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w w:val="99"/>
              </w:rPr>
              <w:t>1 Casper Street</w:t>
            </w: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rPr>
              <w:t>Danbury, Connecticut</w:t>
            </w: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20" w:type="dxa"/>
            <w:vAlign w:val="bottom"/>
          </w:tcPr>
          <w:p>
            <w:pPr>
              <w:jc w:val="right"/>
              <w:ind w:right="2497"/>
              <w:spacing w:after="0"/>
              <w:rPr>
                <w:sz w:val="20"/>
                <w:szCs w:val="20"/>
                <w:color w:val="auto"/>
              </w:rPr>
            </w:pPr>
            <w:r>
              <w:rPr>
                <w:rFonts w:ascii="Times New Roman" w:cs="Times New Roman" w:eastAsia="Times New Roman" w:hAnsi="Times New Roman"/>
                <w:sz w:val="18"/>
                <w:szCs w:val="18"/>
                <w:b w:val="1"/>
                <w:bCs w:val="1"/>
                <w:color w:val="auto"/>
              </w:rPr>
              <w:t>06810</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20" w:type="dxa"/>
            <w:vAlign w:val="bottom"/>
          </w:tcPr>
          <w:p>
            <w:pPr>
              <w:jc w:val="center"/>
              <w:ind w:right="1917"/>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40" w:type="dxa"/>
            <w:vAlign w:val="bottom"/>
            <w:gridSpan w:val="2"/>
          </w:tcPr>
          <w:p>
            <w:pPr>
              <w:jc w:val="right"/>
              <w:ind w:right="504"/>
              <w:spacing w:after="0"/>
              <w:rPr>
                <w:sz w:val="20"/>
                <w:szCs w:val="20"/>
                <w:color w:val="auto"/>
              </w:rPr>
            </w:pPr>
            <w:r>
              <w:rPr>
                <w:rFonts w:ascii="Times New Roman" w:cs="Times New Roman" w:eastAsia="Times New Roman" w:hAnsi="Times New Roman"/>
                <w:sz w:val="18"/>
                <w:szCs w:val="18"/>
                <w:b w:val="1"/>
                <w:bCs w:val="1"/>
                <w:color w:val="auto"/>
              </w:rPr>
              <w:t>(818) 661-5000</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7620" w:type="dxa"/>
            <w:vAlign w:val="bottom"/>
            <w:gridSpan w:val="7"/>
          </w:tcPr>
          <w:p>
            <w:pPr>
              <w:jc w:val="center"/>
              <w:ind w:left="349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4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640" w:type="dxa"/>
            <w:vAlign w:val="bottom"/>
            <w:vMerge w:val="restart"/>
          </w:tcPr>
          <w:p>
            <w:pPr>
              <w:spacing w:after="0"/>
              <w:rPr>
                <w:sz w:val="6"/>
                <w:szCs w:val="6"/>
                <w:color w:val="auto"/>
              </w:rPr>
            </w:pPr>
          </w:p>
        </w:tc>
        <w:tc>
          <w:tcPr>
            <w:tcW w:w="3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256"/>
        </w:trPr>
        <w:tc>
          <w:tcPr>
            <w:tcW w:w="7620" w:type="dxa"/>
            <w:vAlign w:val="bottom"/>
            <w:gridSpan w:val="7"/>
          </w:tcPr>
          <w:p>
            <w:pPr>
              <w:jc w:val="center"/>
              <w:ind w:left="3537"/>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 w:type="dxa"/>
            <w:vAlign w:val="bottom"/>
          </w:tcPr>
          <w:p>
            <w:pPr>
              <w:spacing w:after="0"/>
              <w:rPr>
                <w:sz w:val="19"/>
                <w:szCs w:val="19"/>
                <w:color w:val="auto"/>
              </w:rPr>
            </w:pPr>
          </w:p>
        </w:tc>
        <w:tc>
          <w:tcPr>
            <w:tcW w:w="310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20" w:type="dxa"/>
            <w:vAlign w:val="bottom"/>
            <w:vMerge w:val="restart"/>
          </w:tcPr>
          <w:p>
            <w:pPr>
              <w:jc w:val="center"/>
              <w:ind w:right="55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8"/>
              </w:rPr>
              <w:t>MNKD</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620" w:type="dxa"/>
            <w:vAlign w:val="bottom"/>
            <w:tcBorders>
              <w:top w:val="single" w:sz="8" w:color="auto"/>
            </w:tcBorders>
          </w:tcPr>
          <w:p>
            <w:pPr>
              <w:jc w:val="center"/>
              <w:ind w:right="557"/>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20" w:type="dxa"/>
        <w:tblCellMar>
          <w:top w:w="0" w:type="dxa"/>
          <w:left w:w="0" w:type="dxa"/>
          <w:bottom w:w="0" w:type="dxa"/>
          <w:right w:w="0" w:type="dxa"/>
        </w:tblCellMar>
      </w:tblPr>
      <w:tr>
        <w:trPr>
          <w:trHeight w:val="3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7"/>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1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 w:lineRule="exact"/>
        <w:rPr>
          <w:sz w:val="24"/>
          <w:szCs w:val="24"/>
          <w:color w:val="auto"/>
        </w:rPr>
      </w:pPr>
    </w:p>
    <w:p>
      <w:pPr>
        <w:jc w:val="both"/>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68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26, 2024, there were 274,995,037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1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2"/>
        </w:trPr>
        <w:tc>
          <w:tcPr>
            <w:tcW w:w="2900" w:type="dxa"/>
            <w:vAlign w:val="bottom"/>
            <w:tcBorders>
              <w:bottom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8"/>
              </w:rPr>
              <w:t>PART I: FINANCIAL INFORMATION</w:t>
            </w:r>
          </w:p>
        </w:tc>
        <w:tc>
          <w:tcPr>
            <w:tcW w:w="7840" w:type="dxa"/>
            <w:vAlign w:val="bottom"/>
            <w:gridSpan w:val="15"/>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r>
      <w:tr>
        <w:trPr>
          <w:trHeight w:val="465"/>
        </w:trPr>
        <w:tc>
          <w:tcPr>
            <w:tcW w:w="29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1. Financial Statements (Unaudited)</w:t>
            </w:r>
          </w:p>
        </w:tc>
        <w:tc>
          <w:tcPr>
            <w:tcW w:w="20" w:type="dxa"/>
            <w:vAlign w:val="bottom"/>
            <w:tcBorders>
              <w:bottom w:val="single" w:sz="8" w:color="0000EE"/>
            </w:tcBorders>
          </w:tcPr>
          <w:p>
            <w:pPr>
              <w:spacing w:after="0"/>
              <w:rPr>
                <w:sz w:val="24"/>
                <w:szCs w:val="24"/>
                <w:color w:val="auto"/>
              </w:rPr>
            </w:pPr>
          </w:p>
        </w:tc>
        <w:tc>
          <w:tcPr>
            <w:tcW w:w="774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5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Three and six months ended June 30, 2024 and 2023</w:t>
            </w:r>
          </w:p>
        </w:tc>
        <w:tc>
          <w:tcPr>
            <w:tcW w:w="20" w:type="dxa"/>
            <w:vAlign w:val="bottom"/>
            <w:tcBorders>
              <w:bottom w:val="single" w:sz="8" w:color="0000EE"/>
            </w:tcBorders>
          </w:tcPr>
          <w:p>
            <w:pPr>
              <w:spacing w:after="0"/>
              <w:rPr>
                <w:sz w:val="19"/>
                <w:szCs w:val="19"/>
                <w:color w:val="auto"/>
              </w:rPr>
            </w:pPr>
          </w:p>
        </w:tc>
        <w:tc>
          <w:tcPr>
            <w:tcW w:w="3180" w:type="dxa"/>
            <w:vAlign w:val="bottom"/>
            <w:gridSpan w:val="3"/>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107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Three and six months ended June 30, 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8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June 30, 2024 and December 31, 2023</w:t>
            </w:r>
          </w:p>
        </w:tc>
        <w:tc>
          <w:tcPr>
            <w:tcW w:w="20" w:type="dxa"/>
            <w:vAlign w:val="bottom"/>
            <w:tcBorders>
              <w:top w:val="single" w:sz="8" w:color="0000FF"/>
              <w:bottom w:val="single" w:sz="8" w:color="0000EE"/>
            </w:tcBorders>
          </w:tcPr>
          <w:p>
            <w:pPr>
              <w:spacing w:after="0"/>
              <w:rPr>
                <w:sz w:val="19"/>
                <w:szCs w:val="19"/>
                <w:color w:val="auto"/>
              </w:rPr>
            </w:pPr>
          </w:p>
        </w:tc>
        <w:tc>
          <w:tcPr>
            <w:tcW w:w="3140" w:type="dxa"/>
            <w:vAlign w:val="bottom"/>
            <w:tcBorders>
              <w:top w:val="single" w:sz="8" w:color="0000FF"/>
            </w:tcBorders>
            <w:gridSpan w:val="6"/>
          </w:tcPr>
          <w:p>
            <w:pPr>
              <w:spacing w:after="0"/>
              <w:rPr>
                <w:sz w:val="19"/>
                <w:szCs w:val="19"/>
                <w:color w:val="auto"/>
              </w:rPr>
            </w:pPr>
          </w:p>
        </w:tc>
        <w:tc>
          <w:tcPr>
            <w:tcW w:w="1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107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Three and six months ended June 30, 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68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Six months ended June 30, 2024 and 2023</w:t>
            </w:r>
          </w:p>
        </w:tc>
        <w:tc>
          <w:tcPr>
            <w:tcW w:w="3880" w:type="dxa"/>
            <w:vAlign w:val="bottom"/>
            <w:gridSpan w:val="6"/>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07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gridSpan w:val="4"/>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107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49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4"/>
          </w:tcPr>
          <w:p>
            <w:pPr>
              <w:spacing w:after="0"/>
              <w:rPr>
                <w:sz w:val="19"/>
                <w:szCs w:val="19"/>
                <w:color w:val="auto"/>
              </w:rPr>
            </w:pPr>
          </w:p>
        </w:tc>
        <w:tc>
          <w:tcPr>
            <w:tcW w:w="3740" w:type="dxa"/>
            <w:vAlign w:val="bottom"/>
            <w:gridSpan w:val="5"/>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107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71"/>
        </w:trPr>
        <w:tc>
          <w:tcPr>
            <w:tcW w:w="25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8160" w:type="dxa"/>
            <w:vAlign w:val="bottom"/>
            <w:gridSpan w:val="17"/>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71"/>
        </w:trPr>
        <w:tc>
          <w:tcPr>
            <w:tcW w:w="107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18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860" w:type="dxa"/>
            <w:vAlign w:val="bottom"/>
            <w:gridSpan w:val="19"/>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49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840" w:type="dxa"/>
            <w:vAlign w:val="bottom"/>
            <w:gridSpan w:val="10"/>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2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7860" w:type="dxa"/>
            <w:vAlign w:val="bottom"/>
            <w:gridSpan w:val="16"/>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107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23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8400" w:type="dxa"/>
            <w:vAlign w:val="bottom"/>
            <w:gridSpan w:val="18"/>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1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700" w:type="dxa"/>
            <w:vAlign w:val="bottom"/>
            <w:tcBorders>
              <w:top w:val="single" w:sz="8" w:color="0000FF"/>
            </w:tcBorders>
            <w:gridSpan w:val="2"/>
          </w:tcPr>
          <w:p>
            <w:pPr>
              <w:spacing w:after="0"/>
              <w:rPr>
                <w:sz w:val="19"/>
                <w:szCs w:val="19"/>
                <w:color w:val="auto"/>
              </w:rPr>
            </w:pPr>
          </w:p>
        </w:tc>
        <w:tc>
          <w:tcPr>
            <w:tcW w:w="8880" w:type="dxa"/>
            <w:vAlign w:val="bottom"/>
            <w:gridSpan w:val="20"/>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71"/>
        </w:trPr>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20" w:type="dxa"/>
            <w:vAlign w:val="bottom"/>
            <w:tcBorders>
              <w:bottom w:val="single" w:sz="8" w:color="0000EE"/>
            </w:tcBorders>
          </w:tcPr>
          <w:p>
            <w:pPr>
              <w:spacing w:after="0"/>
              <w:rPr>
                <w:sz w:val="24"/>
                <w:szCs w:val="24"/>
                <w:color w:val="auto"/>
              </w:rPr>
            </w:pPr>
          </w:p>
        </w:tc>
        <w:tc>
          <w:tcPr>
            <w:tcW w:w="9620" w:type="dxa"/>
            <w:vAlign w:val="bottom"/>
            <w:gridSpan w:val="23"/>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26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18,345</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39,544</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 – collaborations and services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50,862</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Royalties – collaboration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48,243</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72,386</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138,649</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89,237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29,551</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21,829</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23,345</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loss on foreign currency transaction</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(529 )</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(1,928 )</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55,776</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46,890</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105,317</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93,514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33,332</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(4,277 )</w:t>
            </w:r>
          </w:p>
        </w:tc>
        <w:tc>
          <w:tcPr>
            <w:tcW w:w="0" w:type="dxa"/>
            <w:vAlign w:val="bottom"/>
          </w:tcPr>
          <w:p>
            <w:pPr>
              <w:spacing w:after="0"/>
              <w:rPr>
                <w:sz w:val="1"/>
                <w:szCs w:val="1"/>
                <w:color w:val="auto"/>
              </w:rPr>
            </w:pPr>
          </w:p>
        </w:tc>
      </w:tr>
      <w:tr>
        <w:trPr>
          <w:trHeight w:val="24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(2,444 )</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(2,449 )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(4,891 )</w:t>
            </w: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(4,873 )</w:t>
            </w: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(6,051 )</w:t>
            </w:r>
          </w:p>
        </w:tc>
        <w:tc>
          <w:tcPr>
            <w:tcW w:w="3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(6,873 )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(8,618 )</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(9,659 )</w:t>
            </w: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on liability for sale of future royalties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(4,383 )</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(8,631 )</w:t>
            </w: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gain on available-for-sale securities</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(1,550 )</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(1,550 )</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(7,050 )</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(7,050 )</w:t>
            </w: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(143 )</w:t>
            </w: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(18,301 )</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(6,986 )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(24,129 )</w:t>
            </w:r>
          </w:p>
        </w:tc>
        <w:tc>
          <w:tcPr>
            <w:tcW w:w="3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(10,783 )</w:t>
            </w:r>
          </w:p>
        </w:tc>
        <w:tc>
          <w:tcPr>
            <w:tcW w:w="0" w:type="dxa"/>
            <w:vAlign w:val="bottom"/>
          </w:tcPr>
          <w:p>
            <w:pPr>
              <w:spacing w:after="0"/>
              <w:rPr>
                <w:sz w:val="1"/>
                <w:szCs w:val="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(1,691 )</w:t>
            </w:r>
          </w:p>
        </w:tc>
        <w:tc>
          <w:tcPr>
            <w:tcW w:w="3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(5,265 )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(15,060 )</w:t>
            </w:r>
          </w:p>
        </w:tc>
        <w:tc>
          <w:tcPr>
            <w:tcW w:w="0" w:type="dxa"/>
            <w:vAlign w:val="bottom"/>
          </w:tcPr>
          <w:p>
            <w:pPr>
              <w:spacing w:after="0"/>
              <w:rPr>
                <w:sz w:val="1"/>
                <w:szCs w:val="1"/>
                <w:color w:val="auto"/>
              </w:rPr>
            </w:pPr>
          </w:p>
        </w:tc>
      </w:tr>
      <w:tr>
        <w:trPr>
          <w:trHeight w:val="24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(2,014 )</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(15,060 )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(0.01 )</w:t>
            </w:r>
          </w:p>
        </w:tc>
        <w:tc>
          <w:tcPr>
            <w:tcW w:w="38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196"/>
        </w:trPr>
        <w:tc>
          <w:tcPr>
            <w:tcW w:w="5800" w:type="dxa"/>
            <w:vAlign w:val="bottom"/>
            <w:tcBorders>
              <w:top w:val="single" w:sz="8" w:color="CFF0FC"/>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Weighted average shares used to compute net income (loss)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273,056</w:t>
            </w:r>
          </w:p>
        </w:tc>
        <w:tc>
          <w:tcPr>
            <w:tcW w:w="26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265,626</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271,706</w:t>
            </w: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264,802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 share – basic</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(0.01 )</w:t>
            </w:r>
          </w:p>
        </w:tc>
        <w:tc>
          <w:tcPr>
            <w:tcW w:w="38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196"/>
        </w:trPr>
        <w:tc>
          <w:tcPr>
            <w:tcW w:w="5800" w:type="dxa"/>
            <w:vAlign w:val="bottom"/>
            <w:tcBorders>
              <w:top w:val="single" w:sz="8" w:color="CFF0FC"/>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Weighted average shares used to compute net income (loss)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273,056</w:t>
            </w:r>
          </w:p>
        </w:tc>
        <w:tc>
          <w:tcPr>
            <w:tcW w:w="26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265,626</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279,358</w:t>
            </w: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264,802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 share – diluted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-4263390</wp:posOffset>
            </wp:positionV>
            <wp:extent cx="76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-4263390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-4263390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-4263390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4401820</wp:posOffset>
            </wp:positionH>
            <wp:positionV relativeFrom="paragraph">
              <wp:posOffset>-3188970</wp:posOffset>
            </wp:positionV>
            <wp:extent cx="102235"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-3188970</wp:posOffset>
            </wp:positionV>
            <wp:extent cx="939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-3188970</wp:posOffset>
            </wp:positionV>
            <wp:extent cx="939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-3188970</wp:posOffset>
            </wp:positionV>
            <wp:extent cx="939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-1446530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-1446530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-1446530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-1446530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-1129665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-1129665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-1129665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-787400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-770255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-787400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-770255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-787400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-770255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-787400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-316230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-299085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-316230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-299085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-316230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-299085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MANNKIND CORPORATION AND SUBSIDIARIES CONDENSED CONSOLIDATED STATEMENTS OF COMPREHENSIVE INCOME (LOSS)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(2,014 )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(5,265 )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(15,060 )</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(2,014 )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(4,822 )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(14,617 )</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-187960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131"/>
        </w:trPr>
        <w:tc>
          <w:tcPr>
            <w:tcW w:w="7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160" w:type="dxa"/>
            <w:vAlign w:val="bottom"/>
            <w:gridSpan w:val="3"/>
          </w:tcPr>
          <w:p>
            <w:pPr>
              <w:jc w:val="right"/>
              <w:ind w:right="1151"/>
              <w:spacing w:after="0" w:line="131" w:lineRule="exact"/>
              <w:rPr>
                <w:sz w:val="20"/>
                <w:szCs w:val="20"/>
                <w:color w:val="auto"/>
              </w:rPr>
            </w:pPr>
            <w:r>
              <w:rPr>
                <w:rFonts w:ascii="Times New Roman" w:cs="Times New Roman" w:eastAsia="Times New Roman" w:hAnsi="Times New Roman"/>
                <w:sz w:val="14"/>
                <w:szCs w:val="14"/>
                <w:b w:val="1"/>
                <w:bCs w:val="1"/>
                <w:color w:val="auto"/>
              </w:rPr>
              <w:t>except share</w:t>
            </w:r>
          </w:p>
        </w:tc>
        <w:tc>
          <w:tcPr>
            <w:tcW w:w="100" w:type="dxa"/>
            <w:vAlign w:val="bottom"/>
          </w:tcPr>
          <w:p>
            <w:pPr>
              <w:spacing w:after="0"/>
              <w:rPr>
                <w:sz w:val="11"/>
                <w:szCs w:val="11"/>
                <w:color w:val="auto"/>
              </w:rPr>
            </w:pPr>
          </w:p>
        </w:tc>
      </w:tr>
      <w:tr>
        <w:trPr>
          <w:trHeight w:val="187"/>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40" w:type="dxa"/>
            <w:vAlign w:val="bottom"/>
            <w:gridSpan w:val="5"/>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and per share data)</w:t>
            </w:r>
          </w:p>
        </w:tc>
      </w:tr>
      <w:tr>
        <w:trPr>
          <w:trHeight w:val="243"/>
        </w:trPr>
        <w:tc>
          <w:tcPr>
            <w:tcW w:w="7080" w:type="dxa"/>
            <w:vAlign w:val="bottom"/>
            <w:shd w:val="clear" w:color="auto" w:fill="CFF0FC"/>
          </w:tcPr>
          <w:p>
            <w:pPr>
              <w:ind w:left="3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96,643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238,480</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151,118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56,619</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28,545</w:t>
            </w:r>
          </w:p>
        </w:tc>
        <w:tc>
          <w:tcPr>
            <w:tcW w:w="100" w:type="dxa"/>
            <w:vAlign w:val="bottom"/>
          </w:tcPr>
          <w:p>
            <w:pPr>
              <w:spacing w:after="0"/>
              <w:rPr>
                <w:sz w:val="20"/>
                <w:szCs w:val="20"/>
                <w:color w:val="auto"/>
              </w:rPr>
            </w:pPr>
          </w:p>
        </w:tc>
      </w:tr>
      <w:tr>
        <w:trPr>
          <w:trHeight w:val="243"/>
        </w:trPr>
        <w:tc>
          <w:tcPr>
            <w:tcW w:w="7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30,080</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325,940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373,393</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85,144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84,220</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w:t>
            </w: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Pr>
          <w:p>
            <w:pPr>
              <w:spacing w:after="0"/>
              <w:rPr>
                <w:sz w:val="20"/>
                <w:szCs w:val="20"/>
                <w:color w:val="auto"/>
              </w:rPr>
            </w:pPr>
          </w:p>
        </w:tc>
      </w:tr>
      <w:tr>
        <w:trPr>
          <w:trHeight w:val="276"/>
        </w:trPr>
        <w:tc>
          <w:tcPr>
            <w:tcW w:w="7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443,836</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475,198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7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08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42,036</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Liability for sale of future royalties – current</w:t>
            </w: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liability – current</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Recognized loss on purchase commitments – current</w:t>
            </w:r>
          </w:p>
        </w:tc>
        <w:tc>
          <w:tcPr>
            <w:tcW w:w="320" w:type="dxa"/>
            <w:vAlign w:val="bottom"/>
          </w:tcPr>
          <w:p>
            <w:pPr>
              <w:spacing w:after="0"/>
              <w:rPr>
                <w:sz w:val="20"/>
                <w:szCs w:val="20"/>
                <w:color w:val="auto"/>
              </w:rPr>
            </w:pPr>
          </w:p>
        </w:tc>
        <w:tc>
          <w:tcPr>
            <w:tcW w:w="18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Pr>
          <w:p>
            <w:pPr>
              <w:spacing w:after="0"/>
              <w:rPr>
                <w:sz w:val="20"/>
                <w:szCs w:val="20"/>
                <w:color w:val="auto"/>
              </w:rPr>
            </w:pPr>
          </w:p>
        </w:tc>
      </w:tr>
      <w:tr>
        <w:trPr>
          <w:trHeight w:val="24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Midcap credit facility – current</w:t>
            </w:r>
          </w:p>
        </w:tc>
        <w:tc>
          <w:tcPr>
            <w:tcW w:w="3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FF0FC"/>
          </w:tcPr>
          <w:p>
            <w:pPr>
              <w:spacing w:after="0"/>
              <w:rPr>
                <w:sz w:val="21"/>
                <w:szCs w:val="21"/>
                <w:color w:val="auto"/>
              </w:rPr>
            </w:pPr>
          </w:p>
        </w:tc>
      </w:tr>
      <w:tr>
        <w:trPr>
          <w:trHeight w:val="236"/>
        </w:trPr>
        <w:tc>
          <w:tcPr>
            <w:tcW w:w="70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80,012</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104,125</w:t>
            </w:r>
          </w:p>
        </w:tc>
        <w:tc>
          <w:tcPr>
            <w:tcW w:w="100" w:type="dxa"/>
            <w:vAlign w:val="bottom"/>
            <w:tcBorders>
              <w:top w:val="single" w:sz="8" w:color="CFF0FC"/>
            </w:tcBorders>
          </w:tcPr>
          <w:p>
            <w:pPr>
              <w:spacing w:after="0"/>
              <w:rPr>
                <w:sz w:val="20"/>
                <w:szCs w:val="20"/>
                <w:color w:val="auto"/>
              </w:rPr>
            </w:pP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convertible notes</w:t>
            </w: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227,577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226,851</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sale of future royalties – long term</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135,365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136,054</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liability – long term</w:t>
            </w: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94,094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94,319</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long term</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69,794</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loss on purchase commitments – long term</w:t>
            </w: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60,942</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Milestone liabilities</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Mann Group convertible note</w:t>
            </w:r>
          </w:p>
        </w:tc>
        <w:tc>
          <w:tcPr>
            <w:tcW w:w="3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 Mann Group convertible note</w:t>
            </w:r>
          </w:p>
        </w:tc>
        <w:tc>
          <w:tcPr>
            <w:tcW w:w="320" w:type="dxa"/>
            <w:vAlign w:val="bottom"/>
          </w:tcPr>
          <w:p>
            <w:pPr>
              <w:spacing w:after="0"/>
              <w:rPr>
                <w:sz w:val="20"/>
                <w:szCs w:val="20"/>
                <w:color w:val="auto"/>
              </w:rPr>
            </w:pPr>
          </w:p>
        </w:tc>
        <w:tc>
          <w:tcPr>
            <w:tcW w:w="18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Midcap credit facility – long term</w:t>
            </w:r>
          </w:p>
        </w:tc>
        <w:tc>
          <w:tcPr>
            <w:tcW w:w="3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100" w:type="dxa"/>
            <w:vAlign w:val="bottom"/>
            <w:shd w:val="clear" w:color="auto" w:fill="CFF0FC"/>
          </w:tcPr>
          <w:p>
            <w:pPr>
              <w:spacing w:after="0"/>
              <w:rPr>
                <w:sz w:val="21"/>
                <w:szCs w:val="21"/>
                <w:color w:val="auto"/>
              </w:rPr>
            </w:pPr>
          </w:p>
        </w:tc>
      </w:tr>
      <w:tr>
        <w:trPr>
          <w:trHeight w:val="232"/>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669,616</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721,366</w:t>
            </w:r>
          </w:p>
        </w:tc>
        <w:tc>
          <w:tcPr>
            <w:tcW w:w="100" w:type="dxa"/>
            <w:vAlign w:val="bottom"/>
          </w:tcPr>
          <w:p>
            <w:pPr>
              <w:spacing w:after="0"/>
              <w:rPr>
                <w:sz w:val="20"/>
                <w:szCs w:val="20"/>
                <w:color w:val="auto"/>
              </w:rPr>
            </w:pPr>
          </w:p>
        </w:tc>
      </w:tr>
      <w:tr>
        <w:trPr>
          <w:trHeight w:val="240"/>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Undesignated preferred stock, $0.01 par value – 10,000,000 shares authorized;</w:t>
            </w: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 shares issued or outstanding as of June 30, 2024 or December 31, 2023</w:t>
            </w:r>
          </w:p>
        </w:tc>
        <w:tc>
          <w:tcPr>
            <w:tcW w:w="3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$0.01 par value – 800,000,000 shares authorized;</w:t>
            </w: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274,467,247 and 270,034,495 shares issued and outstanding as of</w:t>
            </w: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30, 2024 and December 31, 2023, respectively</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20"/>
                <w:szCs w:val="20"/>
                <w:color w:val="auto"/>
              </w:rPr>
            </w:pPr>
          </w:p>
        </w:tc>
      </w:tr>
      <w:tr>
        <w:trPr>
          <w:trHeight w:val="249"/>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2,992,271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2,980,539</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20"/>
                <w:szCs w:val="20"/>
                <w:color w:val="auto"/>
              </w:rPr>
            </w:pPr>
          </w:p>
        </w:tc>
        <w:tc>
          <w:tcPr>
            <w:tcW w:w="18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(3,220,791 )</w:t>
            </w:r>
          </w:p>
        </w:tc>
        <w:tc>
          <w:tcPr>
            <w:tcW w:w="22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(3,229,407 )</w:t>
            </w:r>
          </w:p>
        </w:tc>
      </w:tr>
      <w:tr>
        <w:trPr>
          <w:trHeight w:val="20"/>
        </w:trPr>
        <w:tc>
          <w:tcPr>
            <w:tcW w:w="7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2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(225,780 )</w:t>
            </w:r>
          </w:p>
        </w:tc>
        <w:tc>
          <w:tcPr>
            <w:tcW w:w="22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(246,168 )</w:t>
            </w:r>
          </w:p>
        </w:tc>
      </w:tr>
      <w:tr>
        <w:trPr>
          <w:trHeight w:val="236"/>
        </w:trPr>
        <w:tc>
          <w:tcPr>
            <w:tcW w:w="70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443,836</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475,198</w:t>
            </w:r>
          </w:p>
        </w:tc>
        <w:tc>
          <w:tcPr>
            <w:tcW w:w="100" w:type="dxa"/>
            <w:vAlign w:val="bottom"/>
            <w:tcBorders>
              <w:top w:val="single" w:sz="8" w:color="CFF0FC"/>
            </w:tcBorders>
          </w:tcPr>
          <w:p>
            <w:pPr>
              <w:spacing w:after="0"/>
              <w:rPr>
                <w:sz w:val="20"/>
                <w:szCs w:val="20"/>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-6532245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-6532245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-5282565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-5265420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-5282565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-5265420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-3715385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-3715385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-1870075</wp:posOffset>
            </wp:positionV>
            <wp:extent cx="93980" cy="196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-1870075</wp:posOffset>
            </wp:positionV>
            <wp:extent cx="93980" cy="196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-187960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843" w:gutter="0" w:footer="0" w:header="0"/>
        </w:sectPr>
      </w:pPr>
    </w:p>
    <w:bookmarkStart w:id="5" w:name="page6"/>
    <w:bookmarkEnd w:id="5"/>
    <w:p>
      <w:pPr>
        <w:jc w:val="center"/>
        <w:spacing w:after="0" w:line="277" w:lineRule="auto"/>
        <w:rPr>
          <w:sz w:val="20"/>
          <w:szCs w:val="20"/>
          <w:color w:val="auto"/>
        </w:rPr>
      </w:pPr>
      <w:r>
        <w:rPr>
          <w:rFonts w:ascii="Times New Roman" w:cs="Times New Roman" w:eastAsia="Times New Roman" w:hAnsi="Times New Roman"/>
          <w:sz w:val="18"/>
          <w:szCs w:val="18"/>
          <w:b w:val="1"/>
          <w:bCs w:val="1"/>
          <w:color w:val="auto"/>
        </w:rPr>
        <w:t>MANNKIND CORPORATION AND SUBSIDIARIES CONDENSED CONSOLIDATED STATEMENTS OF STOCKHOLDERS’ DEFICIT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60" w:type="dxa"/>
            <w:vAlign w:val="bottom"/>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3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82"/>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020" w:type="dxa"/>
            <w:vAlign w:val="bottom"/>
          </w:tcPr>
          <w:p>
            <w:pPr>
              <w:jc w:val="center"/>
              <w:ind w:lef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060" w:type="dxa"/>
            <w:vAlign w:val="bottom"/>
          </w:tcPr>
          <w:p>
            <w:pPr>
              <w:spacing w:after="0"/>
              <w:rPr>
                <w:sz w:val="14"/>
                <w:szCs w:val="14"/>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8"/>
              </w:rPr>
              <w:t>Paid-in Capital</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 Deficit</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157"/>
        </w:trPr>
        <w:tc>
          <w:tcPr>
            <w:tcW w:w="3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(In</w:t>
            </w:r>
          </w:p>
        </w:tc>
        <w:tc>
          <w:tcPr>
            <w:tcW w:w="1220" w:type="dxa"/>
            <w:vAlign w:val="bottom"/>
            <w:gridSpan w:val="2"/>
          </w:tcPr>
          <w:p>
            <w:pPr>
              <w:jc w:val="right"/>
              <w:ind w:right="717"/>
              <w:spacing w:after="0"/>
              <w:rPr>
                <w:sz w:val="20"/>
                <w:szCs w:val="20"/>
                <w:color w:val="auto"/>
              </w:rPr>
            </w:pPr>
            <w:r>
              <w:rPr>
                <w:rFonts w:ascii="Times New Roman" w:cs="Times New Roman" w:eastAsia="Times New Roman" w:hAnsi="Times New Roman"/>
                <w:sz w:val="12"/>
                <w:szCs w:val="12"/>
                <w:b w:val="1"/>
                <w:bCs w:val="1"/>
                <w:color w:val="auto"/>
                <w:w w:val="74"/>
              </w:rPr>
              <w:t>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JANUARY 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263,793</w:t>
            </w:r>
          </w:p>
        </w:tc>
        <w:tc>
          <w:tcPr>
            <w:tcW w:w="5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2,964,293</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7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24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(3,217,469 )</w:t>
            </w: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(250,538 )</w:t>
            </w: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associated</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3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with at-the-market offering</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100" w:type="dxa"/>
            <w:vAlign w:val="bottom"/>
          </w:tcPr>
          <w:p>
            <w:pPr>
              <w:spacing w:after="0"/>
              <w:rPr>
                <w:sz w:val="14"/>
                <w:szCs w:val="14"/>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costs associated with at-the-market</w:t>
            </w: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offering</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3"/>
                <w:szCs w:val="13"/>
                <w:color w:val="auto"/>
              </w:rPr>
              <w:t>(24 )</w:t>
            </w: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(24 )</w:t>
            </w: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3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with stock options and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convertible note interest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FF0FC"/>
          </w:tcPr>
          <w:p>
            <w:pPr>
              <w:spacing w:after="0"/>
              <w:rPr>
                <w:sz w:val="14"/>
                <w:szCs w:val="14"/>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3,655</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3,655</w:t>
            </w:r>
          </w:p>
        </w:tc>
        <w:tc>
          <w:tcPr>
            <w:tcW w:w="100" w:type="dxa"/>
            <w:vAlign w:val="bottom"/>
          </w:tcPr>
          <w:p>
            <w:pPr>
              <w:spacing w:after="0"/>
              <w:rPr>
                <w:sz w:val="14"/>
                <w:szCs w:val="14"/>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(9,795 )</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(9,795 )</w:t>
            </w:r>
          </w:p>
        </w:tc>
      </w:tr>
      <w:tr>
        <w:trPr>
          <w:trHeight w:val="20"/>
        </w:trPr>
        <w:tc>
          <w:tcPr>
            <w:tcW w:w="30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30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MARCH 31, 2023</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264,279</w:t>
            </w:r>
          </w:p>
        </w:tc>
        <w:tc>
          <w:tcPr>
            <w:tcW w:w="260" w:type="dxa"/>
            <w:vAlign w:val="bottom"/>
          </w:tcPr>
          <w:p>
            <w:pPr>
              <w:spacing w:after="0"/>
              <w:rPr>
                <w:sz w:val="13"/>
                <w:szCs w:val="13"/>
                <w:color w:val="auto"/>
              </w:rPr>
            </w:pPr>
          </w:p>
        </w:tc>
        <w:tc>
          <w:tcPr>
            <w:tcW w:w="320" w:type="dxa"/>
            <w:vAlign w:val="bottom"/>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2,643</w:t>
            </w:r>
          </w:p>
        </w:tc>
        <w:tc>
          <w:tcPr>
            <w:tcW w:w="240" w:type="dxa"/>
            <w:vAlign w:val="bottom"/>
          </w:tcPr>
          <w:p>
            <w:pPr>
              <w:spacing w:after="0"/>
              <w:rPr>
                <w:sz w:val="13"/>
                <w:szCs w:val="13"/>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2,969,225</w:t>
            </w:r>
          </w:p>
        </w:tc>
        <w:tc>
          <w:tcPr>
            <w:tcW w:w="200" w:type="dxa"/>
            <w:vAlign w:val="bottom"/>
          </w:tcPr>
          <w:p>
            <w:pPr>
              <w:spacing w:after="0"/>
              <w:rPr>
                <w:sz w:val="13"/>
                <w:szCs w:val="13"/>
                <w:color w:val="auto"/>
              </w:rPr>
            </w:pPr>
          </w:p>
        </w:tc>
        <w:tc>
          <w:tcPr>
            <w:tcW w:w="1020" w:type="dxa"/>
            <w:vAlign w:val="bottom"/>
          </w:tcPr>
          <w:p>
            <w:pPr>
              <w:jc w:val="right"/>
              <w:ind w:right="87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(3,227,264 )</w:t>
            </w:r>
          </w:p>
        </w:tc>
        <w:tc>
          <w:tcPr>
            <w:tcW w:w="22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(255,396 )</w:t>
            </w:r>
          </w:p>
        </w:tc>
      </w:tr>
      <w:tr>
        <w:trPr>
          <w:trHeight w:val="20"/>
        </w:trPr>
        <w:tc>
          <w:tcPr>
            <w:tcW w:w="30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1"/>
        </w:trPr>
        <w:tc>
          <w:tcPr>
            <w:tcW w:w="3060" w:type="dxa"/>
            <w:vAlign w:val="bottom"/>
            <w:shd w:val="clear" w:color="auto" w:fill="CFF0FC"/>
          </w:tcPr>
          <w:p>
            <w:pPr>
              <w:ind w:left="160"/>
              <w:spacing w:after="0" w:line="111" w:lineRule="exact"/>
              <w:rPr>
                <w:sz w:val="20"/>
                <w:szCs w:val="20"/>
                <w:color w:val="auto"/>
              </w:rPr>
            </w:pPr>
            <w:r>
              <w:rPr>
                <w:rFonts w:ascii="Times New Roman" w:cs="Times New Roman" w:eastAsia="Times New Roman" w:hAnsi="Times New Roman"/>
                <w:sz w:val="12"/>
                <w:szCs w:val="12"/>
                <w:color w:val="auto"/>
              </w:rPr>
              <w:t>Issuance of common stock associated</w:t>
            </w:r>
          </w:p>
        </w:tc>
        <w:tc>
          <w:tcPr>
            <w:tcW w:w="1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67"/>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with at-the-market offering</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1,583</w:t>
            </w:r>
          </w:p>
        </w:tc>
        <w:tc>
          <w:tcPr>
            <w:tcW w:w="100" w:type="dxa"/>
            <w:vAlign w:val="bottom"/>
            <w:shd w:val="clear" w:color="auto" w:fill="CFF0FC"/>
          </w:tcPr>
          <w:p>
            <w:pPr>
              <w:spacing w:after="0"/>
              <w:rPr>
                <w:sz w:val="14"/>
                <w:szCs w:val="14"/>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costs associated with at-the-market</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3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offering</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(17 )</w:t>
            </w: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(17 )</w:t>
            </w: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convertible note interest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FF0FC"/>
          </w:tcPr>
          <w:p>
            <w:pPr>
              <w:spacing w:after="0"/>
              <w:rPr>
                <w:sz w:val="14"/>
                <w:szCs w:val="14"/>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with stock options and restricted stock</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3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3,279</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(8,576 )</w:t>
            </w: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(8,544 )</w:t>
            </w: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under</w:t>
            </w: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920</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923</w:t>
            </w:r>
          </w:p>
        </w:tc>
        <w:tc>
          <w:tcPr>
            <w:tcW w:w="100" w:type="dxa"/>
            <w:vAlign w:val="bottom"/>
            <w:shd w:val="clear" w:color="auto" w:fill="CFF0FC"/>
          </w:tcPr>
          <w:p>
            <w:pPr>
              <w:spacing w:after="0"/>
              <w:rPr>
                <w:sz w:val="14"/>
                <w:szCs w:val="14"/>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5,580</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5,580</w:t>
            </w:r>
          </w:p>
        </w:tc>
        <w:tc>
          <w:tcPr>
            <w:tcW w:w="100" w:type="dxa"/>
            <w:vAlign w:val="bottom"/>
          </w:tcPr>
          <w:p>
            <w:pPr>
              <w:spacing w:after="0"/>
              <w:rPr>
                <w:sz w:val="14"/>
                <w:szCs w:val="14"/>
                <w:color w:val="auto"/>
              </w:rPr>
            </w:pPr>
          </w:p>
        </w:tc>
      </w:tr>
      <w:tr>
        <w:trPr>
          <w:trHeight w:val="130"/>
        </w:trPr>
        <w:tc>
          <w:tcPr>
            <w:tcW w:w="306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shd w:val="clear" w:color="auto" w:fill="CFF0FC"/>
          </w:tcPr>
          <w:p>
            <w:pPr>
              <w:spacing w:after="0"/>
              <w:rPr>
                <w:sz w:val="14"/>
                <w:szCs w:val="14"/>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Cumulative gain on available-for-sale</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3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443</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100" w:type="dxa"/>
            <w:vAlign w:val="bottom"/>
          </w:tcPr>
          <w:p>
            <w:pPr>
              <w:spacing w:after="0"/>
              <w:rPr>
                <w:sz w:val="14"/>
                <w:szCs w:val="14"/>
                <w:color w:val="auto"/>
              </w:rPr>
            </w:pPr>
          </w:p>
        </w:tc>
      </w:tr>
      <w:tr>
        <w:trPr>
          <w:trHeight w:val="163"/>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(5,265 )</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(5,265 )</w:t>
            </w:r>
          </w:p>
        </w:tc>
      </w:tr>
      <w:tr>
        <w:trPr>
          <w:trHeight w:val="20"/>
        </w:trPr>
        <w:tc>
          <w:tcPr>
            <w:tcW w:w="30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30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JUNE 30, 2023</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268,235</w:t>
            </w:r>
          </w:p>
        </w:tc>
        <w:tc>
          <w:tcPr>
            <w:tcW w:w="260" w:type="dxa"/>
            <w:vAlign w:val="bottom"/>
          </w:tcPr>
          <w:p>
            <w:pPr>
              <w:spacing w:after="0"/>
              <w:rPr>
                <w:sz w:val="13"/>
                <w:szCs w:val="13"/>
                <w:color w:val="auto"/>
              </w:rPr>
            </w:pPr>
          </w:p>
        </w:tc>
        <w:tc>
          <w:tcPr>
            <w:tcW w:w="320" w:type="dxa"/>
            <w:vAlign w:val="bottom"/>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2,682</w:t>
            </w:r>
          </w:p>
        </w:tc>
        <w:tc>
          <w:tcPr>
            <w:tcW w:w="240" w:type="dxa"/>
            <w:vAlign w:val="bottom"/>
          </w:tcPr>
          <w:p>
            <w:pPr>
              <w:spacing w:after="0"/>
              <w:rPr>
                <w:sz w:val="13"/>
                <w:szCs w:val="13"/>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2,968,917</w:t>
            </w:r>
          </w:p>
        </w:tc>
        <w:tc>
          <w:tcPr>
            <w:tcW w:w="200" w:type="dxa"/>
            <w:vAlign w:val="bottom"/>
          </w:tcPr>
          <w:p>
            <w:pPr>
              <w:spacing w:after="0"/>
              <w:rPr>
                <w:sz w:val="13"/>
                <w:szCs w:val="13"/>
                <w:color w:val="auto"/>
              </w:rPr>
            </w:pPr>
          </w:p>
        </w:tc>
        <w:tc>
          <w:tcPr>
            <w:tcW w:w="1020" w:type="dxa"/>
            <w:vAlign w:val="bottom"/>
          </w:tcPr>
          <w:p>
            <w:pPr>
              <w:jc w:val="right"/>
              <w:ind w:right="87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2"/>
              </w:rPr>
              <w:t>443</w:t>
            </w:r>
          </w:p>
        </w:tc>
        <w:tc>
          <w:tcPr>
            <w:tcW w:w="220" w:type="dxa"/>
            <w:vAlign w:val="bottom"/>
          </w:tcPr>
          <w:p>
            <w:pPr>
              <w:spacing w:after="0"/>
              <w:rPr>
                <w:sz w:val="13"/>
                <w:szCs w:val="13"/>
                <w:color w:val="auto"/>
              </w:rPr>
            </w:pP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(3,232,529 )</w:t>
            </w:r>
          </w:p>
        </w:tc>
        <w:tc>
          <w:tcPr>
            <w:tcW w:w="22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(260,487 )</w:t>
            </w:r>
          </w:p>
        </w:tc>
      </w:tr>
      <w:tr>
        <w:trPr>
          <w:trHeight w:val="20"/>
        </w:trPr>
        <w:tc>
          <w:tcPr>
            <w:tcW w:w="30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9"/>
        </w:trPr>
        <w:tc>
          <w:tcPr>
            <w:tcW w:w="3060" w:type="dxa"/>
            <w:vAlign w:val="bottom"/>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4"/>
        </w:trPr>
        <w:tc>
          <w:tcPr>
            <w:tcW w:w="3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82"/>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020" w:type="dxa"/>
            <w:vAlign w:val="bottom"/>
          </w:tcPr>
          <w:p>
            <w:pPr>
              <w:jc w:val="center"/>
              <w:ind w:lef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060" w:type="dxa"/>
            <w:vAlign w:val="bottom"/>
          </w:tcPr>
          <w:p>
            <w:pPr>
              <w:spacing w:after="0"/>
              <w:rPr>
                <w:sz w:val="14"/>
                <w:szCs w:val="14"/>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8"/>
              </w:rPr>
              <w:t>Paid-in Capital</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 Deficit</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157"/>
        </w:trPr>
        <w:tc>
          <w:tcPr>
            <w:tcW w:w="3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(In</w:t>
            </w:r>
          </w:p>
        </w:tc>
        <w:tc>
          <w:tcPr>
            <w:tcW w:w="1220" w:type="dxa"/>
            <w:vAlign w:val="bottom"/>
            <w:gridSpan w:val="2"/>
          </w:tcPr>
          <w:p>
            <w:pPr>
              <w:jc w:val="right"/>
              <w:ind w:right="717"/>
              <w:spacing w:after="0"/>
              <w:rPr>
                <w:sz w:val="20"/>
                <w:szCs w:val="20"/>
                <w:color w:val="auto"/>
              </w:rPr>
            </w:pPr>
            <w:r>
              <w:rPr>
                <w:rFonts w:ascii="Times New Roman" w:cs="Times New Roman" w:eastAsia="Times New Roman" w:hAnsi="Times New Roman"/>
                <w:sz w:val="12"/>
                <w:szCs w:val="12"/>
                <w:b w:val="1"/>
                <w:bCs w:val="1"/>
                <w:color w:val="auto"/>
                <w:w w:val="74"/>
              </w:rPr>
              <w:t>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JANUARY 1,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270,034</w:t>
            </w:r>
          </w:p>
        </w:tc>
        <w:tc>
          <w:tcPr>
            <w:tcW w:w="5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2,980,539</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7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24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(3,229,407 )</w:t>
            </w: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(246,168 )</w:t>
            </w: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30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100" w:type="dxa"/>
            <w:vAlign w:val="bottom"/>
          </w:tcPr>
          <w:p>
            <w:pPr>
              <w:spacing w:after="0"/>
              <w:rPr>
                <w:sz w:val="14"/>
                <w:szCs w:val="14"/>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with stock options and restricted stock units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shd w:val="clear" w:color="auto" w:fill="CFF0FC"/>
          </w:tcPr>
          <w:p>
            <w:pPr>
              <w:spacing w:after="0"/>
              <w:rPr>
                <w:sz w:val="14"/>
                <w:szCs w:val="14"/>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3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convertible note interest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4"/>
                <w:szCs w:val="14"/>
                <w:color w:val="auto"/>
              </w:rPr>
            </w:pPr>
          </w:p>
        </w:tc>
      </w:tr>
      <w:tr>
        <w:trPr>
          <w:trHeight w:val="163"/>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3,885</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3,885</w:t>
            </w:r>
          </w:p>
        </w:tc>
        <w:tc>
          <w:tcPr>
            <w:tcW w:w="100" w:type="dxa"/>
            <w:vAlign w:val="bottom"/>
            <w:shd w:val="clear" w:color="auto" w:fill="CFF0FC"/>
          </w:tcPr>
          <w:p>
            <w:pPr>
              <w:spacing w:after="0"/>
              <w:rPr>
                <w:sz w:val="14"/>
                <w:szCs w:val="14"/>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10,630</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10,630</w:t>
            </w:r>
          </w:p>
        </w:tc>
        <w:tc>
          <w:tcPr>
            <w:tcW w:w="100" w:type="dxa"/>
            <w:vAlign w:val="bottom"/>
          </w:tcPr>
          <w:p>
            <w:pPr>
              <w:spacing w:after="0"/>
              <w:rPr>
                <w:sz w:val="14"/>
                <w:szCs w:val="14"/>
                <w:color w:val="auto"/>
              </w:rPr>
            </w:pPr>
          </w:p>
        </w:tc>
      </w:tr>
      <w:tr>
        <w:trPr>
          <w:trHeight w:val="195"/>
        </w:trPr>
        <w:tc>
          <w:tcPr>
            <w:tcW w:w="30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MARCH 31, 2024</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270,802</w:t>
            </w:r>
          </w:p>
        </w:tc>
        <w:tc>
          <w:tcPr>
            <w:tcW w:w="580" w:type="dxa"/>
            <w:vAlign w:val="bottom"/>
            <w:gridSpan w:val="2"/>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2,703</w:t>
            </w:r>
          </w:p>
        </w:tc>
        <w:tc>
          <w:tcPr>
            <w:tcW w:w="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2,986,104</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7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24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(3,218,777 )</w:t>
            </w:r>
          </w:p>
        </w:tc>
        <w:tc>
          <w:tcPr>
            <w:tcW w:w="220" w:type="dxa"/>
            <w:vAlign w:val="bottom"/>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(229,970 )</w:t>
            </w:r>
          </w:p>
        </w:tc>
      </w:tr>
      <w:tr>
        <w:trPr>
          <w:trHeight w:val="111"/>
        </w:trPr>
        <w:tc>
          <w:tcPr>
            <w:tcW w:w="3060" w:type="dxa"/>
            <w:vAlign w:val="bottom"/>
            <w:tcBorders>
              <w:top w:val="single" w:sz="8" w:color="CFF0FC"/>
            </w:tcBorders>
          </w:tcPr>
          <w:p>
            <w:pPr>
              <w:ind w:left="160"/>
              <w:spacing w:after="0" w:line="111" w:lineRule="exact"/>
              <w:rPr>
                <w:sz w:val="20"/>
                <w:szCs w:val="20"/>
                <w:color w:val="auto"/>
              </w:rPr>
            </w:pPr>
            <w:r>
              <w:rPr>
                <w:rFonts w:ascii="Times New Roman" w:cs="Times New Roman" w:eastAsia="Times New Roman" w:hAnsi="Times New Roman"/>
                <w:sz w:val="12"/>
                <w:szCs w:val="12"/>
                <w:color w:val="auto"/>
              </w:rPr>
              <w:t>Net issuance of common stock associated</w:t>
            </w:r>
          </w:p>
        </w:tc>
        <w:tc>
          <w:tcPr>
            <w:tcW w:w="112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r>
      <w:tr>
        <w:trPr>
          <w:trHeight w:val="165"/>
        </w:trPr>
        <w:tc>
          <w:tcPr>
            <w:tcW w:w="3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with stock options and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(4,952 )</w:t>
            </w: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(4,933 )</w:t>
            </w: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convertible note principal and interest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3,735</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shd w:val="clear" w:color="auto" w:fill="CFF0FC"/>
          </w:tcPr>
          <w:p>
            <w:pPr>
              <w:spacing w:after="0"/>
              <w:rPr>
                <w:sz w:val="14"/>
                <w:szCs w:val="14"/>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under</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3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100" w:type="dxa"/>
            <w:vAlign w:val="bottom"/>
          </w:tcPr>
          <w:p>
            <w:pPr>
              <w:spacing w:after="0"/>
              <w:rPr>
                <w:sz w:val="14"/>
                <w:szCs w:val="14"/>
                <w:color w:val="auto"/>
              </w:rPr>
            </w:pPr>
          </w:p>
        </w:tc>
      </w:tr>
      <w:tr>
        <w:trPr>
          <w:trHeight w:val="163"/>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6,428</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6,428</w:t>
            </w:r>
          </w:p>
        </w:tc>
        <w:tc>
          <w:tcPr>
            <w:tcW w:w="100" w:type="dxa"/>
            <w:vAlign w:val="bottom"/>
            <w:shd w:val="clear" w:color="auto" w:fill="CFF0FC"/>
          </w:tcPr>
          <w:p>
            <w:pPr>
              <w:spacing w:after="0"/>
              <w:rPr>
                <w:sz w:val="14"/>
                <w:szCs w:val="14"/>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(2,014 )</w:t>
            </w:r>
          </w:p>
        </w:tc>
        <w:tc>
          <w:tcPr>
            <w:tcW w:w="2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(2,014 )</w:t>
            </w:r>
          </w:p>
        </w:tc>
      </w:tr>
      <w:tr>
        <w:trPr>
          <w:trHeight w:val="20"/>
        </w:trPr>
        <w:tc>
          <w:tcPr>
            <w:tcW w:w="30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30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JUNE 30, 2024</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274,467</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2,740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2,992,271</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7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43"/>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(3,220,791 )</w:t>
            </w:r>
          </w:p>
        </w:tc>
        <w:tc>
          <w:tcPr>
            <w:tcW w:w="220" w:type="dxa"/>
            <w:vAlign w:val="bottom"/>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(225,780 )</w:t>
            </w:r>
          </w:p>
        </w:tc>
      </w:tr>
      <w:tr>
        <w:trPr>
          <w:trHeight w:val="20"/>
        </w:trPr>
        <w:tc>
          <w:tcPr>
            <w:tcW w:w="30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-4700270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-4700270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-4700270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-4700270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-4700270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-4700270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-2867660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-2867660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-2867660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-2867660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-2867660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-2867660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-1018540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-1001395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-1018540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-1001395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-1018540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-1001395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-1018540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-1001395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-1018540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-1001395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-1018540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-24765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-7620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-24765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-7620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MANNKIND CORPORATION AND SUBSIDIARIES</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Six Months Ended 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6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3"/>
                <w:szCs w:val="13"/>
                <w:color w:val="auto"/>
              </w:rPr>
            </w:pPr>
          </w:p>
        </w:tc>
      </w:tr>
      <w:tr>
        <w:trPr>
          <w:trHeight w:val="155"/>
        </w:trPr>
        <w:tc>
          <w:tcPr>
            <w:tcW w:w="7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(In</w:t>
            </w:r>
          </w:p>
        </w:tc>
        <w:tc>
          <w:tcPr>
            <w:tcW w:w="900" w:type="dxa"/>
            <w:vAlign w:val="bottom"/>
            <w:gridSpan w:val="3"/>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w w:val="82"/>
              </w:rPr>
              <w:t>thousands)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9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(15,060 )</w:t>
            </w:r>
          </w:p>
        </w:tc>
      </w:tr>
      <w:tr>
        <w:trPr>
          <w:trHeight w:val="139"/>
        </w:trPr>
        <w:tc>
          <w:tcPr>
            <w:tcW w:w="76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w:t>
            </w:r>
          </w:p>
        </w:tc>
        <w:tc>
          <w:tcPr>
            <w:tcW w:w="9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5"/>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operating activities:</w:t>
            </w:r>
          </w:p>
        </w:tc>
        <w:tc>
          <w:tcPr>
            <w:tcW w:w="9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9,235</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Interest on liability for sale of future royalties</w:t>
            </w:r>
          </w:p>
        </w:tc>
        <w:tc>
          <w:tcPr>
            <w:tcW w:w="9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8,631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2,276</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Write-off of inventory</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on available-for-sale securities</w:t>
            </w:r>
          </w:p>
        </w:tc>
        <w:tc>
          <w:tcPr>
            <w:tcW w:w="9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(932 )</w:t>
            </w: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on estimated returns of acquired product</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9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Interest on Mann Group convertible note</w:t>
            </w:r>
          </w:p>
        </w:tc>
        <w:tc>
          <w:tcPr>
            <w:tcW w:w="9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net</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(152 )</w:t>
            </w:r>
          </w:p>
        </w:tc>
      </w:tr>
      <w:tr>
        <w:trPr>
          <w:trHeight w:val="175"/>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Sold portion of royalty revenue</w:t>
            </w:r>
          </w:p>
        </w:tc>
        <w:tc>
          <w:tcPr>
            <w:tcW w:w="9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(4,824 )</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accretion of investments</w:t>
            </w:r>
          </w:p>
        </w:tc>
        <w:tc>
          <w:tcPr>
            <w:tcW w:w="9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(2,109 )</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(77 )</w:t>
            </w:r>
          </w:p>
        </w:tc>
      </w:tr>
      <w:tr>
        <w:trPr>
          <w:trHeight w:val="175"/>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(Gain) loss on foreign currency transaction</w:t>
            </w:r>
          </w:p>
        </w:tc>
        <w:tc>
          <w:tcPr>
            <w:tcW w:w="9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(1,928 )</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1,205</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receivable, net</w:t>
            </w:r>
          </w:p>
        </w:tc>
        <w:tc>
          <w:tcPr>
            <w:tcW w:w="9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(8,890 )</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(10,988 )</w:t>
            </w:r>
          </w:p>
        </w:tc>
      </w:tr>
      <w:tr>
        <w:trPr>
          <w:trHeight w:val="175"/>
        </w:trPr>
        <w:tc>
          <w:tcPr>
            <w:tcW w:w="76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Inventory</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(6,877 )</w:t>
            </w:r>
          </w:p>
        </w:tc>
      </w:tr>
      <w:tr>
        <w:trPr>
          <w:trHeight w:val="175"/>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(5,294 )</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(5,231 )</w:t>
            </w:r>
          </w:p>
        </w:tc>
      </w:tr>
      <w:tr>
        <w:trPr>
          <w:trHeight w:val="175"/>
        </w:trPr>
        <w:tc>
          <w:tcPr>
            <w:tcW w:w="76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 assets</w:t>
            </w:r>
          </w:p>
        </w:tc>
        <w:tc>
          <w:tcPr>
            <w:tcW w:w="9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(2,209 )</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(20 )</w:t>
            </w:r>
          </w:p>
        </w:tc>
      </w:tr>
      <w:tr>
        <w:trPr>
          <w:trHeight w:val="175"/>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6,075</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(1,763 )</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9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(5,343 )</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24,320</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Recognized loss on purchase commitments</w:t>
            </w:r>
          </w:p>
        </w:tc>
        <w:tc>
          <w:tcPr>
            <w:tcW w:w="9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(2,690 )</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(4,286 )</w:t>
            </w:r>
          </w:p>
        </w:tc>
      </w:tr>
      <w:tr>
        <w:trPr>
          <w:trHeight w:val="175"/>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(546 )</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(1,153 )</w:t>
            </w:r>
          </w:p>
        </w:tc>
      </w:tr>
      <w:tr>
        <w:trPr>
          <w:trHeight w:val="155"/>
        </w:trPr>
        <w:tc>
          <w:tcPr>
            <w:tcW w:w="7680" w:type="dxa"/>
            <w:vAlign w:val="bottom"/>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9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10,536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3,752</w:t>
            </w:r>
          </w:p>
        </w:tc>
        <w:tc>
          <w:tcPr>
            <w:tcW w:w="100" w:type="dxa"/>
            <w:vAlign w:val="bottom"/>
          </w:tcPr>
          <w:p>
            <w:pPr>
              <w:spacing w:after="0"/>
              <w:rPr>
                <w:sz w:val="13"/>
                <w:szCs w:val="13"/>
                <w:color w:val="auto"/>
              </w:rPr>
            </w:pPr>
          </w:p>
        </w:tc>
      </w:tr>
      <w:tr>
        <w:trPr>
          <w:trHeight w:val="16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9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of held-to-maturity debt securities</w:t>
            </w:r>
          </w:p>
        </w:tc>
        <w:tc>
          <w:tcPr>
            <w:tcW w:w="9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(187,447 )</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(26,447 )</w:t>
            </w: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held-to-maturity debt securities</w:t>
            </w:r>
          </w:p>
        </w:tc>
        <w:tc>
          <w:tcPr>
            <w:tcW w:w="9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88,814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69,083</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9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(5,380 )</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(25,180 )</w:t>
            </w: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insurance claim</w:t>
            </w:r>
          </w:p>
        </w:tc>
        <w:tc>
          <w:tcPr>
            <w:tcW w:w="9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7680" w:type="dxa"/>
            <w:vAlign w:val="bottom"/>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9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(103,617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17,456</w:t>
            </w:r>
          </w:p>
        </w:tc>
        <w:tc>
          <w:tcPr>
            <w:tcW w:w="100" w:type="dxa"/>
            <w:vAlign w:val="bottom"/>
          </w:tcPr>
          <w:p>
            <w:pPr>
              <w:spacing w:after="0"/>
              <w:rPr>
                <w:sz w:val="13"/>
                <w:szCs w:val="13"/>
                <w:color w:val="auto"/>
              </w:rPr>
            </w:pPr>
          </w:p>
        </w:tc>
      </w:tr>
      <w:tr>
        <w:trPr>
          <w:trHeight w:val="16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9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and early extinguishment payments on MidCap credit facility</w:t>
            </w:r>
          </w:p>
        </w:tc>
        <w:tc>
          <w:tcPr>
            <w:tcW w:w="9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(36,617 )</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Principal and early extinguishment payments on Mann Group convertible note</w:t>
            </w:r>
          </w:p>
        </w:tc>
        <w:tc>
          <w:tcPr>
            <w:tcW w:w="9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(8,854 )</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39"/>
        </w:trPr>
        <w:tc>
          <w:tcPr>
            <w:tcW w:w="76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Payments for taxes related to net issuance of common stock associated with</w:t>
            </w: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restricted stock units and stock options</w:t>
            </w:r>
          </w:p>
        </w:tc>
        <w:tc>
          <w:tcPr>
            <w:tcW w:w="9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(4,667 )</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(8,492 )</w:t>
            </w: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market price stock purchase plan and employee stock purchase plan</w:t>
            </w:r>
          </w:p>
        </w:tc>
        <w:tc>
          <w:tcPr>
            <w:tcW w:w="9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2,320</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payments on financing liability</w:t>
            </w:r>
          </w:p>
        </w:tc>
        <w:tc>
          <w:tcPr>
            <w:tcW w:w="9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(203 )</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(115 )</w:t>
            </w: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Principal payments on financing lease liability</w:t>
            </w:r>
          </w:p>
        </w:tc>
        <w:tc>
          <w:tcPr>
            <w:tcW w:w="9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at-the-market-offering</w:t>
            </w:r>
          </w:p>
        </w:tc>
        <w:tc>
          <w:tcPr>
            <w:tcW w:w="960" w:type="dxa"/>
            <w:vAlign w:val="bottom"/>
          </w:tcPr>
          <w:p>
            <w:pPr>
              <w:spacing w:after="0"/>
              <w:rPr>
                <w:sz w:val="15"/>
                <w:szCs w:val="15"/>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2,782</w:t>
            </w:r>
          </w:p>
        </w:tc>
        <w:tc>
          <w:tcPr>
            <w:tcW w:w="100" w:type="dxa"/>
            <w:vAlign w:val="bottom"/>
          </w:tcPr>
          <w:p>
            <w:pPr>
              <w:spacing w:after="0"/>
              <w:rPr>
                <w:sz w:val="15"/>
                <w:szCs w:val="15"/>
                <w:color w:val="auto"/>
              </w:rPr>
            </w:pPr>
          </w:p>
        </w:tc>
      </w:tr>
      <w:tr>
        <w:trPr>
          <w:trHeight w:val="162"/>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costs associated with at-the-market offering</w:t>
            </w:r>
          </w:p>
        </w:tc>
        <w:tc>
          <w:tcPr>
            <w:tcW w:w="9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(41 )</w:t>
            </w:r>
          </w:p>
        </w:tc>
      </w:tr>
      <w:tr>
        <w:trPr>
          <w:trHeight w:val="20"/>
        </w:trPr>
        <w:tc>
          <w:tcPr>
            <w:tcW w:w="7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680" w:type="dxa"/>
            <w:vAlign w:val="bottom"/>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9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(48,024 )</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(4,791 )</w:t>
            </w:r>
          </w:p>
        </w:tc>
      </w:tr>
      <w:tr>
        <w:trPr>
          <w:trHeight w:val="20"/>
        </w:trPr>
        <w:tc>
          <w:tcPr>
            <w:tcW w:w="7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768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9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(141,105 )</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16,417</w:t>
            </w:r>
          </w:p>
        </w:tc>
        <w:tc>
          <w:tcPr>
            <w:tcW w:w="100" w:type="dxa"/>
            <w:vAlign w:val="bottom"/>
            <w:shd w:val="clear" w:color="auto" w:fill="CFF0FC"/>
          </w:tcPr>
          <w:p>
            <w:pPr>
              <w:spacing w:after="0"/>
              <w:rPr>
                <w:sz w:val="13"/>
                <w:szCs w:val="13"/>
                <w:color w:val="auto"/>
              </w:rPr>
            </w:pPr>
          </w:p>
        </w:tc>
      </w:tr>
      <w:tr>
        <w:trPr>
          <w:trHeight w:val="155"/>
        </w:trPr>
        <w:tc>
          <w:tcPr>
            <w:tcW w:w="768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PERIOD</w:t>
            </w:r>
          </w:p>
        </w:tc>
        <w:tc>
          <w:tcPr>
            <w:tcW w:w="9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238,480</w:t>
            </w: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69,767</w:t>
            </w:r>
          </w:p>
        </w:tc>
        <w:tc>
          <w:tcPr>
            <w:tcW w:w="100" w:type="dxa"/>
            <w:vAlign w:val="bottom"/>
            <w:tcBorders>
              <w:top w:val="single" w:sz="8" w:color="CFF0FC"/>
            </w:tcBorders>
          </w:tcPr>
          <w:p>
            <w:pPr>
              <w:spacing w:after="0"/>
              <w:rPr>
                <w:sz w:val="13"/>
                <w:szCs w:val="13"/>
                <w:color w:val="auto"/>
              </w:rPr>
            </w:pPr>
          </w:p>
        </w:tc>
      </w:tr>
      <w:tr>
        <w:trPr>
          <w:trHeight w:val="195"/>
        </w:trPr>
        <w:tc>
          <w:tcPr>
            <w:tcW w:w="76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960" w:type="dxa"/>
            <w:vAlign w:val="bottom"/>
            <w:tcBorders>
              <w:bottom w:val="single" w:sz="8" w:color="auto"/>
            </w:tcBorders>
            <w:shd w:val="clear" w:color="auto" w:fill="CFF0FC"/>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97,375</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86,184</w:t>
            </w:r>
          </w:p>
        </w:tc>
        <w:tc>
          <w:tcPr>
            <w:tcW w:w="10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-2366645</wp:posOffset>
            </wp:positionV>
            <wp:extent cx="9398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-2366645</wp:posOffset>
            </wp:positionV>
            <wp:extent cx="9398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-1690370</wp:posOffset>
            </wp:positionV>
            <wp:extent cx="9398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-1690370</wp:posOffset>
            </wp:positionV>
            <wp:extent cx="9398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-470535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Six Months Ended 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6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3"/>
                <w:szCs w:val="13"/>
                <w:color w:val="auto"/>
              </w:rPr>
            </w:pPr>
          </w:p>
        </w:tc>
      </w:tr>
      <w:tr>
        <w:trPr>
          <w:trHeight w:val="168"/>
        </w:trPr>
        <w:tc>
          <w:tcPr>
            <w:tcW w:w="7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FLOWS DISCLOSURES:</w:t>
            </w:r>
          </w:p>
        </w:tc>
        <w:tc>
          <w:tcPr>
            <w:tcW w:w="9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paid in cash</w:t>
            </w:r>
          </w:p>
        </w:tc>
        <w:tc>
          <w:tcPr>
            <w:tcW w:w="960" w:type="dxa"/>
            <w:vAlign w:val="bottom"/>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8,324</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4,259</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Income taxes paid in cash</w:t>
            </w:r>
          </w:p>
        </w:tc>
        <w:tc>
          <w:tcPr>
            <w:tcW w:w="9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1,725</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Payments of Mann Group principal and interest through common stock issuances</w:t>
            </w:r>
          </w:p>
        </w:tc>
        <w:tc>
          <w:tcPr>
            <w:tcW w:w="9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3,806</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liability for sale of future royalties</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Non-cash construction in progress, property and equipment</w:t>
            </w:r>
          </w:p>
        </w:tc>
        <w:tc>
          <w:tcPr>
            <w:tcW w:w="9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1,404</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1,858</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 of right-of-use-asset and financing lease liability</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Right-of-use asset modification</w:t>
            </w:r>
          </w:p>
        </w:tc>
        <w:tc>
          <w:tcPr>
            <w:tcW w:w="9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shd w:val="clear" w:color="auto" w:fill="CFF0FC"/>
          </w:tcPr>
          <w:p>
            <w:pPr>
              <w:spacing w:after="0"/>
              <w:rPr>
                <w:sz w:val="15"/>
                <w:szCs w:val="15"/>
                <w:color w:val="auto"/>
              </w:rPr>
            </w:pPr>
          </w:p>
        </w:tc>
      </w:tr>
      <w:tr>
        <w:trPr>
          <w:trHeight w:val="186"/>
        </w:trPr>
        <w:tc>
          <w:tcPr>
            <w:tcW w:w="7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Goodwill adjustment for a net reduction in liabilities</w:t>
            </w:r>
          </w:p>
        </w:tc>
        <w:tc>
          <w:tcPr>
            <w:tcW w:w="9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00" w:type="dxa"/>
            <w:vAlign w:val="bottom"/>
          </w:tcPr>
          <w:p>
            <w:pPr>
              <w:spacing w:after="0"/>
              <w:rPr>
                <w:sz w:val="16"/>
                <w:szCs w:val="16"/>
                <w:color w:val="auto"/>
              </w:rPr>
            </w:pPr>
          </w:p>
        </w:tc>
      </w:tr>
    </w:tbl>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7" w:name="page8"/>
    <w:bookmarkEnd w:id="7"/>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MANNKIND CORPORATION AND SUBSIDIARIES NOTES TO CONDENSED CONSOLIDATED FINANCIAL STATEMENTS (Unaudited)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Significant Accounting Policies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2023, filed with the SEC on February 27, 2024 (the “Annual Report”).</w:t>
      </w:r>
    </w:p>
    <w:p>
      <w:pPr>
        <w:spacing w:after="0" w:line="186"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six months ended June 30, 2024 may not be indicative of the results that may be expected for the full year.</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Financial Statement Estimates </w:t>
      </w:r>
      <w:r>
        <w:rPr>
          <w:rFonts w:ascii="Times New Roman" w:cs="Times New Roman" w:eastAsia="Times New Roman" w:hAnsi="Times New Roman"/>
          <w:sz w:val="18"/>
          <w:szCs w:val="18"/>
          <w:color w:val="auto"/>
        </w:rPr>
        <w:t>— The preparation of financial statements in conformity with GAAP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affect the amounts reported in the financial statements and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These effects could have a material impact on the estimates and assumptions used in the preparation of the condensed consolidated financial statements. The more significant estimates include revenue recognition, including gross-to-net adjustments, stand-alone selling price considerations for recognition of collaboration revenue, assessing long-lived assets for impairment, clinical trial expenses, inventory costing, stock-based compensation, the determination of the provision for income taxes and corresponding deferred tax assets and liabilities, the valuation allowance recorded against net deferred tax assets, and expected cash flows from royalties received in connection with United Therapeutics' ("UT's") net revenue for the sale of Tyvaso DPI.</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 MannKind is a biopharmaceutical company focused on the development and commercialization of innovative therapeutic products and devices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address serious unmet medical needs for those living with endocrine and orphan lung diseases. The Company’s signature technologies—Technosphere dry-powder formulations and Dreamboat inhalation devices—offer rapid and convenient delivery of medicines to the deep lung where they can exert an effect locally or enter the systemic circulation. The Company is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the orphan lung disease pipeline, Tyvaso DPI (treprostinil) inhalation powder, received approval from the U.S. Food and Drug Administration (“FDA”) in May 2022 for the treatment of pulmonary arterial hypertension (“PAH”) and for the treatment of pulmonary hypertension associated with interstitial lung disease (“PH-ILD”). The Company's development and marketing partner, UT, began commercializing Tyvaso DPI in June 2022 and is obligated to pay a 10% royalty on net sales of the product, of which 9% is allocated to the Company and 1% to another party as detailed in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The Company also receives a margin on supplies of Tyvaso DPI that it manufactures for UT.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 The condensed consolidated financial statements have been prepared in accordance with GAAP.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condensed consolidated financial statements include the accounts of the Company and its wholly-owned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balances and transactions have been eliminated.</w:t>
      </w:r>
    </w:p>
    <w:p>
      <w:pPr>
        <w:spacing w:after="0" w:line="2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 Certain amounts reported in the prior period have been reclassified to conform with current period presentation.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separated non-cash accretion income on investments from other, net, and presented it as net accretion of investments in the condensed consolidated statements of cash flows. The Company has also presented amortization of debt issuance costs on financing liability with depreciation and amortization and non-cash interest accretion on financing liability on a net basis in other, net. Additionally, the Company has combined accruals for the Danbury facility buildout with other in Note 7 –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 Operating segments are identified as components of an enterprise about which separate discrete financial information is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evaluation by the chief operating decision-maker in making decisions regarding resource allocation and assessing performance. To date, the Company has viewed its operations and manages its business as one segment operating in the United States of America ("U.S.").</w:t>
      </w:r>
    </w:p>
    <w:p>
      <w:pPr>
        <w:spacing w:after="0" w:line="172"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Company recognizes revenue when its customers obtain control of promised goods or services, in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which the Company expects to be entitled in exchange for those goods or services.</w:t>
      </w:r>
    </w:p>
    <w:p>
      <w:pPr>
        <w:spacing w:after="0" w:line="15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To determine revenue recognition for arrangements that are within the scope of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performs the following five steps: (i) identify the contract(s) with a customer, (ii) identify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to which it is entitled in exchange for the goods or services it transfers to the customer.</w:t>
      </w:r>
    </w:p>
    <w:p>
      <w:pPr>
        <w:spacing w:after="0" w:line="18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durable medical equipment suppliers ("DMEs") and (ii) collaboration arrangements.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 Net Revenue — Commercial Product Sales — </w:t>
      </w:r>
      <w:r>
        <w:rPr>
          <w:rFonts w:ascii="Times New Roman" w:cs="Times New Roman" w:eastAsia="Times New Roman" w:hAnsi="Times New Roman"/>
          <w:sz w:val="18"/>
          <w:szCs w:val="18"/>
          <w:color w:val="auto"/>
        </w:rPr>
        <w:t>The Company sells its products to a limited number of wholesale distributors,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specialty and retail pharmacies, and DMEs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84"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 xml:space="preserve">The Company's Customers obtain control of product upon delivery for wholesale distributors and generally at delivery for specialty pharmacies. The Company transfers control and recognizes revenue on product sales to a retail pharmacy as the product is dispensed to patients. Product revenues are recorded net of applicable reserves, including discounts, allowances, rebates, returns and other incentives. See </w:t>
      </w:r>
      <w:r>
        <w:rPr>
          <w:rFonts w:ascii="Times New Roman" w:cs="Times New Roman" w:eastAsia="Times New Roman" w:hAnsi="Times New Roman"/>
          <w:sz w:val="17"/>
          <w:szCs w:val="17"/>
          <w:i w:val="1"/>
          <w:iCs w:val="1"/>
          <w:color w:val="auto"/>
        </w:rPr>
        <w:t>Reserves for Variable Consideration</w:t>
      </w:r>
      <w:r>
        <w:rPr>
          <w:rFonts w:ascii="Times New Roman" w:cs="Times New Roman" w:eastAsia="Times New Roman" w:hAnsi="Times New Roman"/>
          <w:sz w:val="17"/>
          <w:szCs w:val="17"/>
          <w:color w:val="auto"/>
        </w:rPr>
        <w:t xml:space="preserve"> below.</w:t>
      </w:r>
    </w:p>
    <w:p>
      <w:pPr>
        <w:spacing w:after="0" w:line="1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Reserves for Variable Consideration </w:t>
      </w:r>
      <w:r>
        <w:rPr>
          <w:rFonts w:ascii="Times New Roman" w:cs="Times New Roman" w:eastAsia="Times New Roman" w:hAnsi="Times New Roman"/>
          <w:sz w:val="18"/>
          <w:szCs w:val="18"/>
          <w:color w:val="auto"/>
        </w:rPr>
        <w:t>— Revenues from product sales are recorded at the net sales price (transaction price), which includes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 is required in estimating gross-to-net adjustments, including historical experience, payer channel mix, current contract prices under applicable programs, unbilled claims, claim submission time lags and inventory levels in the distribution channel.</w:t>
      </w:r>
    </w:p>
    <w:p>
      <w:pPr>
        <w:spacing w:after="0" w:line="19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current period estimates of gross-to-net adjustments and, therefore, the transaction price was not reduced further during the current period. Actual amounts of consideration ultimately received may differ from the Company’s estimates. If actual results in the future vary from the Company’s estimates, the Company will adjust these estimates, which would affect net revenue from commercial product sales and earnings in the period such variances become known.</w:t>
      </w:r>
    </w:p>
    <w:p>
      <w:pPr>
        <w:spacing w:after="0" w:line="185"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 The Company generally provides Customers with discounts which include incentives, such as prompt pay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explicitly stated in the Company’s contracts and are recorded as a reduction of revenue in the period the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9" w:name="page10"/>
    <w:bookmarkEnd w:id="9"/>
    <w:p>
      <w:pPr>
        <w:spacing w:after="0" w:line="265" w:lineRule="auto"/>
        <w:rPr>
          <w:sz w:val="20"/>
          <w:szCs w:val="20"/>
          <w:color w:val="auto"/>
        </w:rPr>
      </w:pPr>
      <w:r>
        <w:rPr>
          <w:rFonts w:ascii="Times New Roman" w:cs="Times New Roman" w:eastAsia="Times New Roman" w:hAnsi="Times New Roman"/>
          <w:sz w:val="18"/>
          <w:szCs w:val="18"/>
          <w:color w:val="auto"/>
        </w:rPr>
        <w:t>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 Consistent with industry practice, the Company generally offers Customers a right of return for unopened product that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 digits. Adjustments to the returns reserve are made when changes in the Company's assumptions result in revised estimates.</w:t>
      </w:r>
    </w:p>
    <w:p>
      <w:pPr>
        <w:spacing w:after="0" w:line="18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Provider Chargebacks and Discounts </w:t>
      </w:r>
      <w:r>
        <w:rPr>
          <w:rFonts w:ascii="Times New Roman" w:cs="Times New Roman" w:eastAsia="Times New Roman" w:hAnsi="Times New Roman"/>
          <w:sz w:val="18"/>
          <w:szCs w:val="18"/>
          <w:color w:val="auto"/>
        </w:rPr>
        <w:t>— 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86"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 The Company is subject to discount obligations under Medicare and state Medicaid programs. These reserves are recorded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products that have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Payer Rebates </w:t>
      </w:r>
      <w:r>
        <w:rPr>
          <w:rFonts w:ascii="Times New Roman" w:cs="Times New Roman" w:eastAsia="Times New Roman" w:hAnsi="Times New Roman"/>
          <w:sz w:val="18"/>
          <w:szCs w:val="18"/>
          <w:color w:val="auto"/>
        </w:rPr>
        <w:t>— The Company contracts with certain private payer organizations, primarily insurance companies and pharmacy benefit managers,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 Other incentives which the Company offers include voluntary patient support programs, such as the Company's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the products that have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0" w:name="page11"/>
    <w:bookmarkEnd w:id="10"/>
    <w:p>
      <w:pPr>
        <w:ind w:right="1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Revenue Recognition — Revenue — Collaborations and Services </w:t>
      </w:r>
      <w:r>
        <w:rPr>
          <w:rFonts w:ascii="Times New Roman" w:cs="Times New Roman" w:eastAsia="Times New Roman" w:hAnsi="Times New Roman"/>
          <w:sz w:val="18"/>
          <w:szCs w:val="18"/>
          <w:color w:val="auto"/>
        </w:rPr>
        <w:t>— The Company enters into licensing, research or other agreements under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commercial manufacturing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the Company's significant collaboration and service agreement with UT that includes a long-term commercial supply agreement (as amended, the “CSA”), the Company has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current and future manufacturing and supply of product (“Manufacturing Services and Product Sales”). Pre-production activities under the CSA, such as facility expansion services and other administrative services, were considered bundled services under the Manufacturing Services and Product Sales performance obligation as required by ASC 606. Following the FDA’s approval of Tyvaso DPI, UT began issuing purchase orders for the supply of product, which represents distinct contracts and performance obligations under ASC 606. Revenue is recognized for the supply of product at a point in time, once control is transferred to UT. See Note 9 – </w:t>
      </w:r>
      <w:r>
        <w:rPr>
          <w:rFonts w:ascii="Times New Roman" w:cs="Times New Roman" w:eastAsia="Times New Roman" w:hAnsi="Times New Roman"/>
          <w:sz w:val="18"/>
          <w:szCs w:val="18"/>
          <w:i w:val="1"/>
          <w:iCs w:val="1"/>
          <w:color w:val="auto"/>
        </w:rPr>
        <w:t>Collaboration, Licensing and Other Arrangements.</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9 – </w:t>
      </w: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Licensing and Other Arrangements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w:t>
      </w:r>
    </w:p>
    <w:p>
      <w:pPr>
        <w:spacing w:after="0" w:line="18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2"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collaboration agreements, for accounting purposes, represent contracts with customers and therefore are not subject to accounting literature on collaboration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collaboration agreements must generally be accounted for pursuant to ASC 606.</w:t>
      </w:r>
    </w:p>
    <w:p>
      <w:pPr>
        <w:spacing w:after="0" w:line="182"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8" w:right="359" w:bottom="1440" w:gutter="0" w:footer="0" w:header="0"/>
        </w:sectPr>
      </w:pPr>
    </w:p>
    <w:bookmarkStart w:id="11" w:name="page12"/>
    <w:bookmarkEnd w:id="11"/>
    <w:p>
      <w:pPr>
        <w:ind w:right="140"/>
        <w:spacing w:after="0" w:line="255" w:lineRule="auto"/>
        <w:rPr>
          <w:sz w:val="20"/>
          <w:szCs w:val="20"/>
          <w:color w:val="auto"/>
        </w:rPr>
      </w:pPr>
      <w:r>
        <w:rPr>
          <w:rFonts w:ascii="Times New Roman" w:cs="Times New Roman" w:eastAsia="Times New Roman" w:hAnsi="Times New Roman"/>
          <w:sz w:val="18"/>
          <w:szCs w:val="18"/>
          <w:color w:val="auto"/>
        </w:rPr>
        <w:t>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long-term commercial supply agreement with UT (as amended, the "CSA")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Recognition — Royalties — </w:t>
      </w:r>
      <w:r>
        <w:rPr>
          <w:rFonts w:ascii="Times New Roman" w:cs="Times New Roman" w:eastAsia="Times New Roman" w:hAnsi="Times New Roman"/>
          <w:sz w:val="18"/>
          <w:szCs w:val="18"/>
          <w:color w:val="auto"/>
        </w:rPr>
        <w:t>The Company recognizes royalty revenue for a sales-based or usage-based royalty if it is promised in exchange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intellectual property license. The royalty revenue is recognized as the latter of the subsequent sale of the product occurs or if the performance obligation to which the royalty has been allocated has been satisfied or partially satisfied. The Company’s UT License Agreement (as defined in Note 9 </w:t>
      </w:r>
      <w:r>
        <w:rPr>
          <w:rFonts w:ascii="Times New Roman" w:cs="Times New Roman" w:eastAsia="Times New Roman" w:hAnsi="Times New Roman"/>
          <w:sz w:val="18"/>
          <w:szCs w:val="18"/>
          <w:i w:val="1"/>
          <w:iCs w:val="1"/>
          <w:color w:val="auto"/>
        </w:rPr>
        <w:t>– 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Licensing and Other Arrangements</w:t>
      </w:r>
      <w:r>
        <w:rPr>
          <w:rFonts w:ascii="Times New Roman" w:cs="Times New Roman" w:eastAsia="Times New Roman" w:hAnsi="Times New Roman"/>
          <w:sz w:val="18"/>
          <w:szCs w:val="18"/>
          <w:color w:val="auto"/>
        </w:rPr>
        <w:t>) entitles it to receive a 10% royalty on net sales of Tyvaso DPI for the license of the Company’s IP that was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be interdependent with the development activities that supported the approval of Tyvaso DPI. Although the Company recognizes a 10% royalty on net revenue from the sale of Tyvaso DPI as revenue, it only collects 9% of future royalties due to its sale in December 2023 of 1% of future royalties as detailed in Note 14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Company’s net revenue and cost of revenue and goods sold as shown on the condensed consolidated statement of operations is comprised of revenue generated from product sales, services and royalties as shown below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8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Product revenue </w:t>
            </w:r>
            <w:r>
              <w:rPr>
                <w:rFonts w:ascii="Times New Roman" w:cs="Times New Roman" w:eastAsia="Times New Roman" w:hAnsi="Times New Roman"/>
                <w:sz w:val="24"/>
                <w:szCs w:val="24"/>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46,758</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29,278</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89,986</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58,004</w:t>
            </w:r>
          </w:p>
        </w:tc>
        <w:tc>
          <w:tcPr>
            <w:tcW w:w="100" w:type="dxa"/>
            <w:vAlign w:val="bottom"/>
          </w:tcPr>
          <w:p>
            <w:pPr>
              <w:spacing w:after="0"/>
              <w:rPr>
                <w:sz w:val="21"/>
                <w:szCs w:val="21"/>
                <w:color w:val="auto"/>
              </w:rPr>
            </w:pPr>
          </w:p>
        </w:tc>
      </w:tr>
      <w:tr>
        <w:trPr>
          <w:trHeight w:val="243"/>
        </w:trPr>
        <w:tc>
          <w:tcPr>
            <w:tcW w:w="580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Services </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21"/>
                <w:szCs w:val="21"/>
                <w:color w:val="auto"/>
              </w:rPr>
            </w:pPr>
          </w:p>
        </w:tc>
      </w:tr>
      <w:tr>
        <w:trPr>
          <w:trHeight w:val="243"/>
        </w:trPr>
        <w:tc>
          <w:tcPr>
            <w:tcW w:w="58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Royalties </w:t>
            </w:r>
            <w:r>
              <w:rPr>
                <w:rFonts w:ascii="Times New Roman" w:cs="Times New Roman" w:eastAsia="Times New Roman" w:hAnsi="Times New Roman"/>
                <w:sz w:val="24"/>
                <w:szCs w:val="24"/>
                <w:color w:val="auto"/>
                <w:vertAlign w:val="superscript"/>
              </w:rPr>
              <w:t>(3)</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19,055</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48,243</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30,733</w:t>
            </w:r>
          </w:p>
        </w:tc>
        <w:tc>
          <w:tcPr>
            <w:tcW w:w="100" w:type="dxa"/>
            <w:vAlign w:val="bottom"/>
          </w:tcPr>
          <w:p>
            <w:pPr>
              <w:spacing w:after="0"/>
              <w:rPr>
                <w:sz w:val="21"/>
                <w:szCs w:val="21"/>
                <w:color w:val="auto"/>
              </w:rPr>
            </w:pPr>
          </w:p>
        </w:tc>
      </w:tr>
      <w:tr>
        <w:trPr>
          <w:trHeight w:val="228"/>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72,386</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138,649</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the revenue from Afrezza and V-Go sales to wholesalers and specialty pharmacies and Tyvaso DPI to UT.</w:t>
      </w:r>
    </w:p>
    <w:p>
      <w:pPr>
        <w:spacing w:after="0" w:line="8" w:lineRule="exact"/>
        <w:rPr>
          <w:rFonts w:ascii="Times New Roman" w:cs="Times New Roman" w:eastAsia="Times New Roman" w:hAnsi="Times New Roman"/>
          <w:sz w:val="13"/>
          <w:szCs w:val="13"/>
          <w:color w:val="auto"/>
        </w:rPr>
      </w:pPr>
    </w:p>
    <w:p>
      <w:pPr>
        <w:ind w:left="380" w:right="300" w:hanging="372"/>
        <w:spacing w:after="0" w:line="263" w:lineRule="auto"/>
        <w:tabs>
          <w:tab w:leader="none" w:pos="3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Amounts represent revenue generated from the Company's collaboration arrangements, including Next-Gen R&amp;D Services (as defined in Note 9) for UT as well as arrangements with other collaboration partners. See Note 9 – </w:t>
      </w:r>
      <w:r>
        <w:rPr>
          <w:rFonts w:ascii="Times New Roman" w:cs="Times New Roman" w:eastAsia="Times New Roman" w:hAnsi="Times New Roman"/>
          <w:sz w:val="16"/>
          <w:szCs w:val="16"/>
          <w:i w:val="1"/>
          <w:iCs w:val="1"/>
          <w:color w:val="auto"/>
        </w:rPr>
        <w:t>Collaboration, Licensing and Other Arrangements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royalties on UT’s net revenue from Tyvaso DPI sales.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 and cost of revenue: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20,377</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38,628</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30,023</w:t>
            </w:r>
          </w:p>
        </w:tc>
        <w:tc>
          <w:tcPr>
            <w:tcW w:w="100" w:type="dxa"/>
            <w:vAlign w:val="bottom"/>
          </w:tcPr>
          <w:p>
            <w:pPr>
              <w:spacing w:after="0"/>
              <w:rPr>
                <w:sz w:val="20"/>
                <w:szCs w:val="20"/>
                <w:color w:val="auto"/>
              </w:rPr>
            </w:pPr>
          </w:p>
        </w:tc>
      </w:tr>
      <w:tr>
        <w:trPr>
          <w:trHeight w:val="24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goods sold and cost of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20,377</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38,975</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30,450</w:t>
            </w:r>
          </w:p>
        </w:tc>
        <w:tc>
          <w:tcPr>
            <w:tcW w:w="10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-187960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follows accounting guidance in measuring revenue and certain judgments affect the application of its revenue policy. For example, in connection with its existing collaboration agreements, the Company has recorded short-term and long-term deferred revenue on its condensed consolidated balance sheets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8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Milestone Payments </w:t>
      </w:r>
      <w:r>
        <w:rPr>
          <w:rFonts w:ascii="Times New Roman" w:cs="Times New Roman" w:eastAsia="Times New Roman" w:hAnsi="Times New Roman"/>
          <w:sz w:val="17"/>
          <w:szCs w:val="17"/>
          <w:color w:val="auto"/>
        </w:rPr>
        <w:t>— At the inception of each arrangement that includes development milestone payments, the Company evaluates whether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2" w:name="page13"/>
    <w:bookmarkEnd w:id="12"/>
    <w:p>
      <w:pPr>
        <w:spacing w:after="0" w:line="281" w:lineRule="auto"/>
        <w:rPr>
          <w:sz w:val="20"/>
          <w:szCs w:val="20"/>
          <w:color w:val="auto"/>
        </w:rPr>
      </w:pPr>
      <w:r>
        <w:rPr>
          <w:rFonts w:ascii="Times New Roman" w:cs="Times New Roman" w:eastAsia="Times New Roman" w:hAnsi="Times New Roman"/>
          <w:sz w:val="18"/>
          <w:szCs w:val="18"/>
          <w:color w:val="auto"/>
        </w:rPr>
        <w:t>estimate of the overall transaction price. Any such adjustments are recorded on a cumulative catch-up basis, which would affect license, collaboration, other revenue, and earnings in the period of adjustment.</w:t>
      </w:r>
    </w:p>
    <w:p>
      <w:pPr>
        <w:spacing w:after="0" w:line="16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Cost of goods sold includes material, labor costs and manufacturing overhead. Cost of goods sold also includes a component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period manufacturing costs in excess of costs capitalized into inventory (“excess capacity costs”). These costs, in addition to the impact of the revaluation of inventory for standard costing, and write-offs of inventory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All insulin inventory on hand was written off and the full purchase commitment contract to purchase future insulin was accrued as a recognized loss on purchase commitments as of the end of 2016.</w:t>
      </w:r>
    </w:p>
    <w:p>
      <w:pPr>
        <w:spacing w:after="0" w:line="186" w:lineRule="exact"/>
        <w:rPr>
          <w:sz w:val="20"/>
          <w:szCs w:val="20"/>
          <w:color w:val="auto"/>
        </w:rPr>
      </w:pPr>
    </w:p>
    <w:p>
      <w:pPr>
        <w:jc w:val="both"/>
        <w:ind w:right="620"/>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Cost of Revenues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Collaborations and Services </w:t>
      </w:r>
      <w:r>
        <w:rPr>
          <w:rFonts w:ascii="Times New Roman" w:cs="Times New Roman" w:eastAsia="Times New Roman" w:hAnsi="Times New Roman"/>
          <w:sz w:val="17"/>
          <w:szCs w:val="17"/>
          <w:color w:val="auto"/>
        </w:rPr>
        <w:t>— Cost of revenues for collaborations and services includes material, labor costs, manufacturing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overhead, and excess capacity costs. These costs, in addition to the write-offs of inventory are recorded as expenses in the period in which they are incurred, rather than as a portion of inventory costs. Cost of revenues for collaborations and services also includes the cost of product development.</w:t>
      </w:r>
    </w:p>
    <w:p>
      <w:pPr>
        <w:spacing w:after="0" w:line="15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 </w:t>
      </w:r>
      <w:r>
        <w:rPr>
          <w:rFonts w:ascii="Times New Roman" w:cs="Times New Roman" w:eastAsia="Times New Roman" w:hAnsi="Times New Roman"/>
          <w:sz w:val="18"/>
          <w:szCs w:val="18"/>
          <w:color w:val="auto"/>
        </w:rPr>
        <w:t>Clinical trial expenses result from obligations under contracts with vendors, consultants and clinical 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in addition to internal costs associated with conducting clinical trials. R&amp;D costs are expensed as incurred. Clinical study and certain research costs are recognized over the service periods specified in the contracts and adjusted as necessary based upon an ongoing review of the level of effort and costs actually incurred. Nonrefundable advance payments for services to be received in the future for use in R&amp;D activities are recorded as prepaid assets and expensed in the period when the services are performed.</w:t>
      </w:r>
    </w:p>
    <w:p>
      <w:pPr>
        <w:spacing w:after="0" w:line="1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Restricted Cash </w:t>
      </w:r>
      <w:r>
        <w:rPr>
          <w:rFonts w:ascii="Times New Roman" w:cs="Times New Roman" w:eastAsia="Times New Roman" w:hAnsi="Times New Roman"/>
          <w:sz w:val="18"/>
          <w:szCs w:val="18"/>
          <w:color w:val="auto"/>
        </w:rPr>
        <w:t>— The Company considers all highly liquid investments with original or remaining maturities of 90 days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at the time of purchase that are readily convertible into cash to be cash equivalents. As of June 30, 2024 and December 31, 2023, cash equivalents were comprised of money market funds, U.S. Treasury securities, corporate bonds and commercial paper with original maturities less than 90 days from the date of purchase.</w:t>
      </w:r>
    </w:p>
    <w:p>
      <w:pPr>
        <w:spacing w:after="0" w:line="18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 xml:space="preserve">The Company records restricted cash when cash and cash equivalents are restricted as to withdrawal or usage. Restricted cash under a letter of credit issued in connection with a facility lease assumed by the Company that will not be available for use in the Company’s operations within 12 months of the reporting date is presented in non-current assets. See Note 16 – </w:t>
      </w:r>
      <w:r>
        <w:rPr>
          <w:rFonts w:ascii="Times New Roman" w:cs="Times New Roman" w:eastAsia="Times New Roman" w:hAnsi="Times New Roman"/>
          <w:sz w:val="18"/>
          <w:szCs w:val="18"/>
          <w:i w:val="1"/>
          <w:iCs w:val="1"/>
          <w:color w:val="auto"/>
        </w:rPr>
        <w:t>Subsequent Events.</w:t>
      </w:r>
    </w:p>
    <w:p>
      <w:pPr>
        <w:spacing w:after="0" w:line="17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consolidated balance sheets that sum to amounts reported on the condensed consolidated statements of cash flows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96,643</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238,480</w:t>
            </w:r>
          </w:p>
        </w:tc>
        <w:tc>
          <w:tcPr>
            <w:tcW w:w="100" w:type="dxa"/>
            <w:vAlign w:val="bottom"/>
            <w:shd w:val="clear" w:color="auto" w:fill="CFF0FC"/>
          </w:tcPr>
          <w:p>
            <w:pPr>
              <w:spacing w:after="0"/>
              <w:rPr>
                <w:sz w:val="20"/>
                <w:szCs w:val="20"/>
                <w:color w:val="auto"/>
              </w:rPr>
            </w:pPr>
          </w:p>
        </w:tc>
      </w:tr>
      <w:tr>
        <w:trPr>
          <w:trHeight w:val="238"/>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74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97,375</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Held-to-Maturity Investments </w:t>
      </w:r>
      <w:r>
        <w:rPr>
          <w:rFonts w:ascii="Times New Roman" w:cs="Times New Roman" w:eastAsia="Times New Roman" w:hAnsi="Times New Roman"/>
          <w:sz w:val="18"/>
          <w:szCs w:val="18"/>
          <w:color w:val="auto"/>
        </w:rPr>
        <w:t>— The Company’s investments generally consist of commercial paper, corporate notes or bonds and U.S. Treasury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June 30, 2024 and December 31, 2023, the Company held short-term and long-term investments of debt securities, including commercial paper and bonds. The Company assesses whether it has any intention to sell the investment before maturity, whether any declines in fair value are the result of credit losses, as well as whether there were other-than-temporary impairments associated with the available-for-sale investment. The Company intends to hold its investments until maturity; therefore, these investments are stated at amortized cost. The investments with maturities less than 12 months are included in short-term investments and investments with maturities in excess of twelve months are included in long-term investments in the condensed consolidated balance sheets. The amortization or accretion of the Company’s investments is recognized as interest income in the condensed consolidated statements of operations.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 </w:t>
      </w:r>
      <w:r>
        <w:rPr>
          <w:rFonts w:ascii="Times New Roman" w:cs="Times New Roman" w:eastAsia="Times New Roman" w:hAnsi="Times New Roman"/>
          <w:sz w:val="18"/>
          <w:szCs w:val="18"/>
          <w:color w:val="auto"/>
        </w:rPr>
        <w:t>— In June 2021, the Company purchased a $3.0 million convertible promissory note issued by Thirona Bio, Inc. (“Thirona”).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January 2022, the Company purchased an additional $5.0 million convertible promissory note issued by Thirona (the “Thirona convertible notes”). The Thirona convertible notes are general unsecured obligations of Thirona and initially accrued interest at a rate of 6% per annum. Unless earlier converted into conversion shares pursuant to the note purchase agreement, the aggregate principal of $8.0 million and accrued interest shall be due and payable by Thirona on demand by the Company at any time after the maturity date. The Thirona convertible notes were amended in February 2023 to extend the maturity date from December 31, 2022 to June 30, 2024, and again on June 27, 2024 to extend the maturity date to June 30, 2026 and increase the interest rate to 10% per annum.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3" w:name="page14"/>
    <w:bookmarkEnd w:id="13"/>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The Thirona convertible notes are classified as available-for-sale securities and included in other assets as of June 30, 2024 and prepaid expense and other current assets as of December 31, 2023 in the condensed consolidated balance sheets. The Company periodically assesses whether it has any intention to sell the investment, determines the fair value of its available-for-sale investment using level 3 inputs and assesses whether there were other-than-temporary impairments associated with the investment. Unrealized holding gains and losses are excluded from earnings and reported in other comprehensive income until realized, while unrealized losses related to credit risk are reported through earnings in the period incurred. In June 2021, the Company and Thirona also entered into a collaboration agreement to develop a compound for the treatment of fibrotic pulmonary diseases. See Note 9 – </w:t>
      </w:r>
      <w:r>
        <w:rPr>
          <w:rFonts w:ascii="Times New Roman" w:cs="Times New Roman" w:eastAsia="Times New Roman" w:hAnsi="Times New Roman"/>
          <w:sz w:val="18"/>
          <w:szCs w:val="18"/>
          <w:i w:val="1"/>
          <w:iCs w:val="1"/>
          <w:color w:val="auto"/>
        </w:rPr>
        <w:t>Collaboration, Licensing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Arrangements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Concentration of Credit Risk </w:t>
      </w:r>
      <w:r>
        <w:rPr>
          <w:rFonts w:ascii="Times New Roman" w:cs="Times New Roman" w:eastAsia="Times New Roman" w:hAnsi="Times New Roman"/>
          <w:sz w:val="17"/>
          <w:szCs w:val="17"/>
          <w:color w:val="auto"/>
        </w:rPr>
        <w:t>— Financial instruments that potentially subject the Company to concentration of credit risk consisted of cash and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equivalents and investments. Cash and cash equivalents are held in high credit quality institutions. Cash equivalents consisted of interest-bearing money market funds and U.S. Treasury securities with original or remaining maturities of 90 days or less at the time of purchase. Investments generally consisted of commercial paper, corporate notes or bonds and U.S. Treasury securities. The cash equivalents and investments are regularly monitored by management.</w:t>
      </w:r>
    </w:p>
    <w:p>
      <w:pPr>
        <w:spacing w:after="0" w:line="163"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Accounts Receivable and Allowance for Credit Losses </w:t>
      </w:r>
      <w:r>
        <w:rPr>
          <w:rFonts w:ascii="Times New Roman" w:cs="Times New Roman" w:eastAsia="Times New Roman" w:hAnsi="Times New Roman"/>
          <w:sz w:val="18"/>
          <w:szCs w:val="18"/>
          <w:color w:val="auto"/>
        </w:rPr>
        <w:t>— Accounts receivable are recorded at the invoiced amount and are not interest bearing.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Pre-Launch Inventory </w:t>
      </w:r>
      <w:r>
        <w:rPr>
          <w:rFonts w:ascii="Times New Roman" w:cs="Times New Roman" w:eastAsia="Times New Roman" w:hAnsi="Times New Roman"/>
          <w:sz w:val="18"/>
          <w:szCs w:val="18"/>
          <w:color w:val="auto"/>
        </w:rPr>
        <w:t>— An improvement to the manufacturing process for the Company’s primary excipient, fumaryl diketopiperazine (“FDKP”)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demonstrated to be viable and management expects to realize an economic benefit in the future as a result of such process improvement. Accordingly, the Company is required to assess whether to capitalize inventory costs related to such excipient prior to validation of the improved manufacturing process and adoption of the new supplier. In doing so, management must consider a number of factors in order to determine the amount of inventory to be capitalized, including the historical experience of modifying the Company’s manufacturing processes, feedback from technical experts and regulatory agencies on the changes being effected and the amount of inventory that is likely to be used in commercial production. The shelf life of the excipient will be determined as part of the validation process; in the interim, the Company must assess the available stability data to determine whether there is likely to be adequate shelf life to support anticipated future sales occurring beyond the expected adoption date of the new raw material. If management is aware of any specific material risks or contingencies other than the normal regulatory reporting process, or if the criteria for capitalizing inventory produced prior to regulatory approval are otherwise not met, the Company would not capitalize such inventory costs, choosing instead to recognize such costs as R&amp;D expense in the period incurred. See Note 4 – </w:t>
      </w:r>
      <w:r>
        <w:rPr>
          <w:rFonts w:ascii="Times New Roman" w:cs="Times New Roman" w:eastAsia="Times New Roman" w:hAnsi="Times New Roman"/>
          <w:sz w:val="18"/>
          <w:szCs w:val="18"/>
          <w:i w:val="1"/>
          <w:iCs w:val="1"/>
          <w:color w:val="auto"/>
        </w:rPr>
        <w:t>Inventories.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stated at the lower of cost or net realizable value. The Company determines the cost of inventory using the first-in, first-out,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FIFO, method. The Company capitalizes inventory costs associated with the Company’s products based on management’s judgment that future economic benefits are expected to be realized; otherwise, such costs are expensed as incurred as cost of goods sold. The Company uses a contract manufacturing organization outside of the U.S. for certain stages of V-Go inventory.</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5"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is recorded at historical cost, net of accumulated depreciation. Depreciation expense is recorded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assets’ useful lives on a straight-line basis and included in cost of goods sold, research and development, and general and administrative expense in the condensed consolidated statements of operations. See Note 5 – </w:t>
      </w: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Long-lived assets include property and equipment, operating lease right-of-use assets and other intangible assets.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evaluates long-lived assets for impairment whenever events or changes in circumstances indicate that the carrying value of an asset may not be recoverable. Assets are considered to be impaired if the carrying value is considered to be unrecoverable.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4" w:name="page15"/>
    <w:bookmarkEnd w:id="14"/>
    <w:p>
      <w:pPr>
        <w:ind w:right="20"/>
        <w:spacing w:after="0" w:line="265" w:lineRule="auto"/>
        <w:rPr>
          <w:sz w:val="20"/>
          <w:szCs w:val="20"/>
          <w:color w:val="auto"/>
        </w:rPr>
      </w:pPr>
      <w:r>
        <w:rPr>
          <w:rFonts w:ascii="Times New Roman" w:cs="Times New Roman" w:eastAsia="Times New Roman" w:hAnsi="Times New Roman"/>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The Company first determines whether a set of assets acquired constitute a business and should be accounted for as a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assets acquired do not constitute a business, the Company accounts for the transaction as an asset acquisition. Business combinations are accounted for by means of the acquisition method of accounting. Under the acquisition method, assets acquired, including in-process R&amp;D (“IPR&amp;D”) projects, and liabilities assumed are recorded at their respective fair values as of the acquisition date in the Company’s condensed consolidated financial statements. Leases are recorded at the net present value of the remaining lease payments. The excess of the fair value of consideration transferred over the fair value of the net assets acquired is recorded as goodwill.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w:t>
      </w:r>
    </w:p>
    <w:p>
      <w:pPr>
        <w:spacing w:after="0" w:line="18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w:t>
      </w:r>
    </w:p>
    <w:p>
      <w:pPr>
        <w:spacing w:after="0" w:line="180"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 </w:t>
      </w:r>
      <w:r>
        <w:rPr>
          <w:rFonts w:ascii="Times New Roman" w:cs="Times New Roman" w:eastAsia="Times New Roman" w:hAnsi="Times New Roman"/>
          <w:sz w:val="18"/>
          <w:szCs w:val="18"/>
          <w:color w:val="auto"/>
        </w:rPr>
        <w:t>The fair value of acquired intangible assets is determined using an income-based approach referred to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earnings method utilizing Level 3 fair value inputs. Market participant valuations assume a global view considering all potential jurisdictions and indications based on discounted after-tax cash flow projections, risk adjusted for estimated probability of technical and regulatory success.</w:t>
      </w:r>
    </w:p>
    <w:p>
      <w:pPr>
        <w:spacing w:after="0" w:line="17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spacing w:after="0" w:line="17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7"/>
          <w:szCs w:val="17"/>
          <w:color w:val="auto"/>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spacing w:after="0" w:line="164"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Recognized Loss on Purchase Commitments </w:t>
      </w:r>
      <w:r>
        <w:rPr>
          <w:rFonts w:ascii="Times New Roman" w:cs="Times New Roman" w:eastAsia="Times New Roman" w:hAnsi="Times New Roman"/>
          <w:sz w:val="18"/>
          <w:szCs w:val="18"/>
          <w:color w:val="auto"/>
        </w:rPr>
        <w:t>— The Company reviews the terms of the long-term supply agreements and assesses the need for any accrual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estimated losses, such as lower of cost or net realizable value, that will not be recovered by future product sales. The recognized loss on purchase commitments is reduced as inventory items are received or as the liability is extinguished.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In July 2013, in conjunction with the execution of a (now repaid) loan agreement with Deerfield Private Design Fund II,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SÀRL (the “Original Milestone Purchasers”). The foregoing milestone rights provided the Original Milestone Purchasers certain rights to receive payments of up to $90.0 million upon the occurrence of specified strategic and Afrezza sales milestones, $55.0 million of which remains payable as of June 30, 2024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obligations of the Original Milestone Purchasers and are now entitled to all rights under the Milestone Rights Agreement. The Milestone Rights liability is reported at fair value at the date of the agreement which is periodically offset against payments. See Note 10 –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15" w:name="page16"/>
    <w:bookmarkEnd w:id="15"/>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condensed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7 – </w:t>
      </w:r>
      <w:r>
        <w:rPr>
          <w:rFonts w:ascii="Times New Roman" w:cs="Times New Roman" w:eastAsia="Times New Roman" w:hAnsi="Times New Roman"/>
          <w:sz w:val="18"/>
          <w:szCs w:val="18"/>
          <w:i w:val="1"/>
          <w:iCs w:val="1"/>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and Other Current Liabilities </w:t>
      </w:r>
      <w:r>
        <w:rPr>
          <w:rFonts w:ascii="Times New Roman" w:cs="Times New Roman" w:eastAsia="Times New Roman" w:hAnsi="Times New Roman"/>
          <w:sz w:val="18"/>
          <w:szCs w:val="18"/>
          <w:color w:val="auto"/>
        </w:rPr>
        <w:t>and Note 14 –</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Company applies various valuation approaches in determining the fair value of its financial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520" w:right="180"/>
        <w:spacing w:after="0" w:line="281"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provisions for federal, foreign, state and local income taxes are calculated on pre-tax income based on current tax law and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The Company records a loss contingency for a liability when it is both probable that a liability has been incurred and the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Share-based payments to employees, including grants of restricted stock units (“RSUs”), performance-based non-qualified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awards (“PNQs”), restricted stock units with market conditions (“Market RSUs”), options and the compensatory elements of employee stock purchase plans, are recognized in the condensed consolidated statements of operations based upon the fair value of the awards at the grant date.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 The Company uses the Black-Scholes option valuation model to estimate the grant date fair value of employee stock options and the compensatory elements of employee stock purchase plans.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Income (Loss) Per Share of Common Stock </w:t>
      </w:r>
      <w:r>
        <w:rPr>
          <w:rFonts w:ascii="Times New Roman" w:cs="Times New Roman" w:eastAsia="Times New Roman" w:hAnsi="Times New Roman"/>
          <w:sz w:val="18"/>
          <w:szCs w:val="18"/>
          <w:color w:val="auto"/>
        </w:rPr>
        <w:t>— Basic net income or loss per share ("EPS") is calculated by dividing net income by the weighted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common shares outstanding for the period. Diluted EPS reflects the effect of potential common stock issuances resulting from assumed stock option exercises and vesting of restricted stock units, unless the effect is anti-dilutive, when applying the treasury stock method, as well as potential dilution under the if-converted method for convertible debt securities. For periods where the Company has presented a net loss, potentially dilutive securities are excluded from the computation of diluted EPS as they would be anti-dilutive.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6" w:name="page17"/>
    <w:bookmarkEnd w:id="16"/>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 In November 2023, the FASB issued ASU No. 2023-07,</w:t>
      </w:r>
      <w:r>
        <w:rPr>
          <w:rFonts w:ascii="Times New Roman" w:cs="Times New Roman" w:eastAsia="Times New Roman" w:hAnsi="Times New Roman"/>
          <w:sz w:val="18"/>
          <w:szCs w:val="18"/>
          <w:i w:val="1"/>
          <w:iCs w:val="1"/>
          <w:color w:val="auto"/>
        </w:rPr>
        <w:t xml:space="preserve"> Segment Reporting (Topic 280) - Improvements to Reportable Segment Disclosures, </w:t>
      </w:r>
      <w:r>
        <w:rPr>
          <w:rFonts w:ascii="Times New Roman" w:cs="Times New Roman" w:eastAsia="Times New Roman" w:hAnsi="Times New Roman"/>
          <w:sz w:val="18"/>
          <w:szCs w:val="18"/>
          <w:color w:val="auto"/>
        </w:rPr>
        <w:t>which requires incremental disclosure of segment information on an interim and annual basis. This ASU is effective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entities for fiscal years beginning after December 15, 2023, and interim periods within fiscal years beginning after December 15, 2024. Retrospective application to all prior periods presented in the financial statements is required for public entities. The Company believes this guidance will not have a material impact on its condensed consolidated financial statement disclosures.</w:t>
      </w:r>
    </w:p>
    <w:p>
      <w:pPr>
        <w:spacing w:after="0" w:line="1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This ASU requires disaggregated information about a public entity’s effective tax rate reconciliation as well as additional information on income taxes paid. This ASU is effective on a prospective basis for annual periods beginning after December 15, 2024. Early adoption is permitted for annual financial statements that have not yet been issued or made available for issuance. The Company is currently evaluating the impact of the guidance on its condensed consolidated financial statement disclosures.</w:t>
      </w:r>
    </w:p>
    <w:p>
      <w:pPr>
        <w:spacing w:after="0" w:line="184"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119"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Cash equivalents consist of highly liquid investments with original or remaining maturities of 90 days or less at the time of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readily convertible into cash.</w:t>
      </w:r>
    </w:p>
    <w:p>
      <w:pPr>
        <w:spacing w:after="0" w:line="15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Available-for-Sale Investment </w:t>
      </w:r>
      <w:r>
        <w:rPr>
          <w:rFonts w:ascii="Times New Roman" w:cs="Times New Roman" w:eastAsia="Times New Roman" w:hAnsi="Times New Roman"/>
          <w:sz w:val="17"/>
          <w:szCs w:val="17"/>
          <w:color w:val="auto"/>
        </w:rPr>
        <w:t>— The Company's investment in Thirona is comprised of two notes with aggregate face value of $8.0 million and stated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 rate of 10%. The Thirona convertible notes are classified as available-for-sale securities and are included in other assets as of June 30, 2024 and prepaid expenses and other current assets as of December 31, 2023 in the condensed consolidated balance sheets. Available-for-sale investments are measured at fair value with realized gains and losses reported in other income (expense) in the condensed consolidated statements of operations. Unrealized holding gains and losses are excluded from earnings and reported in other comprehensive income (loss) until realized. The Company determines the fair value of its available-for-sale investments using level 3 inputs and evaluates the fair value of its investment in Thirona by applying a scenario based method with a hypothetical yield of 33.0% and 35.0%, and volatility of 75.0% and 90.0% at June 30, 2024 and December 31, 2023, respectively. As of June 30, 2024 and December 31, 2023, the fair value of the Company's investment in Thirona was $5.3 million and $6.9 million, respectively. For the three and six months ended June 30, 2024, the Company recognized a loss of $1.6 million on its investment in Thirona as a result of modification of the Thirona convertible notes. For the three and six months ended June 30, 2023, the Company recognized a gain of $0.9 million on its investment in Thirona as a result of the recovery of a temporary impairment and an unrealized holding gain of $0.4 million. For the three and six months ended June 30, 2024, the Company recognized no interest income on investment and $0.1 million and $0.2 million for the three and six months ended June 30, 2023, respectively.</w:t>
      </w:r>
    </w:p>
    <w:p>
      <w:pPr>
        <w:spacing w:after="0" w:line="17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Held-to-Maturity Investments </w:t>
      </w:r>
      <w:r>
        <w:rPr>
          <w:rFonts w:ascii="Times New Roman" w:cs="Times New Roman" w:eastAsia="Times New Roman" w:hAnsi="Times New Roman"/>
          <w:sz w:val="18"/>
          <w:szCs w:val="18"/>
          <w:color w:val="auto"/>
        </w:rPr>
        <w:t>— Investments consist of highly liquid investments that are intended to facilitate liquidity and capital preservation.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or accretion of the Company’s investments is recognized in the condensed consolidated statements of operations as interest income. For the three and six months ended June 30, 2024, the Company recognized $3.2 million and $6.6 million, respectively, of interest income on investments, of which $2.0 million and $3.8 million, respectively, was net accretion on certain investments. For the three and six months ended June 30, 2023, the Company recognized $1.4 million and $2.6 million, respectively, of interest income on investments, of which $0.4 million and $0.4 million, respectively, was net accretion on certain investments. No allowance for credit losses on held-to-maturity securities was required as of June 30, 2024 or December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 Company’s held-to-maturity investments are summarized below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31"/>
        </w:trPr>
        <w:tc>
          <w:tcPr>
            <w:tcW w:w="46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319"/>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99"/>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4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468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Due in one year or less</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231,331</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231,446</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115,263</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115,374</w:t>
            </w:r>
          </w:p>
        </w:tc>
        <w:tc>
          <w:tcPr>
            <w:tcW w:w="100" w:type="dxa"/>
            <w:vAlign w:val="bottom"/>
            <w:shd w:val="clear" w:color="auto" w:fill="CFF0FC"/>
          </w:tcPr>
          <w:p>
            <w:pPr>
              <w:spacing w:after="0"/>
              <w:rPr>
                <w:sz w:val="20"/>
                <w:szCs w:val="20"/>
                <w:color w:val="auto"/>
              </w:rPr>
            </w:pPr>
          </w:p>
        </w:tc>
      </w:tr>
      <w:tr>
        <w:trPr>
          <w:trHeight w:val="26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00" w:type="dxa"/>
            <w:vAlign w:val="bottom"/>
          </w:tcPr>
          <w:p>
            <w:pPr>
              <w:spacing w:after="0"/>
              <w:rPr>
                <w:sz w:val="22"/>
                <w:szCs w:val="22"/>
                <w:color w:val="auto"/>
              </w:rPr>
            </w:pPr>
          </w:p>
        </w:tc>
      </w:tr>
      <w:tr>
        <w:trPr>
          <w:trHeight w:val="221"/>
        </w:trPr>
        <w:tc>
          <w:tcPr>
            <w:tcW w:w="4680" w:type="dxa"/>
            <w:vAlign w:val="bottom"/>
          </w:tcPr>
          <w:p>
            <w:pPr>
              <w:ind w:left="3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244,729</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244,924</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122,418</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10"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The investments due in one year or less include cash equivalents of $80.2 million as of June 30, 2024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$58.6 million as of December 31, 2023.</w:t>
      </w:r>
    </w:p>
    <w:p>
      <w:pPr>
        <w:spacing w:after="0" w:line="216" w:lineRule="exact"/>
        <w:rPr>
          <w:rFonts w:ascii="Times New Roman" w:cs="Times New Roman" w:eastAsia="Times New Roman" w:hAnsi="Times New Roman"/>
          <w:sz w:val="13"/>
          <w:szCs w:val="13"/>
          <w:color w:val="auto"/>
        </w:rPr>
      </w:pPr>
    </w:p>
    <w:p>
      <w:pPr>
        <w:ind w:left="55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fair value of the cash equivalents, long-term and short-term investments are disclosed below (dollars 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 and other</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16,775</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175,130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cash equivalents</w:t>
            </w: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(80,213 )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(80,213 )</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Investments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69,611</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cash equivalents</w:t>
            </w: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(58,644 )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(58,644 )</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Investments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-2242820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-2242820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-2242820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-2242820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-1925955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-1925955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-1925955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-504825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-504825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-504825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-187960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-187960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-187960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As of June 30, 2024 and December 31, 2023, there was $0.8 million and $0.5 million, respectively, of accrued interest receivable on investments which is included in prepaid expense and other current assets in our condensed consolidated balance sheets.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 commercial</w:t>
            </w: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Wholesaler distribution fees and prompt pay discounts</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(3,750 )</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(2,469 )</w:t>
            </w: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 for returns</w:t>
            </w:r>
          </w:p>
        </w:tc>
        <w:tc>
          <w:tcPr>
            <w:tcW w:w="2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(6,798 )</w:t>
            </w:r>
          </w:p>
        </w:tc>
        <w:tc>
          <w:tcPr>
            <w:tcW w:w="16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(6,215 )</w:t>
            </w: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(157 )</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(157 )</w:t>
            </w:r>
          </w:p>
        </w:tc>
      </w:tr>
      <w:tr>
        <w:trPr>
          <w:trHeight w:val="236"/>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accounts receivable – commercial, net</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 collaborations and services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2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shd w:val="clear" w:color="auto" w:fill="CFF0FC"/>
          </w:tcPr>
          <w:p>
            <w:pPr>
              <w:spacing w:after="0"/>
              <w:rPr>
                <w:sz w:val="21"/>
                <w:szCs w:val="21"/>
                <w:color w:val="auto"/>
              </w:rPr>
            </w:pPr>
          </w:p>
        </w:tc>
      </w:tr>
      <w:tr>
        <w:trPr>
          <w:trHeight w:val="232"/>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23,346</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-504825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80"/>
        <w:spacing w:after="0" w:line="288" w:lineRule="auto"/>
        <w:rPr>
          <w:sz w:val="20"/>
          <w:szCs w:val="20"/>
          <w:color w:val="auto"/>
        </w:rPr>
      </w:pPr>
      <w:r>
        <w:rPr>
          <w:rFonts w:ascii="Times New Roman" w:cs="Times New Roman" w:eastAsia="Times New Roman" w:hAnsi="Times New Roman"/>
          <w:sz w:val="17"/>
          <w:szCs w:val="17"/>
          <w:color w:val="auto"/>
        </w:rPr>
        <w:t>As of June 30, 2024 and December 31, 2023, the allowance for credit losses and doubtful accounts for commercial accounts receivable of $0.2 million was related to accounts receivable for Zealand Pharma US, Inc. As of June 30, 2024, the Company had three wholesale distributors representing approximately 84% of commercial accounts receivable and 71% and 70% of gross sales during the three and six months ended June 30, 2024, respectively.</w:t>
      </w:r>
    </w:p>
    <w:p>
      <w:pPr>
        <w:spacing w:after="0" w:line="15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As of June 30, 2024 and December 31, 2023, there was no allowance for credit losses for accounts receivable for collaborations and services. The Company had one collaboration partner, UT, that comprised 100% of the collaboration and services net accounts receivable as of June 30, 2024 and December 31, 2023 and approximately 100% of gross revenue from collaborations and services for the three and six months ended June 30, 2024.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28,545</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Work-in-process and finished goods as of June 30, 2024 and December 31, 2023 include conversion costs and exclude the cost of insulin. All insulin inventory on hand was written off and the projected loss on the purchase commitment contract to purchase future insulin was accrued as of the end of 2016. Raw materials inventory included $0.8 million of pre-launch inventory as of June 30, 2024 and December 31, 2023, which consisted of FDKP received in November 2019.</w:t>
      </w:r>
    </w:p>
    <w:p>
      <w:pPr>
        <w:spacing w:after="0" w:line="1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as of June 30, 2024 and December 31, 2023. Inventory that did not meet acceptable standards or was forecasted to become obsolete due to expiration is reserved for inventory obsolescence in the condensed consolidated balance sheets and recorded in costs of goods sold in the condensed consolidated statements of operations. As a result of these assessments there were inventory write-offs of $0.6 million and $1.6 million for the three and six months ended June 30, 2024, respectively, and $1.0 million and $3.4 million for the three and six months ended June 30, 2023,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5200" w:type="dxa"/>
            <w:vAlign w:val="bottom"/>
          </w:tcPr>
          <w:p>
            <w:pPr>
              <w:spacing w:after="0"/>
              <w:rPr>
                <w:sz w:val="19"/>
                <w:szCs w:val="19"/>
                <w:color w:val="auto"/>
              </w:rPr>
            </w:pPr>
          </w:p>
        </w:tc>
        <w:tc>
          <w:tcPr>
            <w:tcW w:w="18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9"/>
                <w:szCs w:val="19"/>
                <w:color w:val="auto"/>
              </w:rPr>
            </w:pPr>
          </w:p>
        </w:tc>
      </w:tr>
      <w:tr>
        <w:trPr>
          <w:trHeight w:val="23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20"/>
                <w:szCs w:val="20"/>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00" w:type="dxa"/>
            <w:vAlign w:val="bottom"/>
          </w:tcPr>
          <w:p>
            <w:pPr>
              <w:spacing w:after="0"/>
              <w:rPr>
                <w:sz w:val="20"/>
                <w:szCs w:val="20"/>
                <w:color w:val="auto"/>
              </w:rPr>
            </w:pPr>
          </w:p>
        </w:tc>
      </w:tr>
      <w:tr>
        <w:trPr>
          <w:trHeight w:val="247"/>
        </w:trPr>
        <w:tc>
          <w:tcPr>
            <w:tcW w:w="52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Building improvements</w:t>
            </w:r>
            <w:r>
              <w:rPr>
                <w:rFonts w:ascii="Times New Roman" w:cs="Times New Roman" w:eastAsia="Times New Roman" w:hAnsi="Times New Roman"/>
                <w:sz w:val="24"/>
                <w:szCs w:val="24"/>
                <w:color w:val="auto"/>
                <w:vertAlign w:val="superscript"/>
              </w:rPr>
              <w:t>(1)</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89,886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46,357</w:t>
            </w:r>
          </w:p>
        </w:tc>
        <w:tc>
          <w:tcPr>
            <w:tcW w:w="100" w:type="dxa"/>
            <w:vAlign w:val="bottom"/>
            <w:shd w:val="clear" w:color="auto" w:fill="CFF0FC"/>
          </w:tcPr>
          <w:p>
            <w:pPr>
              <w:spacing w:after="0"/>
              <w:rPr>
                <w:sz w:val="21"/>
                <w:szCs w:val="21"/>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60,410</w:t>
            </w:r>
          </w:p>
        </w:tc>
        <w:tc>
          <w:tcPr>
            <w:tcW w:w="100" w:type="dxa"/>
            <w:vAlign w:val="bottom"/>
          </w:tcPr>
          <w:p>
            <w:pPr>
              <w:spacing w:after="0"/>
              <w:rPr>
                <w:sz w:val="20"/>
                <w:szCs w:val="20"/>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shd w:val="clear" w:color="auto" w:fill="CFF0FC"/>
          </w:tcPr>
          <w:p>
            <w:pPr>
              <w:spacing w:after="0"/>
              <w:rPr>
                <w:sz w:val="21"/>
                <w:szCs w:val="21"/>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100" w:type="dxa"/>
            <w:vAlign w:val="bottom"/>
          </w:tcPr>
          <w:p>
            <w:pPr>
              <w:spacing w:after="0"/>
              <w:rPr>
                <w:sz w:val="20"/>
                <w:szCs w:val="20"/>
                <w:color w:val="auto"/>
              </w:rPr>
            </w:pPr>
          </w:p>
        </w:tc>
      </w:tr>
      <w:tr>
        <w:trPr>
          <w:trHeight w:val="247"/>
        </w:trPr>
        <w:tc>
          <w:tcPr>
            <w:tcW w:w="5200" w:type="dxa"/>
            <w:vAlign w:val="bottom"/>
            <w:tcBorders>
              <w:bottom w:val="single" w:sz="8" w:color="CFF0FC"/>
            </w:tcBorders>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Construction in progress</w:t>
            </w:r>
            <w:r>
              <w:rPr>
                <w:rFonts w:ascii="Times New Roman" w:cs="Times New Roman" w:eastAsia="Times New Roman" w:hAnsi="Times New Roman"/>
                <w:sz w:val="24"/>
                <w:szCs w:val="24"/>
                <w:color w:val="auto"/>
                <w:vertAlign w:val="superscript"/>
              </w:rPr>
              <w:t>(1)</w:t>
            </w:r>
          </w:p>
        </w:tc>
        <w:tc>
          <w:tcPr>
            <w:tcW w:w="1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189,679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185,756</w:t>
            </w:r>
          </w:p>
        </w:tc>
        <w:tc>
          <w:tcPr>
            <w:tcW w:w="100" w:type="dxa"/>
            <w:vAlign w:val="bottom"/>
          </w:tcPr>
          <w:p>
            <w:pPr>
              <w:spacing w:after="0"/>
              <w:rPr>
                <w:sz w:val="20"/>
                <w:szCs w:val="20"/>
                <w:color w:val="auto"/>
              </w:rPr>
            </w:pPr>
          </w:p>
        </w:tc>
      </w:tr>
      <w:tr>
        <w:trPr>
          <w:trHeight w:val="243"/>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(104,535 )</w:t>
            </w:r>
          </w:p>
        </w:tc>
        <w:tc>
          <w:tcPr>
            <w:tcW w:w="2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(101,536 )</w:t>
            </w:r>
          </w:p>
        </w:tc>
      </w:tr>
      <w:tr>
        <w:trPr>
          <w:trHeight w:val="232"/>
        </w:trPr>
        <w:tc>
          <w:tcPr>
            <w:tcW w:w="52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4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85,144</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84,220</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5775960</wp:posOffset>
            </wp:positionH>
            <wp:positionV relativeFrom="paragraph">
              <wp:posOffset>-473710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-473710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-156845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5715</wp:posOffset>
            </wp:positionV>
            <wp:extent cx="24149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-79375</wp:posOffset>
            </wp:positionV>
            <wp:extent cx="24149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ind w:left="380" w:hanging="372"/>
        <w:spacing w:after="0" w:line="274" w:lineRule="auto"/>
        <w:tabs>
          <w:tab w:leader="none" w:pos="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During the six months ended June 30, 2024, the Company transferred $43.4 million from construction in progress to building improvements for assets placed in service related to the expansion of the Company's manufacturing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property and equipment was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FF0FC"/>
          </w:tcPr>
          <w:p>
            <w:pPr>
              <w:spacing w:after="0"/>
              <w:rPr>
                <w:sz w:val="20"/>
                <w:szCs w:val="20"/>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each of the three and six months ended June 30, 2024, the Company retired $0.1 million of manufacturing equipment as it was no longer in service.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net book value for the disposed assets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There were no asset retirements during the three and six months ended June 30,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w:t>
      </w:r>
    </w:p>
    <w:p>
      <w:pPr>
        <w:spacing w:after="0" w:line="11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Goodwill </w:t>
      </w:r>
      <w:r>
        <w:rPr>
          <w:rFonts w:ascii="Times New Roman" w:cs="Times New Roman" w:eastAsia="Times New Roman" w:hAnsi="Times New Roman"/>
          <w:sz w:val="17"/>
          <w:szCs w:val="17"/>
          <w:color w:val="auto"/>
        </w:rPr>
        <w:t>— Goodwill represents the excess of the purchase price over the identifiable tangible and intangible assets acquired plus liabilities assumed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arising from business combinations. The balance of goodwill was $1.9 million as of June 30, 2024 and December 31, 2023 as a result of the Company's acquisition of V-Go in May 2022. Goodwill is tested at least annually for impairment by assessing qualitative factors in determining whether it is more likely than not that the fair value of net assets is below their carrying amounts. See Note 1 – </w:t>
      </w:r>
      <w:r>
        <w:rPr>
          <w:rFonts w:ascii="Times New Roman" w:cs="Times New Roman" w:eastAsia="Times New Roman" w:hAnsi="Times New Roman"/>
          <w:sz w:val="17"/>
          <w:szCs w:val="17"/>
          <w:i w:val="1"/>
          <w:iCs w:val="1"/>
          <w:color w:val="auto"/>
        </w:rPr>
        <w:t>Description of Business and Significant Accounting Policies</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 xml:space="preserve">Other Intangible Asset </w:t>
      </w:r>
      <w:r>
        <w:rPr>
          <w:rFonts w:ascii="Times New Roman" w:cs="Times New Roman" w:eastAsia="Times New Roman" w:hAnsi="Times New Roman"/>
          <w:sz w:val="18"/>
          <w:szCs w:val="18"/>
          <w:color w:val="auto"/>
        </w:rPr>
        <w:t>— Other intangible asset consisted of the following (dollars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12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24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1"/>
                <w:szCs w:val="11"/>
                <w:color w:val="auto"/>
              </w:rPr>
            </w:pPr>
          </w:p>
        </w:tc>
        <w:tc>
          <w:tcPr>
            <w:tcW w:w="1340" w:type="dxa"/>
            <w:vAlign w:val="bottom"/>
            <w:gridSpan w:val="4"/>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1"/>
                <w:szCs w:val="11"/>
                <w:color w:val="auto"/>
              </w:rPr>
            </w:pPr>
          </w:p>
        </w:tc>
        <w:tc>
          <w:tcPr>
            <w:tcW w:w="1300" w:type="dxa"/>
            <w:vAlign w:val="bottom"/>
            <w:gridSpan w:val="4"/>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tcPr>
          <w:p>
            <w:pPr>
              <w:jc w:val="center"/>
              <w:ind w:right="102"/>
              <w:spacing w:after="0" w:line="131"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6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(167 )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5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(127 )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Amortization expense related to the other intangible asset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for the three and six months ended June 30, 2024 and 2023.</w:t>
      </w:r>
    </w:p>
    <w:p>
      <w:pPr>
        <w:spacing w:after="0" w:line="22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estimated annual amortization expense for the other intangible asset for the years ended December 31, 2024 through 2028 will be approximately $0.1 million per year and $0.6 million, thereafter.</w:t>
      </w:r>
    </w:p>
    <w:p>
      <w:pPr>
        <w:spacing w:after="0" w:line="16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 xml:space="preserve">The Company evaluates its other intangible asset for potential impairment when events or changes in circumstances indicate that the carrying amount of an asset or asset group may not be recoverable.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were comprised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Discounts and allowances for commercial product sales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Accrued interest</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lease liability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Current portion of milestone rights liability</w:t>
            </w:r>
            <w:r>
              <w:rPr>
                <w:rFonts w:ascii="Times New Roman" w:cs="Times New Roman" w:eastAsia="Times New Roman" w:hAnsi="Times New Roman"/>
                <w:sz w:val="24"/>
                <w:szCs w:val="24"/>
                <w:color w:val="auto"/>
                <w:vertAlign w:val="superscript"/>
              </w:rPr>
              <w:t>(2)</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Returns reserve for acquired product</w:t>
            </w:r>
            <w:r>
              <w:rPr>
                <w:rFonts w:ascii="Times New Roman" w:cs="Times New Roman" w:eastAsia="Times New Roman" w:hAnsi="Times New Roman"/>
                <w:sz w:val="24"/>
                <w:szCs w:val="24"/>
                <w:color w:val="auto"/>
                <w:vertAlign w:val="superscript"/>
              </w:rPr>
              <w:t>(3)</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liability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40,952</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-156845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5715</wp:posOffset>
            </wp:positionV>
            <wp:extent cx="21748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7487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-79375</wp:posOffset>
            </wp:positionV>
            <wp:extent cx="21748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74875" cy="8255"/>
                    </a:xfrm>
                    <a:prstGeom prst="rect">
                      <a:avLst/>
                    </a:prstGeom>
                    <a:noFill/>
                  </pic:spPr>
                </pic:pic>
              </a:graphicData>
            </a:graphic>
          </wp:anchor>
        </w:drawing>
      </w:r>
    </w:p>
    <w:p>
      <w:pPr>
        <w:ind w:left="380" w:right="540" w:hanging="372"/>
        <w:spacing w:after="0" w:line="268" w:lineRule="auto"/>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As of June 30, 2024, accrued interest includes $4.2 million related to a milestone payment of $5.0 million to be paid in the third quarter of 2024. See Note 14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Commitments and Contingencies </w:t>
      </w:r>
      <w:r>
        <w:rPr>
          <w:rFonts w:ascii="Times New Roman" w:cs="Times New Roman" w:eastAsia="Times New Roman" w:hAnsi="Times New Roman"/>
          <w:sz w:val="16"/>
          <w:szCs w:val="16"/>
          <w:color w:val="auto"/>
        </w:rPr>
        <w:t>under</w:t>
      </w:r>
      <w:r>
        <w:rPr>
          <w:rFonts w:ascii="Times New Roman" w:cs="Times New Roman" w:eastAsia="Times New Roman" w:hAnsi="Times New Roman"/>
          <w:sz w:val="16"/>
          <w:szCs w:val="16"/>
          <w:i w:val="1"/>
          <w:iCs w:val="1"/>
          <w:color w:val="auto"/>
        </w:rPr>
        <w:t xml:space="preserve"> Milestone Rights</w:t>
      </w:r>
      <w:r>
        <w:rPr>
          <w:rFonts w:ascii="Times New Roman" w:cs="Times New Roman" w:eastAsia="Times New Roman" w:hAnsi="Times New Roman"/>
          <w:sz w:val="16"/>
          <w:szCs w:val="16"/>
          <w:color w:val="auto"/>
        </w:rPr>
        <w:t>.</w:t>
      </w:r>
    </w:p>
    <w:p>
      <w:pPr>
        <w:ind w:left="380" w:right="360" w:hanging="372"/>
        <w:spacing w:after="0" w:line="263" w:lineRule="auto"/>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As of June 30, 2024, the current portion of milestone rights liability includes $0.8 million to be paid in the third quarter of 2024 and $0.6 million reclassified from long-term to short-term milestone right liability.</w:t>
      </w:r>
    </w:p>
    <w:p>
      <w:pPr>
        <w:spacing w:after="0" w:line="1"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See Note 14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under </w:t>
      </w:r>
      <w:r>
        <w:rPr>
          <w:rFonts w:ascii="Times New Roman" w:cs="Times New Roman" w:eastAsia="Times New Roman" w:hAnsi="Times New Roman"/>
          <w:sz w:val="16"/>
          <w:szCs w:val="16"/>
          <w:i w:val="1"/>
          <w:iCs w:val="1"/>
          <w:color w:val="auto"/>
        </w:rPr>
        <w:t>Loss Contingencies — Returns Reserve for Acquired Product.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Borrowings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amount of the Company's borrowings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convertible notes</w:t>
            </w:r>
          </w:p>
        </w:tc>
        <w:tc>
          <w:tcPr>
            <w:tcW w:w="3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227,577</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MidCap credit facility</w:t>
            </w: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Mann Group convertible note</w:t>
            </w:r>
          </w:p>
        </w:tc>
        <w:tc>
          <w:tcPr>
            <w:tcW w:w="36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debt – net carrying amount</w:t>
            </w:r>
          </w:p>
        </w:tc>
        <w:tc>
          <w:tcPr>
            <w:tcW w:w="3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227,577</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66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40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04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-1086485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principal balance of debt and key terms: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Terms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Annual Interest</w:t>
            </w:r>
          </w:p>
        </w:tc>
        <w:tc>
          <w:tcPr>
            <w:tcW w:w="20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8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0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4"/>
        </w:trPr>
        <w:tc>
          <w:tcPr>
            <w:tcW w:w="48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Senior convertible notes</w:t>
            </w:r>
          </w:p>
        </w:tc>
        <w:tc>
          <w:tcPr>
            <w:tcW w:w="1140" w:type="dxa"/>
            <w:vAlign w:val="bottom"/>
            <w:gridSpan w:val="2"/>
            <w:shd w:val="clear" w:color="auto" w:fill="CFF0FC"/>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$230.0 million</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$230.0 million</w:t>
            </w:r>
          </w:p>
        </w:tc>
        <w:tc>
          <w:tcPr>
            <w:tcW w:w="1260" w:type="dxa"/>
            <w:vAlign w:val="bottom"/>
            <w:gridSpan w:val="2"/>
            <w:shd w:val="clear" w:color="auto" w:fill="CFF0FC"/>
          </w:tcPr>
          <w:p>
            <w:pPr>
              <w:jc w:val="center"/>
              <w:ind w:left="30"/>
              <w:spacing w:after="0" w:line="204" w:lineRule="exact"/>
              <w:rPr>
                <w:sz w:val="20"/>
                <w:szCs w:val="20"/>
                <w:color w:val="auto"/>
              </w:rPr>
            </w:pPr>
            <w:r>
              <w:rPr>
                <w:rFonts w:ascii="Times New Roman" w:cs="Times New Roman" w:eastAsia="Times New Roman" w:hAnsi="Times New Roman"/>
                <w:sz w:val="18"/>
                <w:szCs w:val="18"/>
                <w:color w:val="auto"/>
                <w:w w:val="98"/>
              </w:rPr>
              <w:t>2.50%</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center"/>
              <w:spacing w:after="0" w:line="204" w:lineRule="exact"/>
              <w:rPr>
                <w:sz w:val="20"/>
                <w:szCs w:val="20"/>
                <w:color w:val="auto"/>
              </w:rPr>
            </w:pPr>
            <w:r>
              <w:rPr>
                <w:rFonts w:ascii="Times New Roman" w:cs="Times New Roman" w:eastAsia="Times New Roman" w:hAnsi="Times New Roman"/>
                <w:sz w:val="18"/>
                <w:szCs w:val="18"/>
                <w:color w:val="auto"/>
              </w:rPr>
              <w:t>March 2026</w:t>
            </w:r>
          </w:p>
        </w:tc>
        <w:tc>
          <w:tcPr>
            <w:tcW w:w="1260" w:type="dxa"/>
            <w:vAlign w:val="bottom"/>
            <w:gridSpan w:val="2"/>
            <w:shd w:val="clear" w:color="auto" w:fill="CFF0FC"/>
          </w:tcPr>
          <w:p>
            <w:pPr>
              <w:jc w:val="center"/>
              <w:ind w:left="50"/>
              <w:spacing w:after="0" w:line="204" w:lineRule="exact"/>
              <w:rPr>
                <w:sz w:val="20"/>
                <w:szCs w:val="20"/>
                <w:color w:val="auto"/>
              </w:rPr>
            </w:pPr>
            <w:r>
              <w:rPr>
                <w:rFonts w:ascii="Times New Roman" w:cs="Times New Roman" w:eastAsia="Times New Roman" w:hAnsi="Times New Roman"/>
                <w:sz w:val="18"/>
                <w:szCs w:val="18"/>
                <w:color w:val="auto"/>
                <w:w w:val="98"/>
              </w:rPr>
              <w:t>$5.21</w:t>
            </w:r>
          </w:p>
        </w:tc>
        <w:tc>
          <w:tcPr>
            <w:tcW w:w="0" w:type="dxa"/>
            <w:vAlign w:val="bottom"/>
          </w:tcPr>
          <w:p>
            <w:pPr>
              <w:spacing w:after="0"/>
              <w:rPr>
                <w:sz w:val="1"/>
                <w:szCs w:val="1"/>
                <w:color w:val="auto"/>
              </w:rPr>
            </w:pPr>
          </w:p>
        </w:tc>
      </w:tr>
      <w:tr>
        <w:trPr>
          <w:trHeight w:val="248"/>
        </w:trPr>
        <w:tc>
          <w:tcPr>
            <w:tcW w:w="4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0" w:type="dxa"/>
            <w:vAlign w:val="bottom"/>
          </w:tcPr>
          <w:p>
            <w:pPr>
              <w:spacing w:after="0"/>
              <w:rPr>
                <w:sz w:val="1"/>
                <w:szCs w:val="1"/>
                <w:color w:val="auto"/>
              </w:rPr>
            </w:pPr>
          </w:p>
        </w:tc>
      </w:tr>
      <w:tr>
        <w:trPr>
          <w:trHeight w:val="211"/>
        </w:trPr>
        <w:tc>
          <w:tcPr>
            <w:tcW w:w="4840" w:type="dxa"/>
            <w:vAlign w:val="bottom"/>
          </w:tcPr>
          <w:p>
            <w:pPr>
              <w:ind w:left="20"/>
              <w:spacing w:after="0" w:line="211" w:lineRule="exact"/>
              <w:rPr>
                <w:sz w:val="20"/>
                <w:szCs w:val="20"/>
                <w:color w:val="auto"/>
              </w:rPr>
            </w:pPr>
            <w:r>
              <w:rPr>
                <w:rFonts w:ascii="Times New Roman" w:cs="Times New Roman" w:eastAsia="Times New Roman" w:hAnsi="Times New Roman"/>
                <w:sz w:val="18"/>
                <w:szCs w:val="18"/>
                <w:color w:val="auto"/>
              </w:rPr>
              <w:t>MidCap credit facility</w:t>
            </w:r>
            <w:r>
              <w:rPr>
                <w:rFonts w:ascii="Times New Roman" w:cs="Times New Roman" w:eastAsia="Times New Roman" w:hAnsi="Times New Roman"/>
                <w:sz w:val="24"/>
                <w:szCs w:val="24"/>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 million</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one-month</w:t>
            </w: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2025</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SOFR</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floor)</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plus 6.25%;</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Mann Group convertible note</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 of 8.25%</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 million</w:t>
            </w:r>
          </w:p>
        </w:tc>
        <w:tc>
          <w:tcPr>
            <w:tcW w:w="1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2.50%</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w:t>
            </w:r>
          </w:p>
        </w:tc>
        <w:tc>
          <w:tcPr>
            <w:tcW w:w="12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$2.50</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2025</w:t>
            </w:r>
          </w:p>
        </w:tc>
        <w:tc>
          <w:tcPr>
            <w:tcW w:w="1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90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2"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Repaid on April 1, 2024.</w:t>
      </w:r>
    </w:p>
    <w:p>
      <w:pPr>
        <w:spacing w:after="0" w:line="8"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Repaid on April 2,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the Company’s borrowings as of June 30, 2024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5"/>
        </w:trPr>
        <w:tc>
          <w:tcPr>
            <w:tcW w:w="9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shd w:val="clear" w:color="auto" w:fill="CFF0FC"/>
          </w:tcPr>
          <w:p>
            <w:pPr>
              <w:spacing w:after="0"/>
              <w:rPr>
                <w:sz w:val="21"/>
                <w:szCs w:val="21"/>
                <w:color w:val="auto"/>
              </w:rPr>
            </w:pPr>
          </w:p>
        </w:tc>
      </w:tr>
      <w:tr>
        <w:trPr>
          <w:trHeight w:val="232"/>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principal payments</w:t>
            </w:r>
          </w:p>
        </w:tc>
        <w:tc>
          <w:tcPr>
            <w:tcW w:w="3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Pr>
          <w:p>
            <w:pPr>
              <w:spacing w:after="0"/>
              <w:rPr>
                <w:sz w:val="20"/>
                <w:szCs w:val="20"/>
                <w:color w:val="auto"/>
              </w:rPr>
            </w:pPr>
          </w:p>
        </w:tc>
      </w:t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(2,423 )</w:t>
            </w:r>
          </w:p>
        </w:tc>
      </w:tr>
      <w:tr>
        <w:trPr>
          <w:trHeight w:val="236"/>
        </w:trPr>
        <w:tc>
          <w:tcPr>
            <w:tcW w:w="9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227,577</w:t>
            </w:r>
          </w:p>
        </w:tc>
        <w:tc>
          <w:tcPr>
            <w:tcW w:w="100" w:type="dxa"/>
            <w:vAlign w:val="bottom"/>
            <w:tcBorders>
              <w:top w:val="single" w:sz="8" w:color="CFF0FC"/>
            </w:tcBorders>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Senior convertible notes </w:t>
      </w:r>
      <w:r>
        <w:rPr>
          <w:rFonts w:ascii="Times New Roman" w:cs="Times New Roman" w:eastAsia="Times New Roman" w:hAnsi="Times New Roman"/>
          <w:sz w:val="18"/>
          <w:szCs w:val="18"/>
          <w:color w:val="auto"/>
        </w:rPr>
        <w:t>– In March 2021, the Company issued $230.0 million aggregate principal amount of Senior convertible notes in a private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Senior convertible notes were issued pursuant to an indenture, dated March 4, 2021 (the “Indenture”), between the Company and U.S. Bank National Association, as trustee.</w:t>
      </w:r>
    </w:p>
    <w:p>
      <w:pPr>
        <w:spacing w:after="0" w:line="1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Senior convertible notes are general unsecured obligations of the Company and will mature on March 1, 2026, unless earlier converted, redeemed or repurchased by the Company. The Senior convertible notes will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w:t>
      </w:r>
    </w:p>
    <w:p>
      <w:pPr>
        <w:spacing w:after="0" w:line="19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initial conversion rate is 191.8281 shares of common stock per $1,000 principal amount of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Notes called for redemption during the related redemption period (as defined in the Indenture), as the case may be.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1" w:name="page22"/>
    <w:bookmarkEnd w:id="21"/>
    <w:p>
      <w:pPr>
        <w:spacing w:after="0" w:line="254" w:lineRule="auto"/>
        <w:rPr>
          <w:sz w:val="20"/>
          <w:szCs w:val="20"/>
          <w:color w:val="auto"/>
        </w:rPr>
      </w:pPr>
      <w:r>
        <w:rPr>
          <w:rFonts w:ascii="Times New Roman" w:cs="Times New Roman" w:eastAsia="Times New Roman" w:hAnsi="Times New Roman"/>
          <w:sz w:val="18"/>
          <w:szCs w:val="18"/>
          <w:color w:val="auto"/>
        </w:rPr>
        <w:t>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spacing w:after="0" w:line="18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Senior convertible notes to be repurchased, plus accrued and unpaid interest to, but excluding, the fundamental change repurchase date.</w:t>
      </w:r>
    </w:p>
    <w:p>
      <w:pPr>
        <w:spacing w:after="0" w:line="18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Indenture includes customary covenants and sets forth certain events of default after which the Senior convertible notes may be declared immediately due and payable.</w:t>
      </w:r>
    </w:p>
    <w:p>
      <w:pPr>
        <w:spacing w:after="0" w:line="1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spacing w:after="0" w:line="186"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The Company’s net proceeds from the March 2021 offering were approximately $222.7 million, after deducting the initial purchasers’ discounts and commissions and the estimated offering expenses payable by the Company. As of June 30, 2024 and December 31, 2023, the unamortized debt issuance cost was $2.4 million and $3.1 million, respectively.</w:t>
      </w:r>
    </w:p>
    <w:p>
      <w:pPr>
        <w:spacing w:after="0" w:line="175"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MidCap credit facility </w:t>
      </w:r>
      <w:r>
        <w:rPr>
          <w:rFonts w:ascii="Times New Roman" w:cs="Times New Roman" w:eastAsia="Times New Roman" w:hAnsi="Times New Roman"/>
          <w:sz w:val="18"/>
          <w:szCs w:val="18"/>
          <w:color w:val="auto"/>
        </w:rPr>
        <w:t>— In August 2019, the Company entered into the MidCap credit facility and borrowed the first advance of $40.0 million (“Tranche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in August 2019 and the second advance of $10.0 million (“Tranche 2”) in December 2020. In April 2021, $10.0 million was prepaid.</w:t>
      </w:r>
    </w:p>
    <w:p>
      <w:pPr>
        <w:spacing w:after="0" w:line="16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Tranche 1 and Tranche 2 accrued interest at an annual rate equal to the lesser of (i) 8.25% and (ii) the one-month Secured Overnight Financing Rate ("SOFR") (subject to a one-month SOFR floor of 1.00%) plus 6.25%. Interest on each term loan advance was due and payable monthly in arrears. Principal on each term loan advance under Tranche 1 and Tranche 2 was payable in 24 equal monthly installments that began September 1, 2023.</w:t>
      </w:r>
    </w:p>
    <w:p>
      <w:pPr>
        <w:spacing w:after="0" w:line="17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2024, the Company made $5.0 million in principal payments on the MidCap credit facility. On April 1, 2024, the Company exercised its option to prepay in full all outstanding indebtedness, consisting of $28.3 million in principal and $0.2 million in accrued interest, and terminated all commitments and obligations under the MidCap credit facility that would have matured on August 1, 2025 in exchange for a payment of $31.6 million, including an exit fee of $2.8 million which is 7.00% of the initial Tranche 1 balance of $40.0 million, and a prepayment fee of $0.3 million which is 1.00% of principal prepaid. Additionally, unamortized debt discount and capitalized prepayment fees totaling $0.2 million were written off, resulting in a loss on extinguishment of debt of $3.3 million recognized in the condensed consolidated statements of operations. In connection with the repayment of outstanding indebtedness by the Company, all liens, mortgages and security interests in any assets or property securing the obligations under the MidCap credit facility were automatically terminated and released and the Company was automatically released from all guarantees.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22" w:name="page23"/>
    <w:bookmarkEnd w:id="22"/>
    <w:p>
      <w:pPr>
        <w:ind w:right="36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Mann Group convertible note </w:t>
      </w:r>
      <w:r>
        <w:rPr>
          <w:rFonts w:ascii="Times New Roman" w:cs="Times New Roman" w:eastAsia="Times New Roman" w:hAnsi="Times New Roman"/>
          <w:sz w:val="18"/>
          <w:szCs w:val="18"/>
          <w:color w:val="auto"/>
        </w:rPr>
        <w:t>— In August 2019, the Company issued a $35.0 million note that was convertible into shares of the Company’s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$2.50 per share (the “Mann Group convertible note”) as part of a restructuring of its then existing indebtedness to Mann Group.</w:t>
      </w:r>
    </w:p>
    <w:p>
      <w:pPr>
        <w:spacing w:after="0" w:line="16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Mann Group convertible note accrued interest at the rate of 2.5% per year on the principal amount, payable quarterly in arrears on the first day of each calendar quarter, with a maturity date of December 31, 2025.</w:t>
      </w:r>
    </w:p>
    <w:p>
      <w:pPr>
        <w:spacing w:after="0" w:line="16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principal and any accrued and unpaid interest under the Mann Group convertible note was convertible, at the option of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Interest on the convertible note was payable in kind by adding the amount thereof to the principal amount; provided that with respect to interest accruing from and after January 1, 2021, the Company had the option to pay any such interest on any interest payment date, if certain conditions were met, in shares of the Company’s common stock at a price per share equal to the last reported sale price on the trading day immediately prior to the payment date.</w:t>
      </w:r>
    </w:p>
    <w:p>
      <w:pPr>
        <w:spacing w:after="0" w:line="186"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During the six months ended June 30, 2024, Mann Group converted $0.1 million of interest into 15,285 shares of common stock. During the six months ended June 30, 2023, Mann Group converted $0.1 million of interest into 23,683 shares of common stock.</w:t>
      </w:r>
    </w:p>
    <w:p>
      <w:pPr>
        <w:spacing w:after="0" w:line="1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April 2, 2024, the Company and Mann Group agreed to discharge and terminate the Mann Group convertible note. As of April 2, 2024, the outstanding principal balance of the Mann Group convertible note plus accrued interest was $8.9 million and was convertible at Mann Group’s option into 3,554,198 shares of common stock of the Company. The Company and Mann Group agreed to terminate all outstanding indebtedness, rights and obligations under the Mann Group convertible note in exchange for (i) the Company’s issuance to Mann Group of 1,500,000 shares of the Company’s common stock converted at the contractual rate of $2.50 per share and (ii) the Company’s payment to Mann Group of $8.9 million, which represented the market value of 2,054,198 shares of common stock of the Company on April 2, 2024 to settle the remaining principal and interest of $5.1 million, after the conversion noted in (i) above. Termination of the Mann Group convertible note resulted in a loss on extinguishment of debt of $3.7 million recognized in the condensed consolidated statements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the premium and accretion of debt issuance costs related to all borrowings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 and prepayment fee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20"/>
                <w:szCs w:val="20"/>
                <w:color w:val="auto"/>
              </w:rPr>
            </w:pP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20"/>
                <w:szCs w:val="20"/>
                <w:color w:val="auto"/>
              </w:rPr>
            </w:pPr>
          </w:p>
        </w:tc>
      </w:tr>
      <w:tr>
        <w:trPr>
          <w:trHeight w:val="548"/>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Collaboration, Licensing and Other Arrangements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collaborations and services were as follows (in thousands):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5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UT CSA</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25,978</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10,933</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50,442</w:t>
            </w:r>
          </w:p>
        </w:tc>
        <w:tc>
          <w:tcPr>
            <w:tcW w:w="6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22,097</w:t>
            </w:r>
          </w:p>
        </w:tc>
        <w:tc>
          <w:tcPr>
            <w:tcW w:w="100" w:type="dxa"/>
            <w:vAlign w:val="bottom"/>
            <w:shd w:val="clear" w:color="auto" w:fill="CFF0FC"/>
          </w:tcPr>
          <w:p>
            <w:pPr>
              <w:spacing w:after="0"/>
              <w:rPr>
                <w:sz w:val="20"/>
                <w:szCs w:val="20"/>
                <w:color w:val="auto"/>
              </w:rPr>
            </w:pPr>
          </w:p>
        </w:tc>
      </w:tr>
      <w:tr>
        <w:trPr>
          <w:trHeight w:val="243"/>
        </w:trPr>
        <w:tc>
          <w:tcPr>
            <w:tcW w:w="58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UT License Agreement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1"/>
                <w:szCs w:val="21"/>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Cipla License and Distribution Agreement</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1"/>
                <w:szCs w:val="21"/>
                <w:color w:val="auto"/>
              </w:rPr>
            </w:pPr>
          </w:p>
        </w:tc>
      </w:tr>
      <w:tr>
        <w:trPr>
          <w:trHeight w:val="22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 from collaborations and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50,862</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5715</wp:posOffset>
            </wp:positionV>
            <wp:extent cx="33909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9090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-79375</wp:posOffset>
            </wp:positionV>
            <wp:extent cx="33909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90900" cy="8255"/>
                    </a:xfrm>
                    <a:prstGeom prst="rect">
                      <a:avLst/>
                    </a:prstGeom>
                    <a:noFill/>
                  </pic:spPr>
                </pic:pic>
              </a:graphicData>
            </a:graphic>
          </wp:anchor>
        </w:drawing>
      </w: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consist of revenue recognized for Manufacturing Services and Product Sales to UT for the periods presented.</w:t>
      </w:r>
    </w:p>
    <w:p>
      <w:pPr>
        <w:spacing w:after="0" w:line="8"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consist of revenue recognized for Next-Gen R&amp;D Services and R&amp;D Services and License for the periods presented.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23" w:name="page24"/>
    <w:bookmarkEnd w:id="23"/>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United Therapeutics License Agreement </w:t>
      </w:r>
      <w:r>
        <w:rPr>
          <w:rFonts w:ascii="Times New Roman" w:cs="Times New Roman" w:eastAsia="Times New Roman" w:hAnsi="Times New Roman"/>
          <w:sz w:val="18"/>
          <w:szCs w:val="18"/>
          <w:color w:val="auto"/>
        </w:rPr>
        <w:t>— In September 2018, the Company and UT entered into an exclusive global license and collaboration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“UT License Agreement”), pursuant to which UT is responsible for global development, regulatory and commercial activities with respect to Tyvaso DPI. The Company is responsible for manufacturing Tyvaso DPI.</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from UT was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UT Revenue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 CSA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25,978</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10,933</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50,442</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22,097</w:t>
            </w:r>
          </w:p>
        </w:tc>
        <w:tc>
          <w:tcPr>
            <w:tcW w:w="100" w:type="dxa"/>
            <w:vAlign w:val="bottom"/>
          </w:tcPr>
          <w:p>
            <w:pPr>
              <w:spacing w:after="0"/>
              <w:rPr>
                <w:sz w:val="20"/>
                <w:szCs w:val="20"/>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 License Agreement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FF0FC"/>
          </w:tcPr>
          <w:p>
            <w:pPr>
              <w:spacing w:after="0"/>
              <w:rPr>
                <w:sz w:val="21"/>
                <w:szCs w:val="21"/>
                <w:color w:val="auto"/>
              </w:rPr>
            </w:pPr>
          </w:p>
        </w:tc>
      </w:tr>
      <w:tr>
        <w:trPr>
          <w:trHeight w:val="243"/>
        </w:trPr>
        <w:tc>
          <w:tcPr>
            <w:tcW w:w="58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Royalties – Collaboration </w:t>
            </w:r>
            <w:r>
              <w:rPr>
                <w:rFonts w:ascii="Times New Roman" w:cs="Times New Roman" w:eastAsia="Times New Roman" w:hAnsi="Times New Roman"/>
                <w:sz w:val="24"/>
                <w:szCs w:val="24"/>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19,055</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48,243</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30,733</w:t>
            </w:r>
          </w:p>
        </w:tc>
        <w:tc>
          <w:tcPr>
            <w:tcW w:w="100" w:type="dxa"/>
            <w:vAlign w:val="bottom"/>
          </w:tcPr>
          <w:p>
            <w:pPr>
              <w:spacing w:after="0"/>
              <w:rPr>
                <w:sz w:val="21"/>
                <w:szCs w:val="21"/>
                <w:color w:val="auto"/>
              </w:rPr>
            </w:pPr>
          </w:p>
        </w:tc>
      </w:tr>
      <w:tr>
        <w:trPr>
          <w:trHeight w:val="22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 from UT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51,570</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99,032</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right="220" w:hanging="372"/>
        <w:spacing w:after="0" w:line="274" w:lineRule="auto"/>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consist of royalties associated with the UT License Agreement. The contract assets related to the royalties is included in prepaid expense and other current assets in the condensed consolidated balance sheets.</w:t>
      </w:r>
    </w:p>
    <w:p>
      <w:pPr>
        <w:spacing w:after="0" w:line="17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October 2018, the Company and UT entered into the UT License Agreement for the collaboration and development of Tyvaso DPI. Pursuant to this agreement, the Company receives a 10% royalty on net sales of Tyvaso DPI. In December 2023, the Company sold a 1% royalty on future net sales of Tyvaso DPI to a royalty purchaser, with the Company retaining a 9% royalty. In August 2021, the Company and UT entered into the CSA, pursuant to which the Company is responsible for manufacturing and supplying to UT, and UT is responsible for purchasing from the Company on a cost-plus basis. In addition, UT is responsible for supplying treprostinil at its expense in quantities necessary to enable the Company to manufacture Tyvaso DPI as required by the CSA.</w:t>
      </w:r>
    </w:p>
    <w:p>
      <w:pPr>
        <w:spacing w:after="0" w:line="18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activities and deliverables under the CSA and UT License Agreement resulted in distinct performance obligations which include the: (1) R&amp;D Services and License, (2) Next-Gen R&amp;D Services, and (3) Manufacturing Services and Product Sales.</w:t>
      </w:r>
    </w:p>
    <w:p>
      <w:pPr>
        <w:spacing w:after="0" w:line="1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There have been various amendments to the UT License Agreement and the CSA since inception. As amended, the term of the CSA continues until December 31, 2031 (unless earlier terminated) and is thereafter renewed automatically for additional, successive two-year terms unless (i) UT provides notice to the Company at least 24 months in advance of such renewal that UT does not wish to renew the CSA or (ii) the Company provides notice to UT at least 48 months in advance of such renewal that the Company does not wish to renew the CSA. The Company and UT each have normal and customary termination rights, including termination for material breach that is not cured within a specific timeframe or in the event of liquidation, bankruptcy or insolvency of the other party. The Company accounted for the contract modification as if it were part of the existing contract since the amendment modified the scope and price of the CSA by extending the term and increasing the occupancy rate. The effect of the modification on the transaction price and on the measure of progress is recognized as an adjustment to revenue as of the date of modification. The modification did not result in a change in the activities and deliverables under the CSA.</w:t>
      </w:r>
    </w:p>
    <w:p>
      <w:pPr>
        <w:spacing w:after="0" w:line="186" w:lineRule="exact"/>
        <w:rPr>
          <w:sz w:val="20"/>
          <w:szCs w:val="20"/>
          <w:color w:val="auto"/>
        </w:rPr>
      </w:pPr>
    </w:p>
    <w:p>
      <w:pPr>
        <w:jc w:val="both"/>
        <w:ind w:right="380"/>
        <w:spacing w:after="0" w:line="265" w:lineRule="auto"/>
        <w:rPr>
          <w:sz w:val="20"/>
          <w:szCs w:val="20"/>
          <w:color w:val="auto"/>
        </w:rPr>
      </w:pPr>
      <w:r>
        <w:rPr>
          <w:rFonts w:ascii="Times New Roman" w:cs="Times New Roman" w:eastAsia="Times New Roman" w:hAnsi="Times New Roman"/>
          <w:sz w:val="18"/>
          <w:szCs w:val="18"/>
          <w:color w:val="auto"/>
        </w:rPr>
        <w:t>In December 2022, the Company and UT agreed to fund an additional $39.5 million to support capital and continuous improvement activities and $2.3 million in the development of alternative manufacturing processes. The Company determined that the capital and continuous improvements should be combined with the manufacturing services performance obligation and the alternative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24" w:name="page25"/>
    <w:bookmarkEnd w:id="24"/>
    <w:p>
      <w:pPr>
        <w:ind w:right="600"/>
        <w:spacing w:after="0" w:line="281" w:lineRule="auto"/>
        <w:rPr>
          <w:sz w:val="20"/>
          <w:szCs w:val="20"/>
          <w:color w:val="auto"/>
        </w:rPr>
      </w:pPr>
      <w:r>
        <w:rPr>
          <w:rFonts w:ascii="Times New Roman" w:cs="Times New Roman" w:eastAsia="Times New Roman" w:hAnsi="Times New Roman"/>
          <w:sz w:val="18"/>
          <w:szCs w:val="18"/>
          <w:color w:val="auto"/>
        </w:rPr>
        <w:t>manufacturing processes should be combined with the Next-Gen R&amp;D Services. The total revised anticipated cash flows of $722.3 million from the transaction was allocated to the three distinct performance obligations as follows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800" w:type="dxa"/>
            <w:vAlign w:val="bottom"/>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Recognition</w:t>
            </w:r>
          </w:p>
        </w:tc>
        <w:tc>
          <w:tcPr>
            <w:tcW w:w="10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Progress</w:t>
            </w:r>
          </w:p>
        </w:tc>
        <w:tc>
          <w:tcPr>
            <w:tcW w:w="120" w:type="dxa"/>
            <w:vAlign w:val="bottom"/>
          </w:tcPr>
          <w:p>
            <w:pPr>
              <w:spacing w:after="0"/>
              <w:rPr>
                <w:sz w:val="11"/>
                <w:szCs w:val="11"/>
                <w:color w:val="auto"/>
              </w:rPr>
            </w:pPr>
          </w:p>
        </w:tc>
        <w:tc>
          <w:tcPr>
            <w:tcW w:w="18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87"/>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anticipated cash flow</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6"/>
                <w:szCs w:val="16"/>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Recognition</w:t>
            </w:r>
          </w:p>
        </w:tc>
        <w:tc>
          <w:tcPr>
            <w:tcW w:w="0" w:type="dxa"/>
            <w:vAlign w:val="bottom"/>
          </w:tcPr>
          <w:p>
            <w:pPr>
              <w:spacing w:after="0"/>
              <w:rPr>
                <w:sz w:val="1"/>
                <w:szCs w:val="1"/>
                <w:color w:val="auto"/>
              </w:rPr>
            </w:pPr>
          </w:p>
        </w:tc>
      </w:tr>
      <w:tr>
        <w:trPr>
          <w:trHeight w:val="236"/>
        </w:trPr>
        <w:tc>
          <w:tcPr>
            <w:tcW w:w="4740" w:type="dxa"/>
            <w:vAlign w:val="bottom"/>
            <w:vMerge w:val="continue"/>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Distinct Performance Obligation</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Services and License</w:t>
            </w:r>
          </w:p>
        </w:tc>
        <w:tc>
          <w:tcPr>
            <w:tcW w:w="12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time</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Ratably</w:t>
            </w:r>
          </w:p>
        </w:tc>
        <w:tc>
          <w:tcPr>
            <w:tcW w:w="12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Aug 2021 - Oct</w:t>
            </w: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Next-Gen R&amp;D Services</w:t>
            </w:r>
          </w:p>
        </w:tc>
        <w:tc>
          <w:tcPr>
            <w:tcW w:w="12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Over time</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Input</w:t>
            </w: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center"/>
              <w:ind w:right="360"/>
              <w:spacing w:after="0"/>
              <w:rPr>
                <w:sz w:val="20"/>
                <w:szCs w:val="20"/>
                <w:color w:val="auto"/>
              </w:rPr>
            </w:pPr>
            <w:r>
              <w:rPr>
                <w:rFonts w:ascii="Times New Roman" w:cs="Times New Roman" w:eastAsia="Times New Roman" w:hAnsi="Times New Roman"/>
                <w:sz w:val="18"/>
                <w:szCs w:val="18"/>
                <w:color w:val="auto"/>
              </w:rPr>
              <w:t>% of completion of</w:t>
            </w:r>
          </w:p>
        </w:tc>
        <w:tc>
          <w:tcPr>
            <w:tcW w:w="0" w:type="dxa"/>
            <w:vAlign w:val="bottom"/>
          </w:tcPr>
          <w:p>
            <w:pPr>
              <w:spacing w:after="0"/>
              <w:rPr>
                <w:sz w:val="1"/>
                <w:szCs w:val="1"/>
                <w:color w:val="auto"/>
              </w:rPr>
            </w:pPr>
          </w:p>
        </w:tc>
      </w:tr>
      <w:tr>
        <w:trPr>
          <w:trHeight w:val="248"/>
        </w:trPr>
        <w:tc>
          <w:tcPr>
            <w:tcW w:w="4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center"/>
              <w:ind w:right="320"/>
              <w:spacing w:after="0"/>
              <w:rPr>
                <w:sz w:val="20"/>
                <w:szCs w:val="20"/>
                <w:color w:val="auto"/>
              </w:rPr>
            </w:pPr>
            <w:r>
              <w:rPr>
                <w:rFonts w:ascii="Times New Roman" w:cs="Times New Roman" w:eastAsia="Times New Roman" w:hAnsi="Times New Roman"/>
                <w:sz w:val="18"/>
                <w:szCs w:val="18"/>
                <w:color w:val="auto"/>
                <w:w w:val="99"/>
              </w:rPr>
              <w:t>costs</w:t>
            </w: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Manufacturing Services and</w:t>
            </w:r>
          </w:p>
        </w:tc>
        <w:tc>
          <w:tcPr>
            <w:tcW w:w="120" w:type="dxa"/>
            <w:vAlign w:val="bottom"/>
          </w:tcPr>
          <w:p>
            <w:pPr>
              <w:spacing w:after="0"/>
              <w:rPr>
                <w:sz w:val="16"/>
                <w:szCs w:val="16"/>
                <w:color w:val="auto"/>
              </w:rPr>
            </w:pPr>
          </w:p>
        </w:tc>
        <w:tc>
          <w:tcPr>
            <w:tcW w:w="1200" w:type="dxa"/>
            <w:vAlign w:val="bottom"/>
            <w:gridSpan w:val="3"/>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712.3</w:t>
            </w:r>
          </w:p>
        </w:tc>
        <w:tc>
          <w:tcPr>
            <w:tcW w:w="26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Point in time</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Transfer of control</w:t>
            </w:r>
          </w:p>
        </w:tc>
        <w:tc>
          <w:tcPr>
            <w:tcW w:w="0" w:type="dxa"/>
            <w:vAlign w:val="bottom"/>
          </w:tcPr>
          <w:p>
            <w:pPr>
              <w:spacing w:after="0"/>
              <w:rPr>
                <w:sz w:val="1"/>
                <w:szCs w:val="1"/>
                <w:color w:val="auto"/>
              </w:rPr>
            </w:pPr>
          </w:p>
        </w:tc>
      </w:tr>
      <w:tr>
        <w:trPr>
          <w:trHeight w:val="266"/>
        </w:trPr>
        <w:tc>
          <w:tcPr>
            <w:tcW w:w="4740" w:type="dxa"/>
            <w:vAlign w:val="bottom"/>
          </w:tcPr>
          <w:p>
            <w:pPr>
              <w:ind w:left="160"/>
              <w:spacing w:after="0" w:line="266" w:lineRule="exact"/>
              <w:rPr>
                <w:sz w:val="20"/>
                <w:szCs w:val="20"/>
                <w:color w:val="auto"/>
              </w:rPr>
            </w:pPr>
            <w:r>
              <w:rPr>
                <w:rFonts w:ascii="Times New Roman" w:cs="Times New Roman" w:eastAsia="Times New Roman" w:hAnsi="Times New Roman"/>
                <w:sz w:val="18"/>
                <w:szCs w:val="18"/>
                <w:color w:val="auto"/>
              </w:rPr>
              <w:t>Product Sales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 w:lineRule="exact"/>
        <w:rPr>
          <w:sz w:val="20"/>
          <w:szCs w:val="20"/>
          <w:color w:val="auto"/>
        </w:rPr>
      </w:pPr>
    </w:p>
    <w:p>
      <w:pPr>
        <w:ind w:left="380" w:right="20" w:hanging="372"/>
        <w:spacing w:after="0" w:line="274" w:lineRule="auto"/>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 total anticipated cash flow includes a transaction price of $120.0 million for the contractual obligations under the CSA for the Manufacturing Services and Product Sales and the Next-Gen R&amp;D Services performance obligations and $602.3 million for future supply of Tyvaso DPI over the remaining term of the CSA.</w:t>
      </w:r>
    </w:p>
    <w:p>
      <w:pPr>
        <w:spacing w:after="0" w:line="74" w:lineRule="exact"/>
        <w:rPr>
          <w:rFonts w:ascii="Times New Roman" w:cs="Times New Roman" w:eastAsia="Times New Roman" w:hAnsi="Times New Roman"/>
          <w:sz w:val="13"/>
          <w:szCs w:val="13"/>
          <w:color w:val="auto"/>
        </w:rPr>
      </w:pPr>
    </w:p>
    <w:p>
      <w:pPr>
        <w:ind w:left="380" w:right="60" w:hanging="372"/>
        <w:spacing w:after="0" w:line="272" w:lineRule="auto"/>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 Manufacturing Services and Product Sales performance obligation will be recognized as control of manufactured products is transferred to UT. The modification did not result in a cumulative catch-up adjustment as a result of the revenue being deferred for the performance obligations that were affected by the modification. The allocation of the transaction price for the Manufacturing Services and Product Sales includes a material right related to the Company’s estimated production of product in the amount of $220.8 million. The Company will sell product to UT under individual purchase orders, which represent distinct performance obligations. The ultimate cash flows may vary as manufacturing purchase orders are received.</w:t>
      </w:r>
    </w:p>
    <w:p>
      <w:pPr>
        <w:spacing w:after="0" w:line="18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In February 2024, the Company began in-house kitting of certain Tyvaso DPI stock-keeping units. The Company's obligation to perform such in-house kitting is accounted for separately as it is distinct from Manufacturing Services and Product Sales and offered at a standalone selling price. Revenue for in-house kitting is recognized at a point in time as services are rendered.</w:t>
      </w:r>
    </w:p>
    <w:p>
      <w:pPr>
        <w:spacing w:after="0" w:line="1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June 30, 2024, deferred revenue from UT consisted of $72.3 million, of which $7.3 million was classified as current and $65.0 million was classified as long-term on the condensed consolidated balance sheet. As of December 31, 2023, deferred revenue consisted of $77.5 million, of which $8.9 million was classified as current and $68.6 million was classified as long-term on the condensed consolidated balance sheet. The Company determined that the revenue recognition associated with the capital improvements should be combined with the Manufacturing Services and Product Sales performance obligation.</w:t>
      </w:r>
    </w:p>
    <w:p>
      <w:pPr>
        <w:spacing w:after="0" w:line="18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Thirona Collaboration Agreement </w:t>
      </w:r>
      <w:r>
        <w:rPr>
          <w:rFonts w:ascii="Times New Roman" w:cs="Times New Roman" w:eastAsia="Times New Roman" w:hAnsi="Times New Roman"/>
          <w:sz w:val="18"/>
          <w:szCs w:val="18"/>
          <w:color w:val="auto"/>
        </w:rPr>
        <w:t>— In June 2021, the Company and Thirona entered into a collaboration agreement to evaluate the therapeutic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Thirona’s compound for the treatment of fibrotic pulmonary diseases.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 collaboration agreement was accounted for under ASC 808,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however, no consideration was exchanged between the parties. The costs incurred by the Company were expensed as R&amp;D in the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On February 28, 2023, the collaboration agreement was amended to extend the term through June 2024. In accordance with the amendment, the Company agreed to fund a minimum of $1.1 million to be expended on a revised development plan prepared by Thirona, of which $1.0 million has been funded through June 30, 2024.</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Biomm Supply and Distribution Agreement </w:t>
      </w:r>
      <w:r>
        <w:rPr>
          <w:rFonts w:ascii="Times New Roman" w:cs="Times New Roman" w:eastAsia="Times New Roman" w:hAnsi="Times New Roman"/>
          <w:sz w:val="18"/>
          <w:szCs w:val="18"/>
          <w:color w:val="auto"/>
        </w:rPr>
        <w:t>— In May 2017, the Company and Biomm S.A. ("Biomm") entered into a supply and distribution agreement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were received. Biomm commenced product sales in January 2020. No shipments of product were made to Biomm in 2023 or the first two quarters of 2024.</w:t>
      </w:r>
    </w:p>
    <w:p>
      <w:pPr>
        <w:spacing w:after="0" w:line="18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Cipla License and Distribution Agreement </w:t>
      </w:r>
      <w:r>
        <w:rPr>
          <w:rFonts w:ascii="Times New Roman" w:cs="Times New Roman" w:eastAsia="Times New Roman" w:hAnsi="Times New Roman"/>
          <w:sz w:val="18"/>
          <w:szCs w:val="18"/>
          <w:color w:val="auto"/>
        </w:rPr>
        <w:t>— In May 2018, the Company and Cipla Ltd. (“Cipla”) entered into an exclusive agreement for the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distribution of Afrezza in India and the Company received a $2.2 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 Cipla is currently seeking regulatory approval with the India authorities.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5" w:name="page26"/>
    <w:bookmarkEnd w:id="25"/>
    <w:p>
      <w:pPr>
        <w:ind w:right="100"/>
        <w:spacing w:after="0" w:line="265" w:lineRule="auto"/>
        <w:rPr>
          <w:sz w:val="20"/>
          <w:szCs w:val="20"/>
          <w:color w:val="auto"/>
        </w:rPr>
      </w:pPr>
      <w:r>
        <w:rPr>
          <w:rFonts w:ascii="Times New Roman" w:cs="Times New Roman" w:eastAsia="Times New Roman" w:hAnsi="Times New Roman"/>
          <w:sz w:val="18"/>
          <w:szCs w:val="18"/>
          <w:color w:val="auto"/>
        </w:rPr>
        <w:t>The nonrefundable licensing fee was recorded in deferred revenue and is being recognized in net revenue – collaborations over 15 years, representing the estimated period to satisfy the performance obligation. The additional milestone payment represents variable consideration for which the Company has not recognized any revenue because Cipla has not yet obtained all of the required marketing approvals.</w:t>
      </w:r>
    </w:p>
    <w:p>
      <w:pPr>
        <w:spacing w:after="0" w:line="17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As of June 30, 2024, the deferred revenue balance was $1.2 million, of which $0.1 million was classified as current and $1.1 million was classified as long term in the condensed consolidated balance sheets. As of December 31, 2023, the deferred revenue balance was $1.4 million, of which $0.2 million was classified as current and $1.2 million was classified as long term in the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of Financial Instruments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as follows:</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660" w:right="40"/>
        <w:spacing w:after="0" w:line="281"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5" w:lineRule="exact"/>
        <w:rPr>
          <w:sz w:val="20"/>
          <w:szCs w:val="20"/>
          <w:color w:val="auto"/>
        </w:rPr>
      </w:pPr>
    </w:p>
    <w:p>
      <w:pPr>
        <w:jc w:val="both"/>
        <w:ind w:right="180"/>
        <w:spacing w:after="0" w:line="288" w:lineRule="auto"/>
        <w:rPr>
          <w:sz w:val="20"/>
          <w:szCs w:val="20"/>
          <w:color w:val="auto"/>
        </w:rPr>
      </w:pPr>
      <w:r>
        <w:rPr>
          <w:rFonts w:ascii="Times New Roman" w:cs="Times New Roman" w:eastAsia="Times New Roman" w:hAnsi="Times New Roman"/>
          <w:sz w:val="17"/>
          <w:szCs w:val="17"/>
          <w:color w:val="auto"/>
        </w:rPr>
        <w:t>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The fair value of the Senior convertible notes, MidCap credit facility, Mann Group convertible note, Milestone Rights liability and Financing liability are disclosed below.</w:t>
      </w:r>
    </w:p>
    <w:p>
      <w:pPr>
        <w:spacing w:after="0" w:line="157" w:lineRule="exact"/>
        <w:rPr>
          <w:sz w:val="20"/>
          <w:szCs w:val="20"/>
          <w:color w:val="auto"/>
        </w:rPr>
      </w:pPr>
    </w:p>
    <w:p>
      <w:pPr>
        <w:ind w:right="64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Financial Liabilities </w:t>
      </w:r>
      <w:r>
        <w:rPr>
          <w:rFonts w:ascii="Times New Roman" w:cs="Times New Roman" w:eastAsia="Times New Roman" w:hAnsi="Times New Roman"/>
          <w:sz w:val="18"/>
          <w:szCs w:val="18"/>
          <w:color w:val="auto"/>
        </w:rPr>
        <w:t>— The following tables set forth the fair value of the Company’s financial instruments (Level 3 in the fair value hierarchy)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218"/>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3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Contingent milestone liability</w:t>
            </w:r>
            <w:r>
              <w:rPr>
                <w:rFonts w:ascii="Times New Roman" w:cs="Times New Roman" w:eastAsia="Times New Roman" w:hAnsi="Times New Roman"/>
                <w:sz w:val="24"/>
                <w:szCs w:val="24"/>
                <w:color w:val="auto"/>
                <w:vertAlign w:val="superscript"/>
              </w:rPr>
              <w:t>(3)</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Financing liability</w:t>
            </w:r>
            <w:r>
              <w:rPr>
                <w:rFonts w:ascii="Times New Roman" w:cs="Times New Roman" w:eastAsia="Times New Roman" w:hAnsi="Times New Roman"/>
                <w:sz w:val="24"/>
                <w:szCs w:val="24"/>
                <w:color w:val="auto"/>
                <w:vertAlign w:val="superscript"/>
              </w:rPr>
              <w:t>(4)</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00" w:type="dxa"/>
            <w:vAlign w:val="bottom"/>
          </w:tcPr>
          <w:p>
            <w:pPr>
              <w:ind w:left="200"/>
              <w:spacing w:after="0" w:line="241" w:lineRule="exact"/>
              <w:rPr>
                <w:sz w:val="20"/>
                <w:szCs w:val="20"/>
                <w:color w:val="auto"/>
              </w:rPr>
            </w:pPr>
            <w:r>
              <w:rPr>
                <w:rFonts w:ascii="Times New Roman" w:cs="Times New Roman" w:eastAsia="Times New Roman" w:hAnsi="Times New Roman"/>
                <w:sz w:val="18"/>
                <w:szCs w:val="18"/>
                <w:color w:val="auto"/>
              </w:rPr>
              <w:t>Liability for sale of future royalties</w:t>
            </w:r>
            <w:r>
              <w:rPr>
                <w:rFonts w:ascii="Times New Roman" w:cs="Times New Roman" w:eastAsia="Times New Roman" w:hAnsi="Times New Roman"/>
                <w:sz w:val="24"/>
                <w:szCs w:val="24"/>
                <w:color w:val="auto"/>
                <w:vertAlign w:val="superscript"/>
              </w:rPr>
              <w:t>(5)</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380" w:right="180" w:hanging="372"/>
        <w:spacing w:after="0" w:line="257" w:lineRule="auto"/>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to the straight note with a hypothetical yield of 11.0%, volatility of 53.0% and a Monte Carlo simulation for the value of the conversion feature. A change in yield of + or – 2% would result in a fair value of $253.0 million and $265.0 million, respectively.</w:t>
      </w:r>
    </w:p>
    <w:p>
      <w:pPr>
        <w:ind w:left="380" w:right="80" w:hanging="372"/>
        <w:spacing w:after="0" w:line="263" w:lineRule="auto"/>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4.3%, dividend yield of 0.0%, volatility of 50.0%, period of 7.5 years and credit risk of 15.0%.</w:t>
      </w:r>
    </w:p>
    <w:p>
      <w:pPr>
        <w:spacing w:after="0" w:line="1" w:lineRule="exact"/>
        <w:rPr>
          <w:rFonts w:ascii="Times New Roman" w:cs="Times New Roman" w:eastAsia="Times New Roman" w:hAnsi="Times New Roman"/>
          <w:sz w:val="13"/>
          <w:szCs w:val="13"/>
          <w:color w:val="auto"/>
        </w:rPr>
      </w:pPr>
    </w:p>
    <w:p>
      <w:pPr>
        <w:jc w:val="both"/>
        <w:ind w:left="380" w:right="160" w:hanging="372"/>
        <w:spacing w:after="0" w:line="263" w:lineRule="auto"/>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using the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4.5%, dividend yield of 0.0%, volatility of 60.0%, period of 13.5 years and credit risk of 15.0%.</w:t>
      </w:r>
    </w:p>
    <w:p>
      <w:pPr>
        <w:spacing w:after="0" w:line="1" w:lineRule="exact"/>
        <w:rPr>
          <w:rFonts w:ascii="Times New Roman" w:cs="Times New Roman" w:eastAsia="Times New Roman" w:hAnsi="Times New Roman"/>
          <w:sz w:val="13"/>
          <w:szCs w:val="13"/>
          <w:color w:val="auto"/>
        </w:rPr>
      </w:pPr>
    </w:p>
    <w:p>
      <w:pPr>
        <w:ind w:left="380" w:right="20" w:hanging="372"/>
        <w:spacing w:after="0" w:line="263" w:lineRule="auto"/>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9.5%. A change in yield of + or – 2% would result in a fair value of $94.0 million and $122.1 million, respectively.</w:t>
      </w:r>
    </w:p>
    <w:p>
      <w:pPr>
        <w:spacing w:after="0" w:line="1" w:lineRule="exact"/>
        <w:rPr>
          <w:rFonts w:ascii="Times New Roman" w:cs="Times New Roman" w:eastAsia="Times New Roman" w:hAnsi="Times New Roman"/>
          <w:sz w:val="13"/>
          <w:szCs w:val="13"/>
          <w:color w:val="auto"/>
        </w:rPr>
      </w:pPr>
    </w:p>
    <w:p>
      <w:pPr>
        <w:ind w:left="380" w:right="300" w:hanging="372"/>
        <w:spacing w:after="0" w:line="287" w:lineRule="auto"/>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At June 30, 2024, fair value was determined by applying a discounted cash flow analysis with a hypothetical yield of 11.0%. A change in yield of + or – 2% would result in a fair value of $144.1 million and $188.3 million, respectively. At December 31, 2023, the carrying value approximated the fair value.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3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MidCap credit facility</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Mann Group convertible note</w:t>
            </w:r>
            <w:r>
              <w:rPr>
                <w:rFonts w:ascii="Times New Roman" w:cs="Times New Roman" w:eastAsia="Times New Roman" w:hAnsi="Times New Roman"/>
                <w:sz w:val="24"/>
                <w:szCs w:val="24"/>
                <w:color w:val="auto"/>
                <w:vertAlign w:val="superscript"/>
              </w:rPr>
              <w:t>(3)</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24"/>
                <w:szCs w:val="24"/>
                <w:color w:val="auto"/>
                <w:vertAlign w:val="superscript"/>
              </w:rPr>
              <w:t>(4)</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7700" w:type="dxa"/>
            <w:vAlign w:val="bottom"/>
          </w:tcPr>
          <w:p>
            <w:pPr>
              <w:ind w:left="200"/>
              <w:spacing w:after="0" w:line="218" w:lineRule="exact"/>
              <w:rPr>
                <w:sz w:val="20"/>
                <w:szCs w:val="20"/>
                <w:color w:val="auto"/>
              </w:rPr>
            </w:pPr>
            <w:r>
              <w:rPr>
                <w:rFonts w:ascii="Times New Roman" w:cs="Times New Roman" w:eastAsia="Times New Roman" w:hAnsi="Times New Roman"/>
                <w:sz w:val="18"/>
                <w:szCs w:val="18"/>
                <w:color w:val="auto"/>
              </w:rPr>
              <w:t>Contingent milestone liability</w:t>
            </w:r>
            <w:r>
              <w:rPr>
                <w:rFonts w:ascii="Times New Roman" w:cs="Times New Roman" w:eastAsia="Times New Roman" w:hAnsi="Times New Roman"/>
                <w:sz w:val="24"/>
                <w:szCs w:val="24"/>
                <w:color w:val="auto"/>
                <w:vertAlign w:val="superscript"/>
              </w:rPr>
              <w:t>(5)</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7700" w:type="dxa"/>
            <w:vAlign w:val="bottom"/>
          </w:tcPr>
          <w:p>
            <w:pPr>
              <w:ind w:left="200"/>
              <w:spacing w:after="0" w:line="266" w:lineRule="exact"/>
              <w:rPr>
                <w:sz w:val="20"/>
                <w:szCs w:val="20"/>
                <w:color w:val="auto"/>
              </w:rPr>
            </w:pPr>
            <w:r>
              <w:rPr>
                <w:rFonts w:ascii="Times New Roman" w:cs="Times New Roman" w:eastAsia="Times New Roman" w:hAnsi="Times New Roman"/>
                <w:sz w:val="18"/>
                <w:szCs w:val="18"/>
                <w:color w:val="auto"/>
              </w:rPr>
              <w:t>Financing liability</w:t>
            </w:r>
            <w:r>
              <w:rPr>
                <w:rFonts w:ascii="Times New Roman" w:cs="Times New Roman" w:eastAsia="Times New Roman" w:hAnsi="Times New Roman"/>
                <w:sz w:val="24"/>
                <w:szCs w:val="24"/>
                <w:color w:val="auto"/>
                <w:vertAlign w:val="superscript"/>
              </w:rPr>
              <w:t>(6)</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380" w:right="180" w:hanging="372"/>
        <w:spacing w:after="0" w:line="257" w:lineRule="auto"/>
        <w:tabs>
          <w:tab w:leader="none" w:pos="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to the straight note with a hypothetical yield of 11.0%, volatility of 62.7% and a Monte Carlo simulation for the value of the conversion feature. A change in yield of + or – 2% would result in a fair value of $224.1 million and $238.9 million, respectively.</w:t>
      </w:r>
    </w:p>
    <w:p>
      <w:pPr>
        <w:ind w:left="380" w:right="120" w:hanging="372"/>
        <w:spacing w:after="0" w:line="263" w:lineRule="auto"/>
        <w:tabs>
          <w:tab w:leader="none" w:pos="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12.0%. A change in yield of + or – 2% would result in a fair value of $35.0 million and $36.0 million, respectively.</w:t>
      </w:r>
    </w:p>
    <w:p>
      <w:pPr>
        <w:spacing w:after="0" w:line="1" w:lineRule="exact"/>
        <w:rPr>
          <w:rFonts w:ascii="Times New Roman" w:cs="Times New Roman" w:eastAsia="Times New Roman" w:hAnsi="Times New Roman"/>
          <w:sz w:val="13"/>
          <w:szCs w:val="13"/>
          <w:color w:val="auto"/>
        </w:rPr>
      </w:pPr>
    </w:p>
    <w:p>
      <w:pPr>
        <w:ind w:left="380" w:right="200" w:hanging="372"/>
        <w:spacing w:after="0" w:line="263" w:lineRule="auto"/>
        <w:tabs>
          <w:tab w:leader="none" w:pos="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13.0% and volatility of 62.7% to the straight note and a binomial option pricing model for the value of the conversion feature. A change in yield of + or – 2% would result in a fair value of $14.2 million and $14.7 million, respectively.</w:t>
      </w:r>
    </w:p>
    <w:p>
      <w:pPr>
        <w:spacing w:after="0" w:line="1" w:lineRule="exact"/>
        <w:rPr>
          <w:rFonts w:ascii="Times New Roman" w:cs="Times New Roman" w:eastAsia="Times New Roman" w:hAnsi="Times New Roman"/>
          <w:sz w:val="13"/>
          <w:szCs w:val="13"/>
          <w:color w:val="auto"/>
        </w:rPr>
      </w:pPr>
    </w:p>
    <w:p>
      <w:pPr>
        <w:ind w:left="380" w:right="80" w:hanging="372"/>
        <w:spacing w:after="0" w:line="263" w:lineRule="auto"/>
        <w:tabs>
          <w:tab w:leader="none" w:pos="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3.9%, dividend yield of 0.0%, volatility of 50.0%, period of 8 years and credit risk of 17.0%.</w:t>
      </w:r>
    </w:p>
    <w:p>
      <w:pPr>
        <w:spacing w:after="0" w:line="1" w:lineRule="exact"/>
        <w:rPr>
          <w:rFonts w:ascii="Times New Roman" w:cs="Times New Roman" w:eastAsia="Times New Roman" w:hAnsi="Times New Roman"/>
          <w:sz w:val="13"/>
          <w:szCs w:val="13"/>
          <w:color w:val="auto"/>
        </w:rPr>
      </w:pPr>
    </w:p>
    <w:p>
      <w:pPr>
        <w:jc w:val="both"/>
        <w:ind w:left="380" w:right="140" w:hanging="372"/>
        <w:spacing w:after="0" w:line="263" w:lineRule="auto"/>
        <w:tabs>
          <w:tab w:leader="none" w:pos="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using the Monte Carlo simulation method for the calculation of the potential payment and the Geometric Brownian Motion forecasting model to estimate the underlying revenue. Market-based inputs and other level 3 inputs were used to forecast future revenue. The key inputs used included a risk-free rate of 4.0%, dividend yield of 0.0%, volatility of 43.0%, period of 15 years and credit risk of 17.0%.</w:t>
      </w:r>
    </w:p>
    <w:p>
      <w:pPr>
        <w:spacing w:after="0" w:line="1"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9.5%.</w:t>
      </w:r>
    </w:p>
    <w:p>
      <w:pPr>
        <w:spacing w:after="0" w:line="22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Milestone Rights Liability </w:t>
      </w:r>
      <w:r>
        <w:rPr>
          <w:rFonts w:ascii="Times New Roman" w:cs="Times New Roman" w:eastAsia="Times New Roman" w:hAnsi="Times New Roman"/>
          <w:sz w:val="17"/>
          <w:szCs w:val="17"/>
          <w:color w:val="auto"/>
        </w:rPr>
        <w:t>— The fair value measurement of the Milestone Rights liability is sensitive to the discount rate and the timing of achievement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milestones. The Company utilized a Monte-Carlo Simulation Method to simulate the Afrezza net sales under a neutral framework to estimate the potential payments and the Geometric Brownian Motion forecasting model to estimate the underlying revenue. The Company then discounted the future expected payments at cost of debt with a term equal to the simulated time to payout based on cumulative sales. See Note 14 –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Contingent Milestone Liability — </w:t>
      </w:r>
      <w:r>
        <w:rPr>
          <w:rFonts w:ascii="Times New Roman" w:cs="Times New Roman" w:eastAsia="Times New Roman" w:hAnsi="Times New Roman"/>
          <w:sz w:val="18"/>
          <w:szCs w:val="18"/>
          <w:color w:val="auto"/>
        </w:rPr>
        <w:t>The acquisition of V-Go in May 2022 resulted in a contingent milestone liability which could result in obligations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 if certain revenue thresholds are met. The initial fair value of the contingent milestone liability was recorded as an adjustment to the purchase price. Subsequent changes in the fair value are reported in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Financing Liability </w:t>
      </w:r>
      <w:r>
        <w:rPr>
          <w:rFonts w:ascii="Times New Roman" w:cs="Times New Roman" w:eastAsia="Times New Roman" w:hAnsi="Times New Roman"/>
          <w:sz w:val="18"/>
          <w:szCs w:val="18"/>
          <w:color w:val="auto"/>
        </w:rPr>
        <w:t>— The Sale-Leaseback Transaction in November 2021 resulted in a financing liability. See Note 14 –</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Liability for Sale of Future Royalties </w:t>
      </w:r>
      <w:r>
        <w:rPr>
          <w:rFonts w:ascii="Times New Roman" w:cs="Times New Roman" w:eastAsia="Times New Roman" w:hAnsi="Times New Roman"/>
          <w:sz w:val="18"/>
          <w:szCs w:val="18"/>
          <w:color w:val="auto"/>
        </w:rPr>
        <w:t>— The sale of a portion of our royalty rights in December 2023 resulted in a liability for sale of future royalties.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and Preferred Stock</w:t>
      </w:r>
    </w:p>
    <w:p>
      <w:pPr>
        <w:spacing w:after="0" w:line="12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Company is authorized to issue 800,000,000 shares of common stock, par value $0.01 per share, and 10,000,000 shares of undesignated preferred stock, par value $0.01 per share, issuable in one or more series as designated by the Company’s board of directors. No other class of capital stock is authorized. As of June 30, 2024 and December 31, 2023, 274,467,247 and 270,034,495 shares of common stock, respectively, were issued and outstanding and no shares of preferred stock were outstanding.</w:t>
      </w:r>
    </w:p>
    <w:p>
      <w:pPr>
        <w:spacing w:after="0" w:line="18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Sales Agreement. Under the Sales Agreement, Cantor Fitzgerald may sell shares by any method deemed to be an “at-the-market offering” as defined in Rule 415 under the Securities Act of 1933, as amended. There were no sales under the CF Sales Agreement during the six months ended June 30, 2024. During the six months ended June 30, 2023, the Company sold 631,383 shares of common stock at a weighted average purchase price of $4.40 per share for gross proceeds of approximately $2.8 million pursuant to the CF Sales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27" w:name="page28"/>
    <w:bookmarkEnd w:id="27"/>
    <w:p>
      <w:pPr>
        <w:ind w:right="160"/>
        <w:spacing w:after="0" w:line="281" w:lineRule="auto"/>
        <w:rPr>
          <w:sz w:val="20"/>
          <w:szCs w:val="20"/>
          <w:color w:val="auto"/>
        </w:rPr>
      </w:pPr>
      <w:r>
        <w:rPr>
          <w:rFonts w:ascii="Times New Roman" w:cs="Times New Roman" w:eastAsia="Times New Roman" w:hAnsi="Times New Roman"/>
          <w:sz w:val="18"/>
          <w:szCs w:val="18"/>
          <w:color w:val="auto"/>
        </w:rPr>
        <w:t>During the six months ended June 30, 2024, the Company received $1.4 million from the market price stock purchase plan ("MPSPP") for 416,099 shares of common stock. During the six months ended June 30, 2023, the Company received $0.2 million from the MPSPP for 36,004 shares.</w:t>
      </w:r>
    </w:p>
    <w:p>
      <w:pPr>
        <w:spacing w:after="0" w:line="188"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8"/>
          <w:szCs w:val="18"/>
          <w:color w:val="auto"/>
        </w:rPr>
        <w:t xml:space="preserve">For shares of common stock issued pursuant to the Company's 2004 employee stock purchase plan ("ESPP"), see Note 13 –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components of the basic and diluted EPS computations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EPS — basic:</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(numerator)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(2,014 )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(15,060 )</w:t>
            </w:r>
          </w:p>
        </w:tc>
      </w:tr>
      <w:tr>
        <w:trPr>
          <w:trHeight w:val="247"/>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(denominator)</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273,056</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265,626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271,706</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(0.06 )</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EPS — diluted:</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 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(2,014 )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(15,060 )</w:t>
            </w:r>
          </w:p>
        </w:tc>
      </w:tr>
      <w:tr>
        <w:trPr>
          <w:trHeight w:val="247"/>
        </w:trPr>
        <w:tc>
          <w:tcPr>
            <w:tcW w:w="5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273,056</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265,626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271,706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264,802</w:t>
            </w:r>
          </w:p>
        </w:tc>
        <w:tc>
          <w:tcPr>
            <w:tcW w:w="100" w:type="dxa"/>
            <w:vAlign w:val="bottom"/>
          </w:tcPr>
          <w:p>
            <w:pPr>
              <w:spacing w:after="0"/>
              <w:rPr>
                <w:sz w:val="20"/>
                <w:szCs w:val="20"/>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dilutive securities — common shares issuable</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Adjusted weighted average common shares (denominator)</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273,056</w:t>
            </w: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265,626</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279,358</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264,802</w:t>
            </w:r>
          </w:p>
        </w:tc>
        <w:tc>
          <w:tcPr>
            <w:tcW w:w="100" w:type="dxa"/>
            <w:vAlign w:val="bottom"/>
            <w:tcBorders>
              <w:top w:val="single" w:sz="8" w:color="CFF0FC"/>
            </w:tcBorders>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(0.01 )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(0.06 )</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-1326515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-1326515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-1326515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-367665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-367665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-367665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-24765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For the six months ended June 30, 2024, diluted net income per share excluded the weighted average effect of 7.8 million RSUs and Market RSUs, 1.9 million options and PNQs and 44.1 million common shares issuable upon conversion of our Senior convertible notes, as they were antidilutive.</w:t>
      </w:r>
    </w:p>
    <w:p>
      <w:pPr>
        <w:spacing w:after="0" w:line="16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Common shares issuable represents incremental shares of common stock which consist of RSUs, stock options, warrants, and shares that could be issued upon conversion of the Senior convertible notes and the Mann Group convertible notes. Potentially dilutive securities outstanding which were considered antidilutive due to the net losses incurred for the three months ended June 30, 2024 and three and six months ended June 30, 2023 are summarized as follows (in shares):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2320" w:type="dxa"/>
            <w:vAlign w:val="bottom"/>
            <w:tcBorders>
              <w:bottom w:val="single" w:sz="8" w:color="auto"/>
            </w:tcBorders>
            <w:gridSpan w:val="3"/>
          </w:tcPr>
          <w:p>
            <w:pPr>
              <w:ind w:left="1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80" w:type="dxa"/>
            <w:vAlign w:val="bottom"/>
          </w:tcPr>
          <w:p>
            <w:pPr>
              <w:spacing w:after="0"/>
              <w:rPr>
                <w:sz w:val="14"/>
                <w:szCs w:val="14"/>
                <w:color w:val="auto"/>
              </w:rPr>
            </w:pPr>
          </w:p>
        </w:tc>
        <w:tc>
          <w:tcPr>
            <w:tcW w:w="16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convertible notes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44,120,463</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44,120,463</w:t>
            </w:r>
          </w:p>
        </w:tc>
        <w:tc>
          <w:tcPr>
            <w:tcW w:w="100" w:type="dxa"/>
            <w:vAlign w:val="bottom"/>
            <w:shd w:val="clear" w:color="auto" w:fill="CFF0FC"/>
          </w:tcPr>
          <w:p>
            <w:pPr>
              <w:spacing w:after="0"/>
              <w:rPr>
                <w:sz w:val="20"/>
                <w:szCs w:val="20"/>
                <w:color w:val="auto"/>
              </w:rPr>
            </w:pPr>
          </w:p>
        </w:tc>
      </w:tr>
      <w:tr>
        <w:trPr>
          <w:trHeight w:val="243"/>
        </w:trPr>
        <w:tc>
          <w:tcPr>
            <w:tcW w:w="75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RSUs and Market RSUs</w:t>
            </w:r>
            <w:r>
              <w:rPr>
                <w:rFonts w:ascii="Times New Roman" w:cs="Times New Roman" w:eastAsia="Times New Roman" w:hAnsi="Times New Roman"/>
                <w:sz w:val="24"/>
                <w:szCs w:val="24"/>
                <w:color w:val="auto"/>
                <w:vertAlign w:val="superscript"/>
              </w:rPr>
              <w:t>(1)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16,750,557</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16,951,734</w:t>
            </w:r>
          </w:p>
        </w:tc>
        <w:tc>
          <w:tcPr>
            <w:tcW w:w="100" w:type="dxa"/>
            <w:vAlign w:val="bottom"/>
          </w:tcPr>
          <w:p>
            <w:pPr>
              <w:spacing w:after="0"/>
              <w:rPr>
                <w:sz w:val="21"/>
                <w:szCs w:val="21"/>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 and PNQs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7,920,453</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8,688,625</w:t>
            </w: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Mann Group convertible notes</w:t>
            </w:r>
          </w:p>
        </w:tc>
        <w:tc>
          <w:tcPr>
            <w:tcW w:w="23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3,370,000</w:t>
            </w:r>
          </w:p>
        </w:tc>
        <w:tc>
          <w:tcPr>
            <w:tcW w:w="100" w:type="dxa"/>
            <w:vAlign w:val="bottom"/>
          </w:tcPr>
          <w:p>
            <w:pPr>
              <w:spacing w:after="0"/>
              <w:rPr>
                <w:sz w:val="20"/>
                <w:szCs w:val="20"/>
                <w:color w:val="auto"/>
              </w:rPr>
            </w:pPr>
          </w:p>
        </w:tc>
      </w:tr>
      <w:tr>
        <w:trPr>
          <w:trHeight w:val="234"/>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shares</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68,791,473</w:t>
            </w:r>
          </w:p>
        </w:tc>
        <w:tc>
          <w:tcPr>
            <w:tcW w:w="2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73,130,822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 w:lineRule="exact"/>
        <w:rPr>
          <w:sz w:val="20"/>
          <w:szCs w:val="20"/>
          <w:color w:val="auto"/>
        </w:rPr>
      </w:pPr>
    </w:p>
    <w:p>
      <w:pPr>
        <w:ind w:left="380" w:right="280" w:hanging="372"/>
        <w:spacing w:after="0" w:line="280" w:lineRule="auto"/>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Market RSUs issued in 2021, 2022 and 2023 are included at the share delivery of </w:t>
      </w:r>
      <w:r>
        <w:rPr>
          <w:rFonts w:ascii="Times New Roman" w:cs="Times New Roman" w:eastAsia="Times New Roman" w:hAnsi="Times New Roman"/>
          <w:sz w:val="17"/>
          <w:szCs w:val="17"/>
          <w:color w:val="auto"/>
        </w:rPr>
        <w:t>194</w:t>
      </w:r>
      <w:r>
        <w:rPr>
          <w:rFonts w:ascii="Times New Roman" w:cs="Times New Roman" w:eastAsia="Times New Roman" w:hAnsi="Times New Roman"/>
          <w:sz w:val="16"/>
          <w:szCs w:val="16"/>
          <w:color w:val="auto"/>
        </w:rPr>
        <w:t>%, 178% and 100%, respectively, in accordance with a valuation assessment obtained as of June 30, 2024.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13. 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granted the following awards (in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awards: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RSUs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Market RSUs</w:t>
      </w:r>
    </w:p>
    <w:p>
      <w:pPr>
        <w:spacing w:after="0" w:line="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Non-employee director RSUs</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awards issued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2"/>
        </w:trPr>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41"/>
        </w:trPr>
        <w:tc>
          <w:tcPr>
            <w:tcW w:w="15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tcBorders>
              <w:bottom w:val="single" w:sz="8" w:color="auto"/>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267,990</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3,205,910</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3,473,900</w:t>
            </w:r>
          </w:p>
        </w:tc>
        <w:tc>
          <w:tcPr>
            <w:tcW w:w="0" w:type="dxa"/>
            <w:vAlign w:val="bottom"/>
          </w:tcPr>
          <w:p>
            <w:pPr>
              <w:spacing w:after="0"/>
              <w:rPr>
                <w:sz w:val="1"/>
                <w:szCs w:val="1"/>
                <w:color w:val="auto"/>
              </w:rPr>
            </w:pPr>
          </w:p>
        </w:tc>
      </w:tr>
      <w:tr>
        <w:trPr>
          <w:trHeight w:val="136"/>
        </w:trPr>
        <w:tc>
          <w:tcPr>
            <w:tcW w:w="1520" w:type="dxa"/>
            <w:vAlign w:val="bottom"/>
            <w:vMerge w:val="continue"/>
          </w:tcPr>
          <w:p>
            <w:pPr>
              <w:spacing w:after="0"/>
              <w:rPr>
                <w:sz w:val="11"/>
                <w:szCs w:val="11"/>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500" w:type="dxa"/>
            <w:vAlign w:val="bottom"/>
            <w:vMerge w:val="continue"/>
          </w:tcPr>
          <w:p>
            <w:pPr>
              <w:spacing w:after="0"/>
              <w:rPr>
                <w:sz w:val="11"/>
                <w:szCs w:val="11"/>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9"/>
                <w:szCs w:val="9"/>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2,144,000</w:t>
            </w:r>
          </w:p>
        </w:tc>
        <w:tc>
          <w:tcPr>
            <w:tcW w:w="24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(3</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2,144,000</w:t>
            </w:r>
          </w:p>
        </w:tc>
        <w:tc>
          <w:tcPr>
            <w:tcW w:w="0" w:type="dxa"/>
            <w:vAlign w:val="bottom"/>
          </w:tcPr>
          <w:p>
            <w:pPr>
              <w:spacing w:after="0"/>
              <w:rPr>
                <w:sz w:val="1"/>
                <w:szCs w:val="1"/>
                <w:color w:val="auto"/>
              </w:rPr>
            </w:pPr>
          </w:p>
        </w:tc>
      </w:tr>
      <w:tr>
        <w:trPr>
          <w:trHeight w:val="148"/>
        </w:trPr>
        <w:tc>
          <w:tcPr>
            <w:tcW w:w="1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9"/>
                <w:szCs w:val="9"/>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280,376</w:t>
            </w:r>
          </w:p>
        </w:tc>
        <w:tc>
          <w:tcPr>
            <w:tcW w:w="2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280,376</w:t>
            </w:r>
          </w:p>
        </w:tc>
        <w:tc>
          <w:tcPr>
            <w:tcW w:w="0" w:type="dxa"/>
            <w:vAlign w:val="bottom"/>
          </w:tcPr>
          <w:p>
            <w:pPr>
              <w:spacing w:after="0"/>
              <w:rPr>
                <w:sz w:val="1"/>
                <w:szCs w:val="1"/>
                <w:color w:val="auto"/>
              </w:rPr>
            </w:pPr>
          </w:p>
        </w:tc>
      </w:tr>
      <w:tr>
        <w:trPr>
          <w:trHeight w:val="189"/>
        </w:trPr>
        <w:tc>
          <w:tcPr>
            <w:tcW w:w="15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267,990</w:t>
            </w: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5,630,286</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5,898,276</w:t>
            </w: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-650240</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-341630</wp:posOffset>
            </wp:positionV>
            <wp:extent cx="713232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5400" w:space="720"/>
            <w:col w:w="5120"/>
          </w:cols>
          <w:pgMar w:left="320" w:top="1196" w:right="339" w:bottom="1440" w:gutter="0" w:footer="0" w:header="0"/>
        </w:sectPr>
      </w:pPr>
    </w:p>
    <w:p>
      <w:pPr>
        <w:ind w:left="380" w:right="60" w:hanging="372"/>
        <w:spacing w:after="0" w:line="280"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RSUs had a weighted average grant date fair value of $3.28 per share, of which 211,895 RSUs had a vesting period of 33.3% annually over the second, third, and fourth anniversary of the vesting determination date, 53,720 RSUs had a cliff vesting period of three years, and 2,375 RSUs had a vesting period of 25% annually over four years.</w:t>
      </w:r>
    </w:p>
    <w:p>
      <w:pPr>
        <w:spacing w:after="0" w:line="70" w:lineRule="exact"/>
        <w:rPr>
          <w:rFonts w:ascii="Times New Roman" w:cs="Times New Roman" w:eastAsia="Times New Roman" w:hAnsi="Times New Roman"/>
          <w:sz w:val="13"/>
          <w:szCs w:val="13"/>
          <w:color w:val="auto"/>
        </w:rPr>
      </w:pPr>
    </w:p>
    <w:p>
      <w:pPr>
        <w:jc w:val="both"/>
        <w:ind w:left="380" w:right="120" w:hanging="372"/>
        <w:spacing w:after="0" w:line="280"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RSUs had a weighted average grant date fair value of $4.45 per share, of which 3,033,680 RSUs had a vesting period of 25% annually over four years, 145,980 RSUs had a vesting period of 33.3% annually over the second, third, and fourth anniversary of the vesting determination date, and 26,250 RSUs had a cliff vesting period of two years.</w:t>
      </w:r>
    </w:p>
    <w:p>
      <w:pPr>
        <w:spacing w:after="0" w:line="70" w:lineRule="exact"/>
        <w:rPr>
          <w:rFonts w:ascii="Times New Roman" w:cs="Times New Roman" w:eastAsia="Times New Roman" w:hAnsi="Times New Roman"/>
          <w:sz w:val="13"/>
          <w:szCs w:val="13"/>
          <w:color w:val="auto"/>
        </w:rPr>
      </w:pPr>
    </w:p>
    <w:p>
      <w:pPr>
        <w:ind w:left="380" w:right="220" w:hanging="372"/>
        <w:spacing w:after="0" w:line="276"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Market RSUs had a grant date fair value of $10.30 per share and will vest on July 15, 2027. The number of shares delivered on the vesting date is determined by the percentile ranking of MannKind total shareholder return (TSR) over the period from July 1, 2024 until June 30, 2027 relative to the TSR of the Russell 3000 Pharmaceutical &amp; Biotechnology Index over the same three-year period, as follows: less than 25th percentile=0% of target, 25th percentile=50% of target, 50th percentile=100% of target, 75th percentile=200% of target, 90th percentile or higher=300% maximum. Payout values will be interpolated between the percentile rankings above.</w:t>
      </w:r>
    </w:p>
    <w:p>
      <w:pPr>
        <w:spacing w:after="0" w:line="74" w:lineRule="exact"/>
        <w:rPr>
          <w:rFonts w:ascii="Times New Roman" w:cs="Times New Roman" w:eastAsia="Times New Roman" w:hAnsi="Times New Roman"/>
          <w:sz w:val="13"/>
          <w:szCs w:val="13"/>
          <w:color w:val="auto"/>
        </w:rPr>
      </w:pPr>
    </w:p>
    <w:p>
      <w:pPr>
        <w:ind w:left="380" w:right="240" w:hanging="372"/>
        <w:spacing w:after="0" w:line="297"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RSUs had a weighted average grant date fair value of $4.45 per share and vested immediately upon the grant date; however, the underlying shares of common stock will not be delivered until there is a separation of service such as resignation, retirement or death.</w:t>
      </w:r>
    </w:p>
    <w:p>
      <w:pPr>
        <w:spacing w:after="0" w:line="160"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As of June 30, 2024, there was $28.2 million and $31.4 million of unrecognized stock-based compensation expense related to RSUs and Market RSUs, respectively, which is expected to be recognized over a weighted average period of approximately 2.84 and 2.22 years, respectively.</w:t>
      </w:r>
    </w:p>
    <w:p>
      <w:pPr>
        <w:spacing w:after="0" w:line="163"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operations as cost of goods sold, cost of revenue – collaborations and services, R&amp;D and selling, general and administrative expense was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6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and options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8,882</w:t>
            </w:r>
          </w:p>
        </w:tc>
        <w:tc>
          <w:tcPr>
            <w:tcW w:w="100" w:type="dxa"/>
            <w:vAlign w:val="bottom"/>
            <w:shd w:val="clear" w:color="auto" w:fill="CFF0FC"/>
          </w:tcPr>
          <w:p>
            <w:pPr>
              <w:spacing w:after="0"/>
              <w:rPr>
                <w:sz w:val="20"/>
                <w:szCs w:val="20"/>
                <w:color w:val="auto"/>
              </w:rPr>
            </w:pPr>
          </w:p>
        </w:tc>
      </w:tr>
      <w:tr>
        <w:trPr>
          <w:trHeight w:val="23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r>
      <w:tr>
        <w:trPr>
          <w:trHeight w:val="276"/>
        </w:trPr>
        <w:tc>
          <w:tcPr>
            <w:tcW w:w="6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-24765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-7620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-24765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-7620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provides all employees, including executive officers, the ability to purchase common stock at a discount under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the same as those of all other employees.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approximately 2.6 million shares of common stock available for issuance under the ESPP as of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Guarantees and Indemnifications </w:t>
      </w:r>
      <w:r>
        <w:rPr>
          <w:rFonts w:ascii="Times New Roman" w:cs="Times New Roman" w:eastAsia="Times New Roman" w:hAnsi="Times New Roman"/>
          <w:sz w:val="18"/>
          <w:szCs w:val="18"/>
          <w:color w:val="auto"/>
        </w:rPr>
        <w:t>— In the ordinary course of its business, the Company makes certain indemnities, commitments and guarantees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type w:val="continuous"/>
        </w:sectPr>
      </w:pPr>
    </w:p>
    <w:bookmarkStart w:id="29" w:name="page30"/>
    <w:bookmarkEnd w:id="29"/>
    <w:p>
      <w:pPr>
        <w:ind w:right="160"/>
        <w:spacing w:after="0" w:line="258" w:lineRule="auto"/>
        <w:rPr>
          <w:sz w:val="20"/>
          <w:szCs w:val="20"/>
          <w:color w:val="auto"/>
        </w:rPr>
      </w:pPr>
      <w:r>
        <w:rPr>
          <w:rFonts w:ascii="Times New Roman" w:cs="Times New Roman" w:eastAsia="Times New Roman" w:hAnsi="Times New Roman"/>
          <w:sz w:val="18"/>
          <w:szCs w:val="18"/>
          <w:color w:val="auto"/>
        </w:rPr>
        <w:t>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and therefore has not recorded any liability for these indemnities in the condensed consolidated balance sheets.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is subject to legal proceedings and claims which arise in the ordinary course of its business. The Company does not anticipate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final disposition of any matters will have a material adverse effect on the results of operations, financial position, or cash flows of the Company.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8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Contingencies — Milestone Rights </w:t>
      </w:r>
      <w:r>
        <w:rPr>
          <w:rFonts w:ascii="Times New Roman" w:cs="Times New Roman" w:eastAsia="Times New Roman" w:hAnsi="Times New Roman"/>
          <w:sz w:val="17"/>
          <w:szCs w:val="17"/>
          <w:color w:val="auto"/>
        </w:rPr>
        <w:t>— In July 2013, the Company entered into the Milestone Rights Agreement with the Original Milestone Purchasers,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which the Company granted the Milestone Rights to receive payments up to $90.0 million upon the occurrence of specified strategic and sales milestones, $55.0 million of which remains payable to the Milestone Purchasers as of June 30, 2024. 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168"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As of June 30, 2024 and December 31, 2023, the remaining Milestone Rights liability balance was $3.9 million and consisted of $1.4 million and $0.8 million, respectively, of current liability, which was presented as accrued expenses and other current liabilities, and $2.5 million and $3.1 million, respectively, of long-term liability, which was presented as milestone liabilities in our condensed consolidated balance sheets. During the three months ended June 30, 2024, an Afrezza sales milestone was achieved, resulting in a remeasurement amount of $4.2 million, which was recorded as interest expense and reflected in accrued expenses and other current liabilities in the condensed consolidated balance sheets at June 30, 2024. The value of the Milestone Rights liability was based on initial fair value estimates calculated using the income approach and is reduced by milestone achievement payments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Loss Contingencies — Returns Reserve for Acquired Product — </w:t>
      </w:r>
      <w:r>
        <w:rPr>
          <w:rFonts w:ascii="Times New Roman" w:cs="Times New Roman" w:eastAsia="Times New Roman" w:hAnsi="Times New Roman"/>
          <w:sz w:val="18"/>
          <w:szCs w:val="18"/>
          <w:color w:val="auto"/>
        </w:rPr>
        <w:t>During the six months ended June 30, 2024, the Company reassessed its previously-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estimate for product returns associated with sales of V-Go that pre-date the Company's acquisition of the product and recorded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 million, of which $1.3 million remains and is included in accrued expenses and other current liabilities in the condensed consolidated balance sheets 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June 30, 2024. Losses on estimated returns of acquired product totaling $0.3 million and $1.4 million were recorded in 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 the condensed consolidated statements of operations for the three and six months ended June 30, 2024, respectively.</w:t>
      </w:r>
    </w:p>
    <w:p>
      <w:pPr>
        <w:spacing w:after="0" w:line="2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Liability for Sale of Future Royalties </w:t>
      </w:r>
      <w:r>
        <w:rPr>
          <w:rFonts w:ascii="Times New Roman" w:cs="Times New Roman" w:eastAsia="Times New Roman" w:hAnsi="Times New Roman"/>
          <w:sz w:val="18"/>
          <w:szCs w:val="18"/>
          <w:color w:val="auto"/>
        </w:rPr>
        <w:t>— In December 2023, the Company executed a Purchase and Sale Agreement (the “PSA”) with Sagard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Funding Borrower SPE 2, LP (“Sagard”). Pursuant to the PSA, Sagard paid the Company $150.0 million (the “Upfront Proceeds”), net of $0.4 million in reimbursements of Sagard’s fees and expenses (the “Reimbursements”), for the purchase of a 1% royalty on future net sales of Tyvaso DPI by UT under the terms of the UT License Agreement (the “Sagard Royalty”). Sagard will also pay the Company a milestone of $50.0 million if net sales of Tyvaso DPI meet or exceed $1.9 billion for any twelve consecutive months on or prior to December 31, 2026 (“Net Sales Threshold A”), or a milestone of $45.0 million if net Sales Threshold A is not met and net sales of Tyvaso DPI meet or exceed $2.3 billion for any twelve consecutive months on or prior to September 30, 2027 (“Net Sales Threshold B”), resulting in a purchase price not to exceed $200.0 million (the “Purchase Price”). If Net Sales Thresholds A and B are not met and net sales of Tyvaso DPI meet or exceed $3.5 billion for any calendar year after September 30, 2027, no royalties will be payable to Sagard for the remainder of that year. The PSA applies to net sales of Tyvaso DPI generated during October 1, 2023 through December 31, 2042 (the “Termination Date”) and will automatically terminate upon payment of the final royalty owed to Sagard thereafter. Upon the Termination Date, ownership of the Sagard Royalty will revert to the Company.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0" w:name="page31"/>
    <w:bookmarkEnd w:id="30"/>
    <w:p>
      <w:pPr>
        <w:ind w:right="80"/>
        <w:spacing w:after="0" w:line="254" w:lineRule="auto"/>
        <w:rPr>
          <w:sz w:val="20"/>
          <w:szCs w:val="20"/>
          <w:color w:val="auto"/>
        </w:rPr>
      </w:pPr>
      <w:r>
        <w:rPr>
          <w:rFonts w:ascii="Times New Roman" w:cs="Times New Roman" w:eastAsia="Times New Roman" w:hAnsi="Times New Roman"/>
          <w:sz w:val="18"/>
          <w:szCs w:val="18"/>
          <w:color w:val="auto"/>
        </w:rPr>
        <w:t>Given the Company’s continuing involvement with the generation of Tyvaso DPI revenue under the UT License Agreement and CSA, which includes the Company’s supply and manufacture of Tyvaso DPI, and the Company’s retention and associated defense and maintenance obligations of the intellectual property required in the manufacture of Tyvaso DPI, the Upfront Proceeds were recorded as a liability for sale of future royalties (the “Royalty Liability”) on the condensed consolidated balance sheets, and any proceeds from future milestones will be added to the Royalty Liability balance upon receipt. Although the Company is not obligated to repay any portion of the Purchase Price to Sagard, the Royalty Liability under the PSA is secured by a security interest granted to Sagard in the underlying 1% royalty rights and any proceeds therefrom. As a result of the PSA, transaction costs totaling $4.4 million (including the Reimbursements) are reported net of the Royalty Liability balance and amortized to interest expense in the condensed consolidated statements of operations over the life of the PSA using the effective interest method. Unamortized transaction costs totaled $4.3 million and $4.4 million at June 30, 2024 and December 31, 2023, respectively.</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will continue to recognize the full 10% of future royalty revenues in its condensed consolidated statements of operations, with the Sagard Royalty being non-cash revenue for the Company. As royalty payments are earned by and remitted to Sagard, the balance of the Royalty Liability will be effectively repaid as it is amortized over the life of the PSA. To amortize the Royalty Liability, the Company estimated the total amount of future royalty payments to be made to Sagard over the life of the PSA. The excess of those future estimated royalty payments over the Purchase Price proceeds received is recognized in the condensed consolidated statements of operations as non-cash interest expense over the life of the PSA utilizing an imputed effective interest rate.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royalty payments which affects the timing and ultimate amount of reductions to the liability. The Company will evaluate the effective interest rate periodically based on its forecasted royalty payments utilizing the prospective method.</w:t>
      </w:r>
    </w:p>
    <w:p>
      <w:pPr>
        <w:spacing w:after="0" w:line="186" w:lineRule="exact"/>
        <w:rPr>
          <w:sz w:val="20"/>
          <w:szCs w:val="20"/>
          <w:color w:val="auto"/>
        </w:rPr>
      </w:pPr>
    </w:p>
    <w:p>
      <w:pPr>
        <w:ind w:right="540"/>
        <w:spacing w:after="0" w:line="265" w:lineRule="auto"/>
        <w:rPr>
          <w:sz w:val="20"/>
          <w:szCs w:val="20"/>
          <w:color w:val="auto"/>
        </w:rPr>
      </w:pPr>
      <w:r>
        <w:rPr>
          <w:rFonts w:ascii="Times New Roman" w:cs="Times New Roman" w:eastAsia="Times New Roman" w:hAnsi="Times New Roman"/>
          <w:sz w:val="18"/>
          <w:szCs w:val="18"/>
          <w:color w:val="auto"/>
        </w:rPr>
        <w:t>The Company periodically assesses the forecasted royalty payments using a combination of historical results, internal projections and forecasts from external sources. To the extent such payments, or the timing of such payments, are materially different than original estimates, the Company will prospectively adjust the effective interest rate and amortization of the Royalty Liability.</w:t>
      </w:r>
    </w:p>
    <w:p>
      <w:pPr>
        <w:spacing w:after="0" w:line="17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following table shows the activity within the Royalty Liability account during the six months ended June 30, 2024 as well as the effective interest rate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January 1, 2024</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145,810</w:t>
            </w:r>
          </w:p>
        </w:tc>
        <w:tc>
          <w:tcPr>
            <w:tcW w:w="100" w:type="dxa"/>
            <w:vAlign w:val="bottom"/>
            <w:shd w:val="clear" w:color="auto" w:fill="CFF0FC"/>
          </w:tcPr>
          <w:p>
            <w:pPr>
              <w:spacing w:after="0"/>
              <w:rPr>
                <w:sz w:val="21"/>
                <w:szCs w:val="21"/>
                <w:color w:val="auto"/>
              </w:rPr>
            </w:pPr>
          </w:p>
        </w:tc>
      </w:tr>
      <w:tr>
        <w:trPr>
          <w:trHeight w:val="238"/>
        </w:trPr>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deferred transaction costs</w:t>
            </w:r>
          </w:p>
        </w:tc>
        <w:tc>
          <w:tcPr>
            <w:tcW w:w="5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r>
      <w:tr>
        <w:trPr>
          <w:trHeight w:val="247"/>
        </w:trPr>
        <w:tc>
          <w:tcPr>
            <w:tcW w:w="8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 on liability for sale of future royalties</w:t>
            </w:r>
          </w:p>
        </w:tc>
        <w:tc>
          <w:tcPr>
            <w:tcW w:w="5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00" w:type="dxa"/>
            <w:vAlign w:val="bottom"/>
            <w:shd w:val="clear" w:color="auto" w:fill="CFF0FC"/>
          </w:tcPr>
          <w:p>
            <w:pPr>
              <w:spacing w:after="0"/>
              <w:rPr>
                <w:sz w:val="21"/>
                <w:szCs w:val="21"/>
                <w:color w:val="auto"/>
              </w:rPr>
            </w:pPr>
          </w:p>
        </w:tc>
      </w:tr>
      <w:tr>
        <w:trPr>
          <w:trHeight w:val="243"/>
        </w:trPr>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revenue earned by or payable to Sagard</w:t>
            </w:r>
          </w:p>
        </w:tc>
        <w:tc>
          <w:tcPr>
            <w:tcW w:w="560" w:type="dxa"/>
            <w:vAlign w:val="bottom"/>
          </w:tcPr>
          <w:p>
            <w:pPr>
              <w:spacing w:after="0"/>
              <w:rPr>
                <w:sz w:val="21"/>
                <w:szCs w:val="21"/>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(6,927 )</w:t>
            </w:r>
          </w:p>
        </w:tc>
      </w:tr>
      <w:tr>
        <w:trPr>
          <w:trHeight w:val="276"/>
        </w:trPr>
        <w:tc>
          <w:tcPr>
            <w:tcW w:w="8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147,514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8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56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 — 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Sale-Leaseback Transaction</w:t>
      </w:r>
      <w:r>
        <w:rPr>
          <w:rFonts w:ascii="Times New Roman" w:cs="Times New Roman" w:eastAsia="Times New Roman" w:hAnsi="Times New Roman"/>
          <w:sz w:val="18"/>
          <w:szCs w:val="18"/>
          <w:color w:val="auto"/>
        </w:rPr>
        <w:t>— In November 2021, the Company sold certain land, building and improvements located in Danbury, CT (the "Property")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affiliate of Creative Manufacturing Properties (the "Purchaser") for a sales price of $102.3 million, subject to terms and the conditions contained in a purchase and sale agreement.</w:t>
      </w:r>
    </w:p>
    <w:p>
      <w:pPr>
        <w:spacing w:after="0" w:line="17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 (ii) 3% in the sixth and each subsequent year of the Lease, including any renewal term.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and (ii) the fair market value of the Property.</w:t>
      </w:r>
    </w:p>
    <w:p>
      <w:pPr>
        <w:spacing w:after="0" w:line="18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1" w:name="page32"/>
    <w:bookmarkEnd w:id="31"/>
    <w:p>
      <w:pPr>
        <w:jc w:val="both"/>
        <w:ind w:right="360"/>
        <w:spacing w:after="0" w:line="265" w:lineRule="auto"/>
        <w:rPr>
          <w:sz w:val="20"/>
          <w:szCs w:val="20"/>
          <w:color w:val="auto"/>
        </w:rPr>
      </w:pPr>
      <w:r>
        <w:rPr>
          <w:rFonts w:ascii="Times New Roman" w:cs="Times New Roman" w:eastAsia="Times New Roman" w:hAnsi="Times New Roman"/>
          <w:sz w:val="18"/>
          <w:szCs w:val="18"/>
          <w:color w:val="auto"/>
        </w:rPr>
        <w:t>As of June 30, 2024, the related financing liability was $104.0 million, which was recognized in the condensed consolidated balance sheet and of which $94.1 million was long-term and $9.9 million was current. As of December 31, 2023, the related financing liability was $104.1 million, of which $94.3 million was long-term and $9.8 million was current.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liability information was as follows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9.0 %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577"/>
        </w:trPr>
        <w:tc>
          <w:tcPr>
            <w:tcW w:w="5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5"/>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58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5"/>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58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2,444</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6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remaining financing liability payments were as follows (in thousands):</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5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gridSpan w:val="2"/>
          </w:tcPr>
          <w:p>
            <w:pPr>
              <w:spacing w:after="0"/>
              <w:rPr>
                <w:sz w:val="24"/>
                <w:szCs w:val="2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177,278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225,130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(118,530 )</w:t>
            </w:r>
          </w:p>
        </w:tc>
        <w:tc>
          <w:tcPr>
            <w:tcW w:w="60" w:type="dxa"/>
            <w:vAlign w:val="bottom"/>
          </w:tcPr>
          <w:p>
            <w:pPr>
              <w:spacing w:after="0"/>
              <w:rPr>
                <w:sz w:val="20"/>
                <w:szCs w:val="20"/>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(2,571 )</w:t>
            </w:r>
          </w:p>
        </w:tc>
        <w:tc>
          <w:tcPr>
            <w:tcW w:w="60" w:type="dxa"/>
            <w:vAlign w:val="bottom"/>
          </w:tcPr>
          <w:p>
            <w:pPr>
              <w:spacing w:after="0"/>
              <w:rPr>
                <w:sz w:val="21"/>
                <w:szCs w:val="21"/>
                <w:color w:val="auto"/>
              </w:rPr>
            </w:pPr>
          </w:p>
        </w:tc>
      </w:tr>
      <w:tr>
        <w:trPr>
          <w:trHeight w:val="236"/>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financing liability</w:t>
            </w:r>
          </w:p>
        </w:tc>
        <w:tc>
          <w:tcPr>
            <w:tcW w:w="720" w:type="dxa"/>
            <w:vAlign w:val="bottom"/>
            <w:tcBorders>
              <w:top w:val="single" w:sz="8" w:color="CFF0FC"/>
            </w:tcBorders>
          </w:tcPr>
          <w:p>
            <w:pPr>
              <w:spacing w:after="0"/>
              <w:rPr>
                <w:sz w:val="20"/>
                <w:szCs w:val="20"/>
                <w:color w:val="auto"/>
              </w:rPr>
            </w:pPr>
          </w:p>
        </w:tc>
        <w:tc>
          <w:tcPr>
            <w:tcW w:w="42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70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104,029</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Financing Lease </w:t>
      </w:r>
      <w:r>
        <w:rPr>
          <w:rFonts w:ascii="Times New Roman" w:cs="Times New Roman" w:eastAsia="Times New Roman" w:hAnsi="Times New Roman"/>
          <w:sz w:val="18"/>
          <w:szCs w:val="18"/>
          <w:color w:val="auto"/>
        </w:rPr>
        <w:t>— In May 2024, the Company acquired audio-visual equipment via a financing lease with</w:t>
      </w:r>
      <w:r>
        <w:rPr>
          <w:rFonts w:ascii="Times New Roman" w:cs="Times New Roman" w:eastAsia="Times New Roman" w:hAnsi="Times New Roman"/>
          <w:sz w:val="18"/>
          <w:szCs w:val="18"/>
          <w:i w:val="1"/>
          <w:iCs w:val="1"/>
          <w:color w:val="auto"/>
        </w:rPr>
        <w:t xml:space="preserve"> de minimis </w:t>
      </w:r>
      <w:r>
        <w:rPr>
          <w:rFonts w:ascii="Times New Roman" w:cs="Times New Roman" w:eastAsia="Times New Roman" w:hAnsi="Times New Roman"/>
          <w:sz w:val="18"/>
          <w:szCs w:val="18"/>
          <w:color w:val="auto"/>
        </w:rPr>
        <w:t>monthly principal and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and a termination date in May 2029.</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lease information was as follows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76"/>
        </w:trPr>
        <w:tc>
          <w:tcPr>
            <w:tcW w:w="9260" w:type="dxa"/>
            <w:vAlign w:val="bottom"/>
            <w:tcBorders>
              <w:bottom w:val="single" w:sz="8" w:color="CFF0FC"/>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Financing lease right-of-use asset</w:t>
            </w:r>
            <w:r>
              <w:rPr>
                <w:rFonts w:ascii="Times New Roman" w:cs="Times New Roman" w:eastAsia="Times New Roman" w:hAnsi="Times New Roman"/>
                <w:sz w:val="24"/>
                <w:szCs w:val="24"/>
                <w:color w:val="auto"/>
                <w:vertAlign w:val="superscript"/>
              </w:rPr>
              <w:t>(1)</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9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92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Financing lease liability-current</w:t>
            </w:r>
            <w:r>
              <w:rPr>
                <w:rFonts w:ascii="Times New Roman" w:cs="Times New Roman" w:eastAsia="Times New Roman" w:hAnsi="Times New Roman"/>
                <w:sz w:val="24"/>
                <w:szCs w:val="24"/>
                <w:color w:val="auto"/>
                <w:vertAlign w:val="superscript"/>
              </w:rPr>
              <w:t>(2)</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liability-long-term</w:t>
            </w: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6"/>
        </w:trPr>
        <w:tc>
          <w:tcPr>
            <w:tcW w:w="9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9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139"/>
        </w:trPr>
        <w:tc>
          <w:tcPr>
            <w:tcW w:w="926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-1174750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-1158240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-524510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-507365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hanging="372"/>
        <w:spacing w:after="0"/>
        <w:tabs>
          <w:tab w:leader="none" w:pos="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Financing right-of-use asset is included in other assets in the condensed consolidated balance sheets.</w:t>
      </w:r>
    </w:p>
    <w:p>
      <w:pPr>
        <w:spacing w:after="0" w:line="8"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Financing lease liability – current is included in accrued expenses and other current liabilities in the condensed consolidated balance sheets.</w:t>
      </w: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0" w:right="2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The Company's remaining financing lease payments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0"/>
                <w:szCs w:val="20"/>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r>
        <w:trPr>
          <w:trHeight w:val="240"/>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FF0FC"/>
          </w:tcPr>
          <w:p>
            <w:pPr>
              <w:spacing w:after="0"/>
              <w:rPr>
                <w:sz w:val="20"/>
                <w:szCs w:val="20"/>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30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r>
      <w:tr>
        <w:trPr>
          <w:trHeight w:val="27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financing liability</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 In July 2014, the Company entered into the Insulin Supply Agreement pursuant to which Amphastar manufactures for and supplies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7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In December 2023, the Company and Amphastar amended the Insulin Supply Agreement to extend the term, restructure the annual purchase commitments and include a capacity fee for certain future periods. The Company's remaining purchase commitments and estimated capacity fee liability as of June 30, 2024 were as follows (€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161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900" w:type="dxa"/>
            <w:vAlign w:val="bottom"/>
          </w:tcPr>
          <w:p>
            <w:pPr>
              <w:spacing w:after="0"/>
              <w:rPr>
                <w:sz w:val="11"/>
                <w:szCs w:val="11"/>
                <w:color w:val="auto"/>
              </w:rPr>
            </w:pPr>
          </w:p>
        </w:tc>
        <w:tc>
          <w:tcPr>
            <w:tcW w:w="1660" w:type="dxa"/>
            <w:vAlign w:val="bottom"/>
          </w:tcPr>
          <w:p>
            <w:pPr>
              <w:jc w:val="center"/>
              <w:ind w:left="228"/>
              <w:spacing w:after="0" w:line="131" w:lineRule="exact"/>
              <w:rPr>
                <w:sz w:val="20"/>
                <w:szCs w:val="20"/>
                <w:color w:val="auto"/>
              </w:rPr>
            </w:pPr>
            <w:r>
              <w:rPr>
                <w:rFonts w:ascii="Times New Roman" w:cs="Times New Roman" w:eastAsia="Times New Roman" w:hAnsi="Times New Roman"/>
                <w:sz w:val="14"/>
                <w:szCs w:val="14"/>
                <w:b w:val="1"/>
                <w:bCs w:val="1"/>
                <w:color w:val="auto"/>
              </w:rPr>
              <w:t>Remaining Purchase</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Estimated Capacity Fees</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900" w:type="dxa"/>
            <w:vAlign w:val="bottom"/>
          </w:tcPr>
          <w:p>
            <w:pPr>
              <w:spacing w:after="0"/>
              <w:rPr>
                <w:sz w:val="16"/>
                <w:szCs w:val="16"/>
                <w:color w:val="auto"/>
              </w:rPr>
            </w:pPr>
          </w:p>
        </w:tc>
        <w:tc>
          <w:tcPr>
            <w:tcW w:w="166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2026</w:t>
            </w:r>
            <w:r>
              <w:rPr>
                <w:rFonts w:ascii="Times New Roman" w:cs="Times New Roman" w:eastAsia="Times New Roman" w:hAnsi="Times New Roman"/>
                <w:sz w:val="24"/>
                <w:szCs w:val="24"/>
                <w:color w:val="auto"/>
                <w:vertAlign w:val="superscript"/>
              </w:rPr>
              <w:t>(1)</w:t>
            </w:r>
          </w:p>
        </w:tc>
        <w:tc>
          <w:tcPr>
            <w:tcW w:w="16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6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6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16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16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60" w:type="dxa"/>
            <w:vAlign w:val="bottom"/>
          </w:tcPr>
          <w:p>
            <w:pPr>
              <w:spacing w:after="0"/>
              <w:rPr>
                <w:sz w:val="20"/>
                <w:szCs w:val="20"/>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03" w:lineRule="exact"/>
        <w:rPr>
          <w:sz w:val="20"/>
          <w:szCs w:val="20"/>
          <w:color w:val="auto"/>
        </w:rPr>
      </w:pPr>
    </w:p>
    <w:p>
      <w:pPr>
        <w:ind w:left="380" w:right="80" w:hanging="372"/>
        <w:spacing w:after="0" w:line="315" w:lineRule="auto"/>
        <w:tabs>
          <w:tab w:leader="none" w:pos="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If there is a delay in the availability of insulin with FDA approved inclusion bodies and supply does not begin in 2026 as currently expected, the Company will incur a capacity fee of €750,000 per quarter that the product is not available for purchase.</w:t>
      </w:r>
    </w:p>
    <w:p>
      <w:pPr>
        <w:spacing w:after="0" w:line="14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Pursuant to the amendment, the term of the Insulin Supply Agreement expires on the later of December 31, 2034 or until the completion of the total remaining purchase commitment quantities,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8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Company periodically reviews the terms of the long-term Insulin Supply Agreement and assesses the need for any accrual for estimated losses, such as lower-of-cost or net-realizable-value that will not be recovered by future product sales. The recognized loss on purchase commitments of $60.2 million and $64.8 million is included in our condensed consolidated balance sheets as of June 30, 2024 and December 31, 2023, respectively, and is reduced as inventory items are received or such liability is extinguished.</w:t>
      </w:r>
    </w:p>
    <w:p>
      <w:pPr>
        <w:spacing w:after="0" w:line="18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As a result of the increase in future cash flows for the excess capacity fees and extended term included in the amendment of the Insulin Supply Agreement, the Company analyzed the need for additional estimated losses and concluded that an increase in the recognized loss on purchase commitments was not required as the net realizable value of inventory resulting from the purchase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commitment was in excess of the carrying value. Increases in costs associated with the amendment will be recognized through inventory as incurred.</w:t>
      </w:r>
    </w:p>
    <w:p>
      <w:pPr>
        <w:spacing w:after="0" w:line="22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Vehicle Leases – </w:t>
      </w:r>
      <w:r>
        <w:rPr>
          <w:rFonts w:ascii="Times New Roman" w:cs="Times New Roman" w:eastAsia="Times New Roman" w:hAnsi="Times New Roman"/>
          <w:sz w:val="18"/>
          <w:szCs w:val="18"/>
          <w:color w:val="auto"/>
        </w:rPr>
        <w:t>During the second quarter of 2018, the Company entered into a master lease agreement with Enterprise Fleet Management Inc.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payment inclusive of maintenance fees, insurance and taxes is approximately $0.1 million. The lease expense is included in selling expenses in the condensed consolidated statements of operations.</w:t>
      </w:r>
    </w:p>
    <w:p>
      <w:pPr>
        <w:spacing w:after="0" w:line="1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Office Leases </w:t>
      </w:r>
      <w:r>
        <w:rPr>
          <w:rFonts w:ascii="Times New Roman" w:cs="Times New Roman" w:eastAsia="Times New Roman" w:hAnsi="Times New Roman"/>
          <w:sz w:val="18"/>
          <w:szCs w:val="18"/>
          <w:color w:val="auto"/>
        </w:rPr>
        <w:t>— In May 2017, the Company executed an office lease with Russell Ranch Road II LLC for the Company’s corporate offices in Westlake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Village, California, which was renewed in April 2022. Pursuant to the renewal, the monthly lease payments of $79,543 began in February 2023 and are subject to 3% annual increases, plus the estimated cost of maintaining the property and common areas by the landlord, and are further subject to a six-month base rent concession beginning February 2023. The Company is also entitled to a one-time allowance up to $0.9 million as reimbursement for tenant improvements or the purchase of furniture, fixtures or equipment. Of the $0.9 million allowance, an amount up to $0.7 million may be applied as an additional base rent concession. The Company has no further right to extend the lease term beyond July 31, 2028.</w:t>
      </w:r>
    </w:p>
    <w:p>
      <w:pPr>
        <w:spacing w:after="0" w:line="188"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In May 2022, the Company assumed certain leased real property (the “Marlborough Lease”) in connection with the V-Go acquisition. The Marlborough Lease pertains to certain premises in a building located in Marlborough, Massachusetts. The monthly payments of $28,895 began in June 2022, subject to approximately 3% annual increases through February 28, 2026.</w:t>
      </w:r>
    </w:p>
    <w:p>
      <w:pPr>
        <w:spacing w:after="0" w:line="177"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The Company also acquired rights to a manufacturing service agreement where V-Go is manufactured using Company-owned equipment located at the manufacturing facility. The Company determined that this arrangement results in an embedded lease which granted the Company exclusive use of space within the manufacturing facility. The Company assessed the embedded lease cost to be $14,370 per month through February 28,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information was as follows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76"/>
        </w:trPr>
        <w:tc>
          <w:tcPr>
            <w:tcW w:w="7700" w:type="dxa"/>
            <w:vAlign w:val="bottom"/>
            <w:tcBorders>
              <w:bottom w:val="single" w:sz="8" w:color="CFF0FC"/>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Operating lease right-of-use assets</w:t>
            </w:r>
            <w:r>
              <w:rPr>
                <w:rFonts w:ascii="Times New Roman" w:cs="Times New Roman" w:eastAsia="Times New Roman" w:hAnsi="Times New Roman"/>
                <w:sz w:val="24"/>
                <w:szCs w:val="24"/>
                <w:color w:val="auto"/>
                <w:vertAlign w:val="superscript"/>
              </w:rPr>
              <w:t>(1)</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46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liability-current</w:t>
            </w:r>
            <w:r>
              <w:rPr>
                <w:rFonts w:ascii="Times New Roman" w:cs="Times New Roman" w:eastAsia="Times New Roman" w:hAnsi="Times New Roman"/>
                <w:sz w:val="24"/>
                <w:szCs w:val="24"/>
                <w:color w:val="auto"/>
                <w:vertAlign w:val="superscript"/>
              </w:rPr>
              <w:t>(2)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3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liability-long-term</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3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7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tcPr>
          <w:p>
            <w:pPr>
              <w:spacing w:after="0"/>
              <w:rPr>
                <w:sz w:val="13"/>
                <w:szCs w:val="13"/>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 w:type="dxa"/>
            <w:vAlign w:val="bottom"/>
          </w:tcPr>
          <w:p>
            <w:pPr>
              <w:spacing w:after="0"/>
              <w:rPr>
                <w:sz w:val="20"/>
                <w:szCs w:val="20"/>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7.3 %</w:t>
            </w:r>
          </w:p>
        </w:tc>
        <w:tc>
          <w:tcPr>
            <w:tcW w:w="16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139"/>
        </w:trPr>
        <w:tc>
          <w:tcPr>
            <w:tcW w:w="770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-1174750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-1158240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-1174750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-1158240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-687070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-687070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380" w:hanging="372"/>
        <w:spacing w:after="0" w:line="257" w:lineRule="auto"/>
        <w:tabs>
          <w:tab w:leader="none" w:pos="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Operating right-of-use assets related to vehicles, offices and the manufacturing facility for V-Go are included in other assets in the condensed consolidated balance sheets.</w:t>
      </w:r>
    </w:p>
    <w:p>
      <w:pPr>
        <w:ind w:left="380" w:hanging="372"/>
        <w:spacing w:after="0"/>
        <w:tabs>
          <w:tab w:leader="none" w:pos="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Operating lease liability – current is included in accrued expenses and other current liabilities in the condensed 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gridSpan w:val="3"/>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future minimum office and vehicle lease payments were as follows (in thousands):</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8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9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(693 )</w:t>
            </w:r>
          </w:p>
        </w:tc>
        <w:tc>
          <w:tcPr>
            <w:tcW w:w="0" w:type="dxa"/>
            <w:vAlign w:val="bottom"/>
          </w:tcPr>
          <w:p>
            <w:pPr>
              <w:spacing w:after="0"/>
              <w:rPr>
                <w:sz w:val="1"/>
                <w:szCs w:val="1"/>
                <w:color w:val="auto"/>
              </w:rPr>
            </w:pPr>
          </w:p>
        </w:tc>
      </w:tr>
      <w:tr>
        <w:trPr>
          <w:trHeight w:val="234"/>
        </w:trPr>
        <w:tc>
          <w:tcPr>
            <w:tcW w:w="3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98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90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CFF0FC"/>
            </w:tcBorders>
          </w:tcPr>
          <w:p>
            <w:pPr>
              <w:spacing w:after="0"/>
              <w:rPr>
                <w:sz w:val="20"/>
                <w:szCs w:val="20"/>
                <w:color w:val="auto"/>
              </w:rPr>
            </w:pPr>
          </w:p>
        </w:tc>
        <w:tc>
          <w:tcPr>
            <w:tcW w:w="78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38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8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00" w:right="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income tax expense of $0.3 million and $0.6 million, respectively, related to state taxes, which was calculated using the discrete year-to-date method. The income tax provision for the three and six months ended June 30, 2023 resulted in no tax expense. The effective tax rate differs from the statutory tax rate of 21% primarily due to the existence of valuation allowances against net deferred tax assets and current liabilities resulting from the estimated state income tax liabilities.</w:t>
      </w:r>
    </w:p>
    <w:p>
      <w:pPr>
        <w:spacing w:after="0" w:line="182"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6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expense. During the six months ended June 30, 2024, the Company did not recognize any interest or penalties. The Company’s tax years since 2019 remain subject to examination by tax authorities.</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June 2024, California enacted Senate Bills 167 and 175 ("SB 167" and "SB 175"). SB 167 suspends the use of net operating losses ("NOLs") and limits the use of business credits to $5.0 million for the 2024-2026 tax years. Under SB 175, the NOL suspension and credit limitations will not apply for the 2025 and 2026 tax years if certain budget goals are met. Although the Company does not expect this legislation to have a material effect on its results of operations or cash flows, management continues to evaluate any potential impact.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2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On May 28, 2024, the Company executed a bill of sale and assignment agreement with Pulmatrix, Inc. (the "Seller") whereby the Company would acquire from the Seller certain lab assets and assume certain liabilities, including the lease for a R&amp;D facility in Bedford, Massachusetts. Concurrently, the Company and the Seller entered into (i) an intellectual property cross-license agreement for the Company's out-licensing of its Cricket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device to the Seller and in-licensing of the Seller's iSPERSE™ technology, (ii) an assignment and assumption of lease, and (iii) a master service agreement. The parties and Cobalt PropCo 2020 LLC, as landlord, also entered into an amendment to lease and consent to assignment of the lease. Each of these agreements became effective upon the closing of the collective transaction on July 8, 2024 (the "Effective Date"). The Company also entered into employment agreements with 13 Pulmatrix employees which began employment with the Company on the Effective Date.</w:t>
      </w:r>
    </w:p>
    <w:p>
      <w:pPr>
        <w:spacing w:after="0" w:line="19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June 2024, in anticipation of the facility lease assumption on the Effective Date, the Company transferred $0.7 million to a depository account at a financial institution to collateralize a conditional stand-by letter of credit as required under the lease. This amount is reflected as long-term restricted cash as of June 30, 2024. The lease term extends from the Effective Date through November 30, 2033 with monthly payments of $0.1 million increasing 3% annually starting on December 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the process of assessing the fair values of the consideration paid and net assets acquired.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2023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innovative therapeutic products and devices to address serious unmet medical needs for those living with endocrine and orphan lung diseases. Our signature technologies—Technosphere dry-powder formulations and Dreamboat inhalation devices—offer rapid and convenient delivery of medicines to the deep lung where they can exert an effect locally or enter the systemic circulation.</w:t>
      </w:r>
    </w:p>
    <w:p>
      <w:pPr>
        <w:spacing w:after="0" w:line="18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Afrezza was developed by us and received approval from the FDA in June 2014. Afrezza consists of a dry powder formulation of human insulin delivered from a small portable inhaler. V-Go received 510(k) clearance by the FDA in 2010 and has been available commercially since 2012. In May 2022, we acquired V-Go from Zealand Pharma A/S and Zealand Pharma US, Inc. (together “Zealand”) and began integrating the product into our endocrine business unit. V-Go is a mechanical basal-bolus insulin delivery system that is worn like a patch and can eliminate the need for taking multiple daily injections.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are currently running two open-label randomized clinical studies of Afrezza. INHALE-3 is a Phase 4 clinical study evaluating the efficacy and safety of Afrezza combined with insulin degludec versus usual care in adults with type 1 diabetes. The results of the first meal dosing data for INHALE-3 were published in </w:t>
      </w:r>
      <w:r>
        <w:rPr>
          <w:rFonts w:ascii="Times New Roman" w:cs="Times New Roman" w:eastAsia="Times New Roman" w:hAnsi="Times New Roman"/>
          <w:sz w:val="18"/>
          <w:szCs w:val="18"/>
          <w:i w:val="1"/>
          <w:iCs w:val="1"/>
          <w:color w:val="auto"/>
        </w:rPr>
        <w:t>Diabetes Care</w:t>
      </w:r>
      <w:r>
        <w:rPr>
          <w:rFonts w:ascii="Times New Roman" w:cs="Times New Roman" w:eastAsia="Times New Roman" w:hAnsi="Times New Roman"/>
          <w:sz w:val="18"/>
          <w:szCs w:val="18"/>
          <w:color w:val="auto"/>
        </w:rPr>
        <w:t xml:space="preserve"> in July 2024 and the 17-week randomized treatment phase top-line data was presented at the American Diabetes Association conference in June 2024. We plan to present additional data at the Association of Diabetes Care and Education Specialists conference in August 2024. INHALE-1 is a Phase 3 clinical study evaluating the efficacy and safety of Afrezza in combination with basal insulin versus multiple daily injections of insulin in children and adolescents aged 4-17 who are living with type 1 or type 2 diabetes. A primary endpoint analysis for INHALE-1 is expected in the fourth quarter of 2024, with full results expected in the first half of 2025 and a planned FDA submission for a label expansion in 2025.</w:t>
      </w:r>
    </w:p>
    <w:p>
      <w:pPr>
        <w:spacing w:after="0" w:line="18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first product to come out of our orphan lung disease pipeline, Tyvaso DPI (treprostinil) inhalation powder, received FDA approval in May 2022 for the treatment of PAH and PH-ILD. Our development and marketing partner, United Therapeutics, began commercializing Tyvaso DPI in June 2022 and is obligated to pay us a royalty on net sales of the product. We also receive a margin on supplies of Tyvaso DPI that we manufacture for UT.</w:t>
      </w:r>
    </w:p>
    <w:p>
      <w:pPr>
        <w:spacing w:after="0" w:line="1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lead program in our pipeline of potential treatments for orphan lung diseases is MNKD-101, a nebulized formulation of clofazimine, for the treatment of severe chronic and recurrent pulmonary infections, including nontuberculous mycobacterial (NTM) lung disease. We believe an orally inhaled formulation of clofazimine could potentially provide several clinical advantages over the current solid oral dosage form, including directly targeting the site of the infection while lowering the systemic exposure of patients to the drug. The FDA has granted MNKD-101 status as an orphan drug and as a qualified infectious disease product for the treatment of pulmonary NTM infections. It has also granted Fast Track designation to our development program. In June 2024, we initiated a Phase 3 study that will investigate the potential of MNKD-101 to treat NTM lung disease. We expect enrollment to commence in the third quarter of 2024.</w:t>
      </w:r>
    </w:p>
    <w:p>
      <w:pPr>
        <w:spacing w:after="0" w:line="18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next most advanced program in our pipeline is MNKD-201, a dry-powder formulation of nintedanib, for the treatment of idiopathic pulmonary fibrosis (IPF). An oral dosage form of nintedanib was approved for IPF by the FDA in 2014. However, a fairly large oral dose is required in order to achieve sufficient drug levels in lung tissue. Our goal with an inhaled formulation is to deliver a therapeutic amount of nintedanib to the lungs while avoiding high levels of the drug in other tissues, where it is associated with</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36" w:name="page37"/>
    <w:bookmarkEnd w:id="36"/>
    <w:p>
      <w:pPr>
        <w:ind w:right="380"/>
        <w:spacing w:after="0" w:line="281" w:lineRule="auto"/>
        <w:rPr>
          <w:sz w:val="20"/>
          <w:szCs w:val="20"/>
          <w:color w:val="auto"/>
        </w:rPr>
      </w:pPr>
      <w:r>
        <w:rPr>
          <w:rFonts w:ascii="Times New Roman" w:cs="Times New Roman" w:eastAsia="Times New Roman" w:hAnsi="Times New Roman"/>
          <w:sz w:val="18"/>
          <w:szCs w:val="18"/>
          <w:color w:val="auto"/>
        </w:rPr>
        <w:t>undesirable side effects. In June 2024, we initiated a first-in-human Phase 1 study of MNKD-201 for pulmonary fibrotic diseases, including IPF. A data readout is expected in the fourth quarter of 2024.</w:t>
      </w:r>
    </w:p>
    <w:p>
      <w:pPr>
        <w:spacing w:after="0" w:line="163"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Our business is subject to significant risks, including but not limited to our ability to manufacture sufficient quantities of our products and Tyvaso DPI. Other significant risks also include the risk that our products may only achieve a limited degree of commercial success and the risks inherent in drug development, clinical trials and the regulatory approval process for our product candidates, which in some cases depends upon the efforts of our partners.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June 30, 2024, we had an accumulated deficit of $3.2 billion and a stockholders’ deficit of $225.8 million. We had net loss of $2.0 million and net income of $8.6 million for the three and six months ended June 30, 2024, respectively. To date, we have funded our operations primarily through the sale of our equity and convertible debt securities, from the receipt of upfront and milestone payments from collaborations, from borrowings, from sales of Afrezza and V-Go, from royalties and manufacturing revenue from UT as well as from proceeds of the sale-leaseback of our manufacturing facility in Danbury, CT and from the sale of a portion of future royalties that we receive from UT.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right="640"/>
        <w:spacing w:after="0" w:line="265"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can be found in Item 7. Management’s Discussion and Analysis of Financial Condition and Results of Operations in our Annual Report.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 xml:space="preserve"> in the condensed consolidated financial statements included in Part I – Financial Statements (Unaudited) for descriptions of the new accounting policies and impact of adoption.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 xml:space="preserve">Our collaboration agreement with UT entitles us to receive a 10% royalty on net sales of Tyvaso DPI, subject to the sale by us in December 2023 of a 1% royalty on future net sales to a royalty purchaser (leaving us with a 9% royalty). Our royalty revenue reflects the upward trend in demand for Tyvaso DPI in the marketplace.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condensed consolidated financial statements.</w:t>
      </w:r>
    </w:p>
    <w:p>
      <w:pPr>
        <w:spacing w:after="0" w:line="177"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Our future success is dependent on our, and our current and future collaboration partners’, ability to effectively commercialize approved products. Our future success is also dependent on our pipeline of new products. There is a high rate of failure inherent in the R&amp;D process for new drugs. As a result, there is a high risk that the funds we invest in research programs will not generate sufficient financial returns. Products may appear promising in development but fail to reach market within the expected or optimal timeframe, or at all.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revenue categories for the three and six months ended June 30, 2024 and 2023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revenue from product sales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35,682</w:t>
            </w:r>
          </w:p>
        </w:tc>
        <w:tc>
          <w:tcPr>
            <w:tcW w:w="2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33,211</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9"/>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Wholesaler distribution fees, rebates and</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chargebacks, product returns and other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discounts</w:t>
            </w:r>
          </w:p>
        </w:tc>
        <w:tc>
          <w:tcPr>
            <w:tcW w:w="1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2"/>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2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18,345</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Gross-to-net revenue adjustment percentage</w:t>
            </w: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42 %</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45 %</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 collaborations and services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14,803</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51"/>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 – collaboration</w:t>
            </w:r>
          </w:p>
        </w:tc>
        <w:tc>
          <w:tcPr>
            <w:tcW w:w="1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19,055</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72,386</w:t>
            </w:r>
          </w:p>
        </w:tc>
        <w:tc>
          <w:tcPr>
            <w:tcW w:w="2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48,611</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23,775</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-2139950</wp:posOffset>
            </wp:positionV>
            <wp:extent cx="7132320" cy="4279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-1249680</wp:posOffset>
            </wp:positionV>
            <wp:extent cx="7132320" cy="162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984" w:right="2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revenue from 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65,721</w:t>
            </w:r>
          </w:p>
        </w:tc>
        <w:tc>
          <w:tcPr>
            <w:tcW w:w="2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63,628</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9"/>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Wholesaler distribution fees, rebates and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chargebacks, product returns and other</w:t>
            </w: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26,177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27,721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discounts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(1,544 )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2"/>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39,544</w:t>
            </w:r>
          </w:p>
        </w:tc>
        <w:tc>
          <w:tcPr>
            <w:tcW w:w="2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35,907</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Gross-to-net revenue adjustment percentage</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44 %</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 collaborations and services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22,597</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51"/>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 – collaboration</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48,243</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30,733</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138,649</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89,237</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49,412</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-1232535</wp:posOffset>
            </wp:positionV>
            <wp:extent cx="7132320" cy="4279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5"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Afrezza </w:t>
      </w:r>
      <w:r>
        <w:rPr>
          <w:rFonts w:ascii="Times New Roman" w:cs="Times New Roman" w:eastAsia="Times New Roman" w:hAnsi="Times New Roman"/>
          <w:sz w:val="17"/>
          <w:szCs w:val="17"/>
          <w:color w:val="auto"/>
        </w:rPr>
        <w:t>— Gross revenue from sales of Afrezza increased by $3.8 million, or 17%, for the three months ended June 30, 2024 compared to the same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prior year. The increase was driven primarily by price and higher demand. The gross-to-net adjustment was 37% of gross revenue, or $9.8 million, for the three months ended June 30, 2024 compared to 39% of gross revenue, or $8.7 million, for the same period in the prior year. The decrease in the gross-to-net percentage was primarily attributable to a decrease in rebates and anticipated product returns (as a percentage of gross sales). As a result, net revenue from sales of Afrezza increased by $2.8 million, or 20%, for the three months ended June 30, 2024 compared to the same period in the prior year.</w:t>
      </w:r>
    </w:p>
    <w:p>
      <w:pPr>
        <w:spacing w:after="0" w:line="16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Gross revenue from sales of Afrezza increased by $4.7 million, or 11%, for the six months ended June 30, 2024 compared to the same period in the prior year. The increase was driven primarily by price and higher demand. The gross-to-net adjustment was 34% of gross revenue, or $16.1 million, for the six months ended June 30, 2024 compared to 38% of gross revenue, or $16.2 million, for the same period in the prior year. The decrease in the gross-to-net percentage was primarily attributable to a decrease in anticipated product returns (as a percentage of gross sales). As a result, net revenue from sales of Afrezza increased by $4.8 million, or 18%, for the six months ended June 30, 2024 compared to the same period in the prior year.</w:t>
      </w:r>
    </w:p>
    <w:p>
      <w:pPr>
        <w:spacing w:after="0" w:line="18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V-Go </w:t>
      </w:r>
      <w:r>
        <w:rPr>
          <w:rFonts w:ascii="Times New Roman" w:cs="Times New Roman" w:eastAsia="Times New Roman" w:hAnsi="Times New Roman"/>
          <w:sz w:val="17"/>
          <w:szCs w:val="17"/>
          <w:color w:val="auto"/>
        </w:rPr>
        <w:t>— Gross revenue from sales of V-Go decreased by $1.3 million, or 12%, for the three months ended June 30, 2024 compared to the same period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prior year and was primarily a result of lower demand partially offset by increased price. The gross-to-net adjustment was 53% of gross revenue, or $5.1 million, for the three months ended June 30, 2024 compared to 56% of gross revenue, or $6.2 million, for the same period in the prior year. As a result, net revenue from sales of V-Go decreased by $0.3 million, or 7%, for the three months ended June 30, 2024 compared to the same period in the prior year.</w:t>
      </w:r>
    </w:p>
    <w:p>
      <w:pPr>
        <w:spacing w:after="0" w:line="165"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Gross revenue from sales of V-Go decreased by $2.6 million, or 12%, for the six months ended June 30, 2024 compared to the same period in the prior year and was primarily a result of lower demand partially offset by increased price. The gross-to-net adjustment was 53% of gross revenue, or $10.1 million, for the six months ended June 30, 2024 compared to 54% of gross revenue, or $11.5 million, for the same period in the prior year. As a result, net revenue from sales of V-Go decreased by $1.1 million, or 11%, for the six months ended June 30, 2024 compared to the same period in the prior year.</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Collaborations and Services </w:t>
      </w:r>
      <w:r>
        <w:rPr>
          <w:rFonts w:ascii="Times New Roman" w:cs="Times New Roman" w:eastAsia="Times New Roman" w:hAnsi="Times New Roman"/>
          <w:sz w:val="18"/>
          <w:szCs w:val="18"/>
          <w:color w:val="auto"/>
        </w:rPr>
        <w:t>— Net revenue from collaborations and services increased by $14.8 million, or 132%,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2024 compared to the same period in the prior year. The increase in revenue was primarily attributable to increased manufacturing volume and related production activity for product sold to UT. Royalty revenue from UT increased by $6.5 million, or 34%, for the three months ended June 30, 2024 due to UT's increase in net revenue from sales of Tyvaso DPI. See Note 9 – </w:t>
      </w:r>
      <w:r>
        <w:rPr>
          <w:rFonts w:ascii="Times New Roman" w:cs="Times New Roman" w:eastAsia="Times New Roman" w:hAnsi="Times New Roman"/>
          <w:sz w:val="18"/>
          <w:szCs w:val="18"/>
          <w:i w:val="1"/>
          <w:iCs w:val="1"/>
          <w:color w:val="auto"/>
        </w:rPr>
        <w:t>Collaboration, Licensing and Other Arrangements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Net revenue from collaborations and services increased by $28.3 million, or 125%, for the six months ended June 30, 2024 compared to the same period in the prior year. The increase in revenue was primarily attributable to increased manufacturing volume and related production activity for product sold to UT. Royalty revenue from UT increased by $17.5 million, or 57%, for the six months ended</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23"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xml:space="preserve">June 30, 2024 due to UT's increase in net revenue from sales of Tyvaso DPI. See Note 9 – </w:t>
      </w:r>
      <w:r>
        <w:rPr>
          <w:rFonts w:ascii="Times New Roman" w:cs="Times New Roman" w:eastAsia="Times New Roman" w:hAnsi="Times New Roman"/>
          <w:sz w:val="18"/>
          <w:szCs w:val="18"/>
          <w:i w:val="1"/>
          <w:iCs w:val="1"/>
          <w:color w:val="auto"/>
        </w:rPr>
        <w:t>Collaboration, Licensing and Other Arrangements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product gross profit</w:t>
      </w:r>
    </w:p>
    <w:p>
      <w:pPr>
        <w:spacing w:after="0" w:line="12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following table provides a comparison of the commercial product gross profit categories for the three and six months ended June 30, 2024 and 2023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3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gridSpan w:val="2"/>
          </w:tcPr>
          <w:p>
            <w:pPr>
              <w:spacing w:after="0"/>
              <w:rPr>
                <w:sz w:val="14"/>
                <w:szCs w:val="14"/>
                <w:color w:val="auto"/>
              </w:rPr>
            </w:pPr>
          </w:p>
        </w:tc>
      </w:tr>
      <w:tr>
        <w:trPr>
          <w:trHeight w:val="23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9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20,780</w:t>
            </w:r>
          </w:p>
        </w:tc>
        <w:tc>
          <w:tcPr>
            <w:tcW w:w="200" w:type="dxa"/>
            <w:vAlign w:val="bottom"/>
          </w:tcPr>
          <w:p>
            <w:pPr>
              <w:spacing w:after="0"/>
              <w:rPr>
                <w:sz w:val="20"/>
                <w:szCs w:val="20"/>
                <w:color w:val="auto"/>
              </w:rPr>
            </w:pPr>
          </w:p>
        </w:tc>
        <w:tc>
          <w:tcPr>
            <w:tcW w:w="82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18,345</w:t>
            </w:r>
          </w:p>
        </w:tc>
        <w:tc>
          <w:tcPr>
            <w:tcW w:w="20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51"/>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Cost of goods sold</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5,605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5,224</w:t>
            </w:r>
          </w:p>
        </w:tc>
        <w:tc>
          <w:tcPr>
            <w:tcW w:w="20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36"/>
        </w:trPr>
        <w:tc>
          <w:tcPr>
            <w:tcW w:w="5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15,175</w:t>
            </w:r>
          </w:p>
        </w:tc>
        <w:tc>
          <w:tcPr>
            <w:tcW w:w="200" w:type="dxa"/>
            <w:vAlign w:val="bottom"/>
          </w:tcPr>
          <w:p>
            <w:pPr>
              <w:spacing w:after="0"/>
              <w:rPr>
                <w:sz w:val="20"/>
                <w:szCs w:val="20"/>
                <w:color w:val="auto"/>
              </w:rPr>
            </w:pPr>
          </w:p>
        </w:tc>
        <w:tc>
          <w:tcPr>
            <w:tcW w:w="82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13,121</w:t>
            </w:r>
          </w:p>
        </w:tc>
        <w:tc>
          <w:tcPr>
            <w:tcW w:w="20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r>
      <w:tr>
        <w:trPr>
          <w:trHeight w:val="20"/>
        </w:trPr>
        <w:tc>
          <w:tcPr>
            <w:tcW w:w="5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margin</w:t>
            </w:r>
          </w:p>
        </w:tc>
        <w:tc>
          <w:tcPr>
            <w:tcW w:w="9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569"/>
        </w:trPr>
        <w:tc>
          <w:tcPr>
            <w:tcW w:w="5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3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gridSpan w:val="2"/>
          </w:tcPr>
          <w:p>
            <w:pPr>
              <w:spacing w:after="0"/>
              <w:rPr>
                <w:sz w:val="14"/>
                <w:szCs w:val="14"/>
                <w:color w:val="auto"/>
              </w:rPr>
            </w:pPr>
          </w:p>
        </w:tc>
      </w:tr>
      <w:tr>
        <w:trPr>
          <w:trHeight w:val="23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9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35,907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51"/>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Cost of goods sold</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10,754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(1,330 )</w:t>
            </w:r>
          </w:p>
        </w:tc>
        <w:tc>
          <w:tcPr>
            <w:tcW w:w="2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6"/>
        </w:trPr>
        <w:tc>
          <w:tcPr>
            <w:tcW w:w="5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gridSpan w:val="2"/>
          </w:tcPr>
          <w:p>
            <w:pPr>
              <w:jc w:val="right"/>
              <w:ind w:right="64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25,153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r>
      <w:tr>
        <w:trPr>
          <w:trHeight w:val="20"/>
        </w:trPr>
        <w:tc>
          <w:tcPr>
            <w:tcW w:w="5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Gross margin</w:t>
            </w:r>
          </w:p>
        </w:tc>
        <w:tc>
          <w:tcPr>
            <w:tcW w:w="9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-1908810</wp:posOffset>
            </wp:positionV>
            <wp:extent cx="7132320" cy="162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62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Commercial product gross profit increased by $2.1 million, or 16%, for the three months ended June 30, 2024 compared to the same period in the prior year and $5.0 million, or 20%, for the six months ended June 30, 2024 compared to the same period in the prior year. The increase in gross profit and gross margin was primarily attributable to an increase in Afrezza net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expense categories for the three and six months ended June 30, 2024 and 2023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3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8"/>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43"/>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43"/>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9"/>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9"/>
        </w:trPr>
        <w:tc>
          <w:tcPr>
            <w:tcW w:w="4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(Gain) loss on foreign currency transaction</w:t>
            </w: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(529 )</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13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55,776</w:t>
            </w: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3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8"/>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43"/>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43"/>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27,312</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(4,216 )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9"/>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22,489</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9"/>
        </w:trPr>
        <w:tc>
          <w:tcPr>
            <w:tcW w:w="4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(Gain) loss on foreign currency transaction</w:t>
            </w: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(1,928 )</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13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105,317</w:t>
            </w: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93,514</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48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 Not meaningful</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44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4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-3672840</wp:posOffset>
            </wp:positionV>
            <wp:extent cx="71323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-3364230</wp:posOffset>
            </wp:positionV>
            <wp:extent cx="71323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-1934210</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-1626235</wp:posOffset>
            </wp:positionV>
            <wp:extent cx="71323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198" w:right="239" w:bottom="1005" w:gutter="0" w:footer="0" w:header="0"/>
        </w:sectPr>
      </w:pPr>
    </w:p>
    <w:bookmarkStart w:id="39" w:name="page40"/>
    <w:bookmarkEnd w:id="39"/>
    <w:p>
      <w:pPr>
        <w:ind w:right="120"/>
        <w:spacing w:after="0" w:line="260" w:lineRule="auto"/>
        <w:rPr>
          <w:sz w:val="20"/>
          <w:szCs w:val="20"/>
          <w:color w:val="auto"/>
        </w:rPr>
      </w:pPr>
      <w:r>
        <w:rPr>
          <w:rFonts w:ascii="Times New Roman" w:cs="Times New Roman" w:eastAsia="Times New Roman" w:hAnsi="Times New Roman"/>
          <w:sz w:val="18"/>
          <w:szCs w:val="18"/>
          <w:color w:val="auto"/>
        </w:rPr>
        <w:t>Cost of revenue – collaborations and services increased by $5.8 million, or 64%, for the three months ended June 30, 2024 compared to the same period in the prior year and $9.9 million, or 50%, for the six months ended June 30, 2024 compared to the same period in the prior year. The increases were primarily attributable to increased manufacturing volume and activities for Tyvaso DPI. Higher manufacturing volumes resulted in efficiencies which contributed to a lower effective cost per unit.</w:t>
      </w:r>
    </w:p>
    <w:p>
      <w:pPr>
        <w:spacing w:after="0" w:line="18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R&amp;D expenses increased by $5.4 million, or 83%, for the three months ended June 30, 2024 compared to the same period in the prior year. The increase was primarily attributable to increased costs for development activities for clofazimine inhaled suspension (MNKD-101), an Afrezza Pediatric clinical study (INHALE-1), and initiation of a Phase 1 study of dry-powder formulation of nintedanib (MNKD-201) for treatment of pulmonary fibrotic diseases, partially offset by lower costs for an Afrezza post-marketing clinical study (INHALE-3).</w:t>
      </w:r>
    </w:p>
    <w:p>
      <w:pPr>
        <w:spacing w:after="0" w:line="18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R&amp;D expenses increased by $9.8 million, or 81%, for the six months ended June 30, 2024 compared to the same period in the prior year. The increase was primarily attributable to increased costs for development activities for the MNKD-101 study, including expenditures for the Phase 3 clinical trial, the INHALE-1 study, the INHALE-3 study which commenced in the second quarter of 2023, personnel expenses due to increased headcount, and initiation of the MNKD-201 study.</w:t>
      </w:r>
    </w:p>
    <w:p>
      <w:pPr>
        <w:spacing w:after="0" w:line="18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Selling expenses decreased by $2.5 million, or 18%, for the three months ended June 30, 2024 compared to the same period in the prior year. The decrease was primarily attributable to reduced personnel related to sales force restructuring activities completed during the first quarter of 2024.</w:t>
      </w:r>
    </w:p>
    <w:p>
      <w:pPr>
        <w:spacing w:after="0" w:line="163"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Selling expenses decreased by $4.2 million, or 15%, for the six months ended June 30, 2024 compared to the same period in the prior year. The decrease was primarily attributable to reduced personnel and travel expenses related to sales force restructuring activities completed during the first quarter of 2024.</w:t>
      </w:r>
    </w:p>
    <w:p>
      <w:pPr>
        <w:spacing w:after="0" w:line="13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increased by $0.7 million, or 6% for the three months ended June 30, 2024 compared to the same period in the prior year. The increase was primarily attributable to increases in estimated returns associated with sales of V-Go that pre-date our acquisition of the product and personnel costs.</w:t>
      </w:r>
    </w:p>
    <w:p>
      <w:pPr>
        <w:spacing w:after="0" w:line="17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increased by $0.9 million, or 4%, for the six months ended June 30, 2024 compared to the same period in the prior year. The increase was primarily attributable to a loss of $1.4 million for estimated returns associated with sales of V-Go that pre-date our acquisition of the product, partially offset by reduced personnel costs.</w:t>
      </w:r>
    </w:p>
    <w:p>
      <w:pPr>
        <w:spacing w:after="0" w:line="17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the Insulin Supply Agreement, payment obligations are denominated in Euros. We are required to record the foreign currency transaction impact of the U.S. dollar to Euro exchange rate associated with the recognized gain or loss on purchase commitments. The foreign currency transaction gain was $0.5 million for the three months ended June 30, 2024 compared to a loss of $0.3 million for the same period in the prior year and a gain of $1.9 million for the six months ended June 30, 2024 compared to a loss of $1.2 million for the same period in the prior year due to the conversion of Euro to U.S. dollar exchange rates.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following table provides a comparison of the other income (expense) categories for the three and six months ended June 30, 2024 and 2023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6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2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(2,444 )</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(2,449 )</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(6,051 )</w:t>
            </w: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(6,873 )</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(822 )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liability for sale of future royalties</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(4,383 )</w:t>
            </w:r>
          </w:p>
        </w:tc>
        <w:tc>
          <w:tcPr>
            <w:tcW w:w="2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gain on available-for-sale securities</w:t>
            </w: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(1,550 )</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(7,050 )</w:t>
            </w:r>
          </w:p>
        </w:tc>
        <w:tc>
          <w:tcPr>
            <w:tcW w:w="2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(143 )</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(143 )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w:t>
            </w:r>
          </w:p>
        </w:tc>
        <w:tc>
          <w:tcPr>
            <w:tcW w:w="10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(18,301 )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(6,986 )</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47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7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-2251075</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-1943100</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-1172210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-1172210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26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2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3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(4,891 )</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(4,873 )</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(8,618 )</w:t>
            </w: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(9,659 )</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(1,041 )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liability for sale of future royalties</w:t>
            </w: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(8,631 )</w:t>
            </w:r>
          </w:p>
        </w:tc>
        <w:tc>
          <w:tcPr>
            <w:tcW w:w="2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gain on available-for-sale securities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(1,550 )</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(7,050 )</w:t>
            </w:r>
          </w:p>
        </w:tc>
        <w:tc>
          <w:tcPr>
            <w:tcW w:w="2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(32 )</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(24,129 )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(10,783 )</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7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 Not meaningful</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-1468120</wp:posOffset>
            </wp:positionV>
            <wp:extent cx="713232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-1160145</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-389255</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-389255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Interest income, net, consisting of interest and accretion on investments net of amortization, increased by $1.6 million for the three months ended June 30, 2024 and $3.8 million for the six months ended June 30, 2024 compared to the same periods in the prior year primarily due to higher yields on our securities portfolio and an increase in the underlying investments from the proceeds of the sale of 1% of our Tyvaso DPI royalties in December 2023.</w:t>
      </w:r>
    </w:p>
    <w:p>
      <w:pPr>
        <w:spacing w:after="0" w:line="177"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Interest expense on financing liability was $2.4 million for each of the three months ended June 30, 2024 and 2023 and $4.9 million for each of the six months ended June 30, 2024 and 2023 and represented interest incurred on the sale lease-back transaction for our manufacturing facility in Danbury, CT.</w:t>
      </w:r>
    </w:p>
    <w:p>
      <w:pPr>
        <w:spacing w:after="0" w:line="13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 xml:space="preserve">Interest expense decreased by $0.8 million for the three months ended June 30, 2024 and $1.0 million for the six months ended June 30, 2024 compared to the same periods in the prior year. The decrease was primarily due to repayment of the MidCap credit facility and Mann Group convertible note in April 2024. See Note 8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and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right="360"/>
        <w:spacing w:after="0" w:line="265" w:lineRule="auto"/>
        <w:rPr>
          <w:sz w:val="20"/>
          <w:szCs w:val="20"/>
          <w:color w:val="auto"/>
        </w:rPr>
      </w:pPr>
      <w:r>
        <w:rPr>
          <w:rFonts w:ascii="Times New Roman" w:cs="Times New Roman" w:eastAsia="Times New Roman" w:hAnsi="Times New Roman"/>
          <w:sz w:val="18"/>
          <w:szCs w:val="18"/>
          <w:color w:val="auto"/>
        </w:rPr>
        <w:t xml:space="preserve">Interest expense on liability for sale of future royalties was $4.4 million and $8.6 million for the three and six months ended June 30, 2024, respectively, and was attributable to imputed interest and amortization of debt issuance costs on the liability recorded in connection with the sale of 1% of our Tyvaso DPI royalties in December 2023.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500"/>
        <w:spacing w:after="0" w:line="265" w:lineRule="auto"/>
        <w:rPr>
          <w:sz w:val="20"/>
          <w:szCs w:val="20"/>
          <w:color w:val="auto"/>
        </w:rPr>
      </w:pPr>
      <w:r>
        <w:rPr>
          <w:rFonts w:ascii="Times New Roman" w:cs="Times New Roman" w:eastAsia="Times New Roman" w:hAnsi="Times New Roman"/>
          <w:sz w:val="18"/>
          <w:szCs w:val="18"/>
          <w:color w:val="auto"/>
        </w:rPr>
        <w:t xml:space="preserve">Loss on available-for-sale securities for the three and six months ended June 30, 2024 was $1.6 million as a result of modification of the Thirona investment. The gain on available-for-sale securities for the three and six months ended June 30, 2023 was $0.9 million as a result of the change in fair value of the investment that related to credit risk. See Note 2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 xml:space="preserve">Loss on extinguishment of debt of $7.1 million for the three and six months ended June 30, 2024 was incurred in connection with the repayment of the MidCap credit facility and Mann Group convertible note in April 2024. See Note 8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Other expense for the three and six months ended June 30, 2023 consisted primarily of losses associated with foreign currency hedging transactions which were entered into to mitigate our exposure to foreign currency exchange risks associated with our insulin purchase obligation under the Insulin Supply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on-GAAP Measures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presented under GAAP, we are presenting non-GAAP net income (loss) and non-GAAP net income (loss) per share – diluted, which are non-GAAP financial measures. We are providing these non-GAAP financial measures to disclose additional information to facilitate the comparison of past and present operations, and they are among the indicators management uses as a basis for evaluating our financial performance. We believe that these non-GAAP financial measures, when considered together with our GAAP financial results, provide management and investors with an additional understanding of our business operating results, including underlying trends.</w:t>
      </w:r>
    </w:p>
    <w:p>
      <w:pPr>
        <w:spacing w:after="0" w:line="18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These non-GAAP financial measures are not meant to be considered in isolation or as a substitute for comparable GAAP measures; should be read in conjunction with our condensed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may in the future cease to exclude items that we have historically excluded for purposes of our non-GAAP financial measures. Likewise, we may determine to modify the nature of its adjustments to arrive at our non-GAAP financial measures. Because of the non-standardized definitions of non-GAAP financial measures, the non-GAAP financial measures as used by us in this Quarterly Report on Form 10-Q have limits in their usefulness to investors and may be calculated differently from, and therefore may not be directly comparable to, similarly titled measures used by other</w:t>
      </w: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79"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companies.</w:t>
      </w:r>
    </w:p>
    <w:p>
      <w:pPr>
        <w:spacing w:after="0" w:line="225"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8"/>
          <w:szCs w:val="18"/>
          <w:color w:val="auto"/>
        </w:rPr>
        <w:t>The following table reconciles our financial measures for net income (loss) and net income (loss) per share ("EPS") for diluted weighted average shares as reported in our condensed consolidated statements of operations to a non-GAAP presentation</w:t>
      </w:r>
      <w:r>
        <w:rPr>
          <w:rFonts w:ascii="Times New Roman" w:cs="Times New Roman" w:eastAsia="Times New Roman" w:hAnsi="Times New Roman"/>
          <w:sz w:val="19"/>
          <w:szCs w:val="19"/>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00" w:type="dxa"/>
            <w:vAlign w:val="bottom"/>
          </w:tcPr>
          <w:p>
            <w:pPr>
              <w:spacing w:after="0"/>
              <w:rPr>
                <w:sz w:val="11"/>
                <w:szCs w:val="11"/>
                <w:color w:val="auto"/>
              </w:rPr>
            </w:pPr>
          </w:p>
        </w:tc>
        <w:tc>
          <w:tcPr>
            <w:tcW w:w="8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240" w:type="dxa"/>
            <w:vAlign w:val="bottom"/>
            <w:vMerge w:val="restart"/>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20" w:type="dxa"/>
            <w:vAlign w:val="bottom"/>
            <w:vMerge w:val="restart"/>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EPS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EPS</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GAAP reported net income (loss)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(2,014 )</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(0.01 )</w:t>
            </w:r>
          </w:p>
        </w:tc>
        <w:tc>
          <w:tcPr>
            <w:tcW w:w="34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w w:val="92"/>
              </w:rPr>
              <w:t>(5,265 )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(0.02 )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8,616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(15,060 )</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(0.06 )</w:t>
            </w:r>
          </w:p>
        </w:tc>
        <w:tc>
          <w:tcPr>
            <w:tcW w:w="0" w:type="dxa"/>
            <w:vAlign w:val="bottom"/>
          </w:tcPr>
          <w:p>
            <w:pPr>
              <w:spacing w:after="0"/>
              <w:rPr>
                <w:sz w:val="1"/>
                <w:szCs w:val="1"/>
                <w:color w:val="auto"/>
              </w:rPr>
            </w:pPr>
          </w:p>
        </w:tc>
      </w:tr>
      <w:tr>
        <w:trPr>
          <w:trHeight w:val="162"/>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Non-GAAP adjustments: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3"/>
                <w:szCs w:val="13"/>
                <w:color w:val="auto"/>
              </w:rPr>
              <w:t xml:space="preserve">Sold portion of royalty revenue </w:t>
            </w:r>
            <w:r>
              <w:rPr>
                <w:rFonts w:ascii="Times New Roman" w:cs="Times New Roman" w:eastAsia="Times New Roman" w:hAnsi="Times New Roman"/>
                <w:sz w:val="16"/>
                <w:szCs w:val="16"/>
                <w:color w:val="auto"/>
                <w:vertAlign w:val="superscript"/>
              </w:rPr>
              <w:t>(1)</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(2,559 )</w:t>
            </w:r>
          </w:p>
        </w:tc>
        <w:tc>
          <w:tcPr>
            <w:tcW w:w="1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(0.01 )</w:t>
            </w:r>
          </w:p>
        </w:tc>
        <w:tc>
          <w:tcPr>
            <w:tcW w:w="3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(4,824 )</w:t>
            </w: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(0.02 )</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expense on liability for sale of future royalties</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compensation</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6,428</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5,580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10,313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9,235</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loss on foreign currency transaction</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(529 )</w:t>
            </w:r>
          </w:p>
        </w:tc>
        <w:tc>
          <w:tcPr>
            <w:tcW w:w="1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(1,928 )</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(0.01 )</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Loss (gain) on available-for-sale securities</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(932 )</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(932 )</w:t>
            </w:r>
          </w:p>
        </w:tc>
        <w:tc>
          <w:tcPr>
            <w:tcW w:w="2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7,050</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7,050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2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Non-GAAP adjusted net income (loss)</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14,309</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0.05</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95"/>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(366 )</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29,408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0.11</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(5,552 )</w:t>
            </w:r>
          </w:p>
        </w:tc>
        <w:tc>
          <w:tcPr>
            <w:tcW w:w="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(0.02 )</w:t>
            </w:r>
          </w:p>
        </w:tc>
        <w:tc>
          <w:tcPr>
            <w:tcW w:w="0" w:type="dxa"/>
            <w:vAlign w:val="bottom"/>
          </w:tcPr>
          <w:p>
            <w:pPr>
              <w:spacing w:after="0"/>
              <w:rPr>
                <w:sz w:val="1"/>
                <w:szCs w:val="1"/>
                <w:color w:val="auto"/>
              </w:rPr>
            </w:pPr>
          </w:p>
        </w:tc>
      </w:tr>
      <w:tr>
        <w:trPr>
          <w:trHeight w:val="111"/>
        </w:trPr>
        <w:tc>
          <w:tcPr>
            <w:tcW w:w="4220" w:type="dxa"/>
            <w:vAlign w:val="bottom"/>
            <w:tcBorders>
              <w:top w:val="single" w:sz="8" w:color="CFF0FC"/>
            </w:tcBorders>
          </w:tcPr>
          <w:p>
            <w:pPr>
              <w:ind w:left="20"/>
              <w:spacing w:after="0" w:line="111" w:lineRule="exact"/>
              <w:rPr>
                <w:sz w:val="20"/>
                <w:szCs w:val="20"/>
                <w:color w:val="auto"/>
              </w:rPr>
            </w:pPr>
            <w:r>
              <w:rPr>
                <w:rFonts w:ascii="Times New Roman" w:cs="Times New Roman" w:eastAsia="Times New Roman" w:hAnsi="Times New Roman"/>
                <w:sz w:val="12"/>
                <w:szCs w:val="12"/>
                <w:color w:val="auto"/>
              </w:rPr>
              <w:t>Weighted average shares used to compute net income (loss)</w:t>
            </w: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 share – basic</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273,056</w:t>
            </w:r>
          </w:p>
        </w:tc>
        <w:tc>
          <w:tcPr>
            <w:tcW w:w="2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2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265,626</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(0.00 )</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271,706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264,802</w:t>
            </w:r>
          </w:p>
        </w:tc>
        <w:tc>
          <w:tcPr>
            <w:tcW w:w="2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(0.02 )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3104515</wp:posOffset>
            </wp:positionH>
            <wp:positionV relativeFrom="paragraph">
              <wp:posOffset>-212090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-194945</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-212090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-194945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-212090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-194945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-212090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-194945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-212090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-194945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-212090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-194945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-212090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-194945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-212090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-194945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91" w:lineRule="exact"/>
        <w:rPr>
          <w:sz w:val="20"/>
          <w:szCs w:val="20"/>
          <w:color w:val="auto"/>
        </w:rPr>
      </w:pPr>
    </w:p>
    <w:p>
      <w:pPr>
        <w:ind w:left="380" w:right="200" w:hanging="372"/>
        <w:spacing w:after="0" w:line="275" w:lineRule="auto"/>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Represents the non-cash portion of the 1% royalty on net sales of Tyvaso DPI earned during the three and six months ended June 30, 2024 which is remitted to the royalty purchaser by UT and recognized as royalties – collaboration in our condensed consolidated statements of operations. Our royalties – collaboration during the three and six months ended June 30, 2024 totaled $25.6 million and $48.2 million, respectively, of which $2.6 million and $4.8 million, respectively, was non-cash revenue attributed to the royalty purchaser.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Our principal sources of liquidity are our cash, cash equivalents, and investments. Our primary uses of cash include the development of our product pipeline, the manufacturing and marketing of Afrezza and V-Go, manufacturing Tyvaso DPI, the funding of general and administrative expenses, and principal and interest payments on our financing liability and debt.</w:t>
      </w:r>
    </w:p>
    <w:p>
      <w:pPr>
        <w:spacing w:after="0" w:line="17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To date, we have funded our operations primarily through the sale of equity and convertible debt securities, from the receipt of upfront and milestone payments from collaborations, from borrowings, from sales of Afrezza and V-Go, from royalties and manufacturing revenue from UT, from proceeds from the sale of certain assets and the sale of a portion of our future royalties that we receive from UT.</w:t>
      </w:r>
    </w:p>
    <w:p>
      <w:pPr>
        <w:spacing w:after="0" w:line="17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We believe we will be able to meet our liquidity needs over the next twelve months, as well as longer-term needs, based on the balance of cash, cash equivalents and investments on hand, projected sales of Afrezza and V-Go, and projected royalties and manufacturing revenue from the production and sale of Tyvaso DPI, as well as through debt or equity financing, if necessary.</w:t>
      </w:r>
    </w:p>
    <w:p>
      <w:pPr>
        <w:spacing w:after="0" w:line="17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As of June 30, 2024, we had $60.2 million in insulin purchase commitments and $230.0 million principal amount of outstanding Senior convertible notes bearing interest at 2.50% and maturing on March 1, 2026, unless earlier converted, redeemed or repurchased by us.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18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With the repayment of the MidCap credit facility and the Mann Group convertible note in April 2024, our Senior convertible notes are our only remaining notes outstanding. To date, we have been able to timely make our required interest payments, but we cannot guarantee that we will be able to do so in the future. If we fail to repay, convert, repurchase or redeem our outstanding notes when required, we will be in default under the applicable instrument for such indebtedness. Any of these events could have a material adverse effect on our business, results of operations and financial condition, up to and including the noteholders initiating bankruptcy proceedings or causing us to cease operations altogether. We may from time to time seek to retire or purchase our outstanding debt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w:t>
      </w:r>
    </w:p>
    <w:p>
      <w:pPr>
        <w:spacing w:after="0" w:line="18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 xml:space="preserve">In July 2013, we issued the Milestone Rights pursuant to the Milestone Rights Agreement to the Original Milestone Purchasers. The Milestone Rights were subsequently assigned the Milestone Purchasers. The Milestone Rights provide the Milestone Purchasers certain rights to receive payments of up to $90.0 million upon the occurrence of specified strategic and sales milestones, $55.0 million of which remain payable as of June 30, 2024. See Note 14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for further information related to the Milestone Rights.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2" w:name="page43"/>
    <w:bookmarkEnd w:id="42"/>
    <w:p>
      <w:pPr>
        <w:ind w:right="120"/>
        <w:spacing w:after="0" w:line="260" w:lineRule="auto"/>
        <w:rPr>
          <w:sz w:val="20"/>
          <w:szCs w:val="20"/>
          <w:color w:val="auto"/>
        </w:rPr>
      </w:pPr>
      <w:r>
        <w:rPr>
          <w:rFonts w:ascii="Times New Roman" w:cs="Times New Roman" w:eastAsia="Times New Roman" w:hAnsi="Times New Roman"/>
          <w:sz w:val="18"/>
          <w:szCs w:val="18"/>
          <w:color w:val="auto"/>
        </w:rPr>
        <w:t>During the six months ended June 30, 2024, we generated $10.5 million of cash from our operating activities, which consisted primarily of $121.2 million in cash receipts from customers (net of $12.1 million of non-cash revenue that was previously deferred and $4.8 million of non-cash revenue for the 1% sold portion of our royalties), partially offset by $39.0 million of cost of goods sold, $28.0 million of selling expenses, $22.7 million of costs for research and development, $20.2 million of general and administrative expenses, and $2.3 million of net cash paid for interest.</w:t>
      </w:r>
    </w:p>
    <w:p>
      <w:pPr>
        <w:spacing w:after="0" w:line="18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During the six months ended June 30, 2023, we generated $3.8 million of cash from our operating activities, which consisted primarily of $98.6 million of revenue, partially offset by $39.5 million of cost of goods sold, $25.0 million of selling expenses, $14.2 million of general and administrative expenses, $13.1 million of R&amp;D costs and $4.3 million of cash paid for interest.</w:t>
      </w:r>
    </w:p>
    <w:p>
      <w:pPr>
        <w:spacing w:after="0" w:line="17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Cash used in investing activities of $103.6 million for the six months ended June 30, 2024 was primarily due to the purchase of $187.4 million of debt securities and $5.4 million of property and equipment, partially offset by the maturity of $88.8 million of debt securities.</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Cash provided by investing activities of $17.5 million for the six months ended June 30, 2023 was primarily due to $69.1 million of proceeds received from the maturities of debt securities, partially offset by the purchase of debt securities of $26.4 million and by $25.2 million for the purchase of property and equipment.</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Cash used in financing activities of $48.0 million for the six months ended June 30, 2024 was primarily due to principal and early extinguishment payments on the MidCap credit facility of $36.6 million and Mann Group convertible note of $8.9 million, and $4.7 million of payments to taxing authorities from equity withheld upon vesting of RSUs and stock options, partially offset by $2.3 million in proceeds from the market price stock purchase plan and employee stock purchase plan.</w:t>
      </w:r>
    </w:p>
    <w:p>
      <w:pPr>
        <w:spacing w:after="0" w:line="18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Cash used in financing activities of $4.8 million for the six months ended June 30, 2023 was primarily due to $8.5 million of payments to taxing authorities from equity withheld upon vesting of RSUs and stock options, partially offset by $3.7 million in proceeds from at-the-market offerings.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Liquidity Needs</w:t>
      </w:r>
    </w:p>
    <w:p>
      <w:pPr>
        <w:spacing w:after="0" w:line="12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Although we have not generated net income or cash flows from operating activities on a consistent basis, we believe we will be able to meet our near-term liquidity needs based on our cash, cash equivalents and investments on hand, sales of Afrezza and V-Go, and royalties and manufacturing revenue from the production and sale of Tyvaso DPI as well as through debt or equity financing, if necessary, for our long-term liquidity needs. We expect to continue to incur expenditures for the foreseeable future in support of our manufacturing operations, sales and marketing costs for our products and development costs for other product candidates in our pipeline. As of June 30, 2024, we had capital resources comprised of $96.6 million in cash and cash equivalents, $151.1 million in short-term investments and $13.4 million in long-term investments, and total principal amount of outstanding borrowings of $230.0 million.</w:t>
      </w:r>
    </w:p>
    <w:p>
      <w:pPr>
        <w:spacing w:after="0" w:line="171"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We believe our resources will be sufficient to fund our operations for the next twelve months from the date of issuance of our condensed consolidated financial statements included in Part I – Financial Statements (Unaudited).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See Note 8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and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 xml:space="preserve">The Senior convertible notes have a fixed interest rate of 2.50%, so the interest expense associated with such debt is not exposed to changes in market interest rates. See Note 8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information about the principal amount of outstanding debt.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incur and will continue to incur significant expenditures for insulin supply obligations under our Insulin Supply Agreement.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six months ended June 30, 2024, we realized a $1.9 million currency gain, which was reflected as gain on foreign currency transaction in the accompanying condensed consolidated statements of operations.</w:t>
      </w:r>
    </w:p>
    <w:p>
      <w:pPr>
        <w:spacing w:after="0" w:line="18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Exchange rate fluctuations may adversely affect our expenses, results of operations, financial position and cash flows. If a change in the U.S. dollar to Euro exchange rate equal to 10% of the U.S. dollar to Euro exchange rate on June 30, 2024 were to have occurred, this change would have resulted in a foreign currency impact to our pre-tax income of approximately $6.0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June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June 30, 2024, our Chief Executive Officer and our Chief Financial Officer have concluded, as of such date, that our disclosure controls and procedures were effective.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44" w:name="page45"/>
    <w:bookmarkEnd w:id="44"/>
    <w:p>
      <w:pPr>
        <w:ind w:left="460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 xml:space="preserve">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 See Note 14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in the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under the heading “Risk Factors” and should be carefully considered, together with other information in this Quarterly Report on Form 10-Q and our other filings with the SEC before making investment decisions regarding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face risks and uncertainties related to our business, many of which are beyond our control. In particular, risks associated with our business include: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that we or our collaboration partner are commercializing may only achieve a limited degree of commercial success.</w:t>
      </w:r>
    </w:p>
    <w:p>
      <w:pPr>
        <w:spacing w:after="0" w:line="224"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risks may adversely affect our ability to manufacture our products and Tyvaso DPI, which could reduce our gross margin and profitability.</w:t>
      </w:r>
    </w:p>
    <w:p>
      <w:pPr>
        <w:spacing w:after="0" w:line="54"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69"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do not cover our approved products, such products might not be prescribed, used or purchased, which would adversely affect our revenues.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operations.</w:t>
      </w:r>
    </w:p>
    <w:p>
      <w:pPr>
        <w:spacing w:after="0" w:line="116" w:lineRule="exact"/>
        <w:rPr>
          <w:rFonts w:ascii="Times New Roman" w:cs="Times New Roman" w:eastAsia="Times New Roman" w:hAnsi="Times New Roman"/>
          <w:sz w:val="18"/>
          <w:szCs w:val="18"/>
          <w:color w:val="auto"/>
        </w:rPr>
      </w:pPr>
    </w:p>
    <w:p>
      <w:pPr>
        <w:ind w:left="1020" w:hanging="504"/>
        <w:spacing w:after="0" w:line="26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3" w:lineRule="exact"/>
        <w:rPr>
          <w:rFonts w:ascii="Times New Roman" w:cs="Times New Roman" w:eastAsia="Times New Roman" w:hAnsi="Times New Roman"/>
          <w:sz w:val="18"/>
          <w:szCs w:val="18"/>
          <w:color w:val="auto"/>
        </w:rPr>
      </w:pPr>
    </w:p>
    <w:p>
      <w:pPr>
        <w:ind w:left="1020" w:right="94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results of operations will fluctuate for the foreseeable future, which may make it difficult to predict our future performance from period to period.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We may incur losses and may not generate positive cash flow from operations in the future.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 and commitments</w:t>
      </w:r>
    </w:p>
    <w:p>
      <w:pPr>
        <w:spacing w:after="0" w:line="116" w:lineRule="exact"/>
        <w:rPr>
          <w:rFonts w:ascii="Times New Roman" w:cs="Times New Roman" w:eastAsia="Times New Roman" w:hAnsi="Times New Roman"/>
          <w:sz w:val="18"/>
          <w:szCs w:val="18"/>
          <w:color w:val="auto"/>
        </w:rPr>
      </w:pPr>
    </w:p>
    <w:p>
      <w:pPr>
        <w:ind w:left="1020" w:right="160" w:hanging="504"/>
        <w:spacing w:after="0" w:line="26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spacing w:after="0" w:line="69"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testing of our products and product candidates may not yield successful results, and even if it does, we may still be unable to successfully commercialize our current or future products.</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4"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safety and efficacy of approved products may differ from clinical studies, which could negatively impact sales and could lead to reputational harm or other negative effects.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5" w:name="page46"/>
    <w:bookmarkEnd w:id="45"/>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be rendered obsolete by rapid technological change.</w:t>
      </w:r>
    </w:p>
    <w:p>
      <w:pPr>
        <w:spacing w:after="0" w:line="116"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undertake internal restructuring activities in the future that could result in disruptions to our business or otherwise materially harm our results of operations or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9" w:lineRule="exact"/>
        <w:rPr>
          <w:sz w:val="20"/>
          <w:szCs w:val="20"/>
          <w:color w:val="auto"/>
        </w:rPr>
      </w:pPr>
    </w:p>
    <w:p>
      <w:pPr>
        <w:ind w:left="1020" w:right="20" w:hanging="504"/>
        <w:spacing w:after="0" w:line="26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ongoing government regulation.</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4" w:lineRule="exact"/>
        <w:rPr>
          <w:rFonts w:ascii="Times New Roman" w:cs="Times New Roman" w:eastAsia="Times New Roman" w:hAnsi="Times New Roman"/>
          <w:sz w:val="18"/>
          <w:szCs w:val="18"/>
          <w:color w:val="auto"/>
        </w:rPr>
      </w:pPr>
    </w:p>
    <w:p>
      <w:pPr>
        <w:ind w:left="1020" w:hanging="504"/>
        <w:spacing w:after="0" w:line="26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9" w:lineRule="exact"/>
        <w:rPr>
          <w:sz w:val="20"/>
          <w:szCs w:val="20"/>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1020" w:right="40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economic and geopolitical conditions may have serious adverse consequences on our business, financial condition and stock price.</w:t>
      </w:r>
    </w:p>
    <w:p>
      <w:pPr>
        <w:spacing w:after="0" w:line="16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products that we or our collaboration partner are commercializing may only achieve a limited degree of commercial success.*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Successful commercialization of therapeutic products is subject to many risks, including some that are outside our control. There are numerous examples of failures to fully exploit the market potential of therapeutic products, including by biopharmaceutical and device companies with more experience and resources than us. Products that we commercialize ourselves (including any products that we may develop or acquire in the future) and the product that is commercialized by our current collaboration partner (including future products that may be commercialized by a collaboration partner) may not gain market acceptance among physicians, patients,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46" w:name="page47"/>
    <w:bookmarkEnd w:id="46"/>
    <w:p>
      <w:pPr>
        <w:ind w:right="260"/>
        <w:spacing w:after="0" w:line="281" w:lineRule="auto"/>
        <w:rPr>
          <w:sz w:val="20"/>
          <w:szCs w:val="20"/>
          <w:color w:val="auto"/>
        </w:rPr>
      </w:pPr>
      <w:r>
        <w:rPr>
          <w:rFonts w:ascii="Times New Roman" w:cs="Times New Roman" w:eastAsia="Times New Roman" w:hAnsi="Times New Roman"/>
          <w:sz w:val="18"/>
          <w:szCs w:val="18"/>
          <w:color w:val="auto"/>
        </w:rPr>
        <w:t>third-party payers and the healthcare community. The degree of market acceptance of our or a collaboration partner’s products depends on many factors, including the following:</w:t>
      </w:r>
    </w:p>
    <w:p>
      <w:pPr>
        <w:spacing w:after="0" w:line="55" w:lineRule="exact"/>
        <w:rPr>
          <w:sz w:val="20"/>
          <w:szCs w:val="20"/>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labeling claims;</w:t>
      </w:r>
    </w:p>
    <w:p>
      <w:pPr>
        <w:spacing w:after="0" w:line="116" w:lineRule="exact"/>
        <w:rPr>
          <w:rFonts w:ascii="Times New Roman" w:cs="Times New Roman" w:eastAsia="Times New Roman" w:hAnsi="Times New Roman"/>
          <w:sz w:val="18"/>
          <w:szCs w:val="18"/>
          <w:color w:val="auto"/>
        </w:rPr>
      </w:pPr>
    </w:p>
    <w:p>
      <w:pPr>
        <w:ind w:left="1020" w:right="22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efforts by us and/or any current or future collaboration or marketing partner to support and educate patients and physicians about the benefits and proper administration of our products, and the perceived advantages of our products and the disadvantages of competitive products;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the healthcare community and patients to adopt new technologies;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manufacture the product in sufficient quantities with acceptable quality and cost;</w:t>
      </w:r>
    </w:p>
    <w:p>
      <w:pPr>
        <w:spacing w:after="0" w:line="116" w:lineRule="exact"/>
        <w:rPr>
          <w:rFonts w:ascii="Times New Roman" w:cs="Times New Roman" w:eastAsia="Times New Roman" w:hAnsi="Times New Roman"/>
          <w:sz w:val="18"/>
          <w:szCs w:val="18"/>
          <w:color w:val="auto"/>
        </w:rPr>
      </w:pPr>
    </w:p>
    <w:p>
      <w:pPr>
        <w:ind w:left="1020" w:right="34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patients and the healthcare community, including third-party payers, regarding the safety, efficacy and benefits compared to competing products or therapies;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relative to existing treatment methods;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as well as pricing relative to other treatment therapeutics and methods;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Because of these and other factors, the products described above may not gain market acceptance or otherwise be commercially successful. Failure to achieve market acceptance would limit our ability to generate revenue and would adversely affect our results of operations. We and our current or any future collaboration partner may need to enhance our/their commercialization capabilities in order to successfully commercialize such products in the United States or any other jurisdiction in which such product is approved for commercial sale, and we or the collaboration partner may not have sufficient resources to do so.</w:t>
      </w:r>
    </w:p>
    <w:p>
      <w:pPr>
        <w:spacing w:after="0" w:line="17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increase adoption and sales of our products, we need to continue to develop our commercial organization, including maintaining and growing a highly experienced and skilled workforce with qualified sales representatives.*</w:t>
      </w:r>
    </w:p>
    <w:p>
      <w:pPr>
        <w:spacing w:after="0" w:line="5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have built a sales force that promotes Afrezza and V-Go to endocrinologists and selected primary care physicians. In order to successfully commercialize any approved products, we must continue to build our sales, marketing, distribution, managerial and other commercial capabilities. The market for skilled commercial personnel is highly competitive, and we may not be able to hire all of the personnel we need on a timely basis or retain them for a sufficient period. Factors that may hinder our ability to successfully market and commercially distribute our products include:</w:t>
      </w:r>
    </w:p>
    <w:p>
      <w:pPr>
        <w:spacing w:after="0" w:line="74" w:lineRule="exact"/>
        <w:rPr>
          <w:sz w:val="20"/>
          <w:szCs w:val="20"/>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retain and effectively manage adequate numbers of effective sales personnel;</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complementary products to be offered by sales personnel, which may put us at a competitive disadvantage relative to companies that have more extensive product lines;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delays, costs and expenses associated with maintaining our sales organization.</w:t>
      </w:r>
    </w:p>
    <w:p>
      <w:pPr>
        <w:spacing w:after="0" w:line="1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we are unable to maintain an effective sales force for our products, including potential future products, we may not be able to generate sufficient product revenue in the United States. We are required to expend significant time and resources to train our sales force to educate physicians about our products. In addition, we must continually train our sales force and equip them with effective marketing materials to ensure that a consistent and appropriate message about our products is being delivered to our potential customers. We currently have limited resources compared to some of our competitors, and the continued development of our own commercial organization to market our products and any additional products we may develop or acquire will be expensive and time-consuming. We also cannot be certain that we will be able to continue to successfully develop this capability.</w:t>
      </w:r>
    </w:p>
    <w:p>
      <w:pPr>
        <w:spacing w:after="0" w:line="18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Similarly, if UT does not effectively engage or maintain its sales force for Tyvaso DPI, our ability to recognize royalties and manufacturing revenue from this collaboration will be adversely affected.</w:t>
      </w:r>
    </w:p>
    <w:p>
      <w:pPr>
        <w:spacing w:after="0" w:line="159"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Manufacturing risks may adversely affect our ability to manufacture our products and Tyvaso DPI, which could reduce our gross margin and profitability.*</w:t>
      </w:r>
    </w:p>
    <w:p>
      <w:pPr>
        <w:spacing w:after="0" w:line="50"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We use our Danbury, Connecticut facility to assemble the inhalers from their individual molded parts, formulate both the Afrezza and Tyvaso DPI inhalation powders, fill plastic cartridges with the powders, package the cartridges into secondary packaging and assemble final kits for certain stock-keeping units. Other semi-finished goods are assembled into the final kits for commercial sale by a contract packager.</w:t>
      </w:r>
    </w:p>
    <w:p>
      <w:pPr>
        <w:spacing w:after="0" w:line="17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7" w:name="page48"/>
    <w:bookmarkEnd w:id="47"/>
    <w:p>
      <w:pPr>
        <w:ind w:right="440"/>
        <w:spacing w:after="0" w:line="260" w:lineRule="auto"/>
        <w:rPr>
          <w:sz w:val="20"/>
          <w:szCs w:val="20"/>
          <w:color w:val="auto"/>
        </w:rPr>
      </w:pPr>
      <w:r>
        <w:rPr>
          <w:rFonts w:ascii="Times New Roman" w:cs="Times New Roman" w:eastAsia="Times New Roman" w:hAnsi="Times New Roman"/>
          <w:sz w:val="18"/>
          <w:szCs w:val="18"/>
          <w:color w:val="auto"/>
        </w:rPr>
        <w:t>capacity utilization and yields. We may also experience shortages of qualified personnel, which could impact our ability to meet manufacturing requirements. In addition, there is a need to comply with strictly enforced federal, state and foreign regulations, including inspections. Our facility is inspected on a regular basis by the FDA. If the FDA makes any major observations during future inspections, the corrective actions required could be onerous and time-consuming.</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of these factors could cause us to delay or suspend production, could entail higher costs and may result in our being unable to obtain sufficient quantities for the commercialization of drug products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spacing w:after="0" w:line="186"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As demand for our products increases, we may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we may be unable to support commercialization of Tyvaso DPI.</w:t>
      </w:r>
    </w:p>
    <w:p>
      <w:pPr>
        <w:spacing w:after="0" w:line="177"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In addition, we rely on our contract manufacturers in Southern China to manufacture V-Go. Our contract manufacturer uses MannKind-owned custom-designed, semi-automated manufacturing equipment and production lines to meet our quality requirements. Separate contract manufacturers in China perform release testing, sterilization, inspection and packaging functions. As a result, our business is subject to risks associated with doing business in China, including:</w:t>
      </w:r>
    </w:p>
    <w:p>
      <w:pPr>
        <w:spacing w:after="0" w:line="74" w:lineRule="exact"/>
        <w:rPr>
          <w:sz w:val="20"/>
          <w:szCs w:val="20"/>
          <w:color w:val="auto"/>
        </w:rPr>
      </w:pPr>
    </w:p>
    <w:p>
      <w:pPr>
        <w:ind w:left="1020" w:right="4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particularly those potentially negatively affecting the trade relationship between the United States and China;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 increases, and import and export licensing and control requirements;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w:t>
      </w:r>
    </w:p>
    <w:p>
      <w:pPr>
        <w:spacing w:after="0" w:line="116" w:lineRule="exact"/>
        <w:rPr>
          <w:rFonts w:ascii="Times New Roman" w:cs="Times New Roman" w:eastAsia="Times New Roman" w:hAnsi="Times New Roman"/>
          <w:sz w:val="18"/>
          <w:szCs w:val="18"/>
          <w:color w:val="auto"/>
        </w:rPr>
      </w:pPr>
    </w:p>
    <w:p>
      <w:pPr>
        <w:ind w:left="1020" w:right="54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the Chinese legal system, including increased costs and uncertainties associated with enforcing contractual obligations in China;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lower protection of intellectual property rights;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unfavorable changes in regulatory requirements;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volatility in currency exchange rates;</w:t>
      </w:r>
    </w:p>
    <w:p>
      <w:pPr>
        <w:spacing w:after="0" w:line="116"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patient or physician preferences for more established pharmaceutical products and medical devices manufactured in the United States;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relationships and operations generally.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are likely to be exacerbated by our limited experience with V-Go and its manufacturing processes.</w:t>
      </w:r>
    </w:p>
    <w:p>
      <w:pPr>
        <w:spacing w:after="0" w:line="221"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commercial manufacture of inhaled drug products, we need access to sufficient, reliable and affordable supplies of FDKP, the 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current good manufacturing practice (“cGMP”) for drug products, and the molding of the inhaler and cartridges components in accordance with quality system regulations for medical devices (“QSRs”).</w:t>
      </w:r>
    </w:p>
    <w:p>
      <w:pPr>
        <w:spacing w:after="0" w:line="18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V-Go, we obtain parts from a small number of suppliers, including some parts and components that are purchased from single-source vendors. Depending on a limited number of suppliers exposes us to risks, including limited control over pricing, availability, quality and delivery schedules. In addition, we do not have long-term supply agreements with most of our suppliers and, in many cases, we make our purchases on a purchase order basis. Under many of our supply agreements, we have no obligation to buy any given quantity of components, and our suppliers have no obligation to manufacture for us or sell to us any given quantity of components.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18"/>
          <w:szCs w:val="18"/>
          <w:color w:val="auto"/>
        </w:rPr>
        <w:t>Because we do not have long-standing relationships with all of our suppliers, we may not be able to convince them to continue to make components available to us unless there is demand for such components from their other customers. If any one or more of our suppliers cease to provide us with sufficient quantities of components in a timely manner or on terms acceptable to us, we would have to seek alternative sources of supply. Because of factors such as the proprietary nature of our product, our quality control standards and regulatory requirements, we cannot quickly engage additional or replacement suppliers for some of our critical components.</w:t>
      </w:r>
    </w:p>
    <w:p>
      <w:pPr>
        <w:spacing w:after="0" w:line="39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may also have difficulty obtaining similar components from other suppliers that meet the requirements of the FDA or other regulatory agencies.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production.</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17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do not cover our approved products, such products might not be prescribed, used or purchased, which would adversely affect our revenues.</w:t>
      </w:r>
    </w:p>
    <w:p>
      <w:pPr>
        <w:spacing w:after="0" w:line="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United States and elsewhere, sales of prescription pharmaceuticals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our approved products depends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Even if favorable coverage and reimbursement status is attained for our products, less favorable coverage policies and reimbursement rates may be implemented in the future.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Inflation Reduction Act (the “IRA”) limited insulin copays to $35 per month for Medicare Part D beneficiaries starting in 2023. In certain foreign markets, the pricing of prescription pharmaceuticals is subject to direct governmental control.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w:t>
      </w:r>
    </w:p>
    <w:p>
      <w:pPr>
        <w:spacing w:after="0" w:line="18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If we or any collaboration or marketing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collaboration or marketing partner’s ability to successfully commercialize such products and would impact our profitability, results of operations, financial condition, and prospects.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operations.*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spacing w:after="0" w:line="74" w:lineRule="exact"/>
        <w:rPr>
          <w:sz w:val="20"/>
          <w:szCs w:val="20"/>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we are able to generate revenue from products that we or a collaboration partner commercialize;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Afrezza and of commercializing Afrezza and V-Go on our own in the United States;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by any or all of the holders of our Senior convertible notes to require us to repay or repurchase such debt securities if and when required;</w:t>
      </w:r>
    </w:p>
    <w:p>
      <w:pPr>
        <w:spacing w:after="0" w:line="54" w:lineRule="exact"/>
        <w:rPr>
          <w:rFonts w:ascii="Times New Roman" w:cs="Times New Roman" w:eastAsia="Times New Roman" w:hAnsi="Times New Roman"/>
          <w:sz w:val="18"/>
          <w:szCs w:val="18"/>
          <w:color w:val="auto"/>
        </w:rPr>
      </w:pPr>
    </w:p>
    <w:p>
      <w:pPr>
        <w:ind w:left="1020" w:right="32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or refinance existing indebtedness, and the extent to which our Senior convertible notes or any other convertible debt securities we may issue are converted into or exchanged for shares of our common stock;</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of our clinical studies and R&amp;D activities;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procuring raw materials and operating our manufacturing facility;</w:t>
      </w:r>
    </w:p>
    <w:p>
      <w:pPr>
        <w:spacing w:after="0" w:line="116"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54" w:lineRule="exact"/>
        <w:rPr>
          <w:rFonts w:ascii="Times New Roman" w:cs="Times New Roman" w:eastAsia="Times New Roman" w:hAnsi="Times New Roman"/>
          <w:sz w:val="18"/>
          <w:szCs w:val="18"/>
          <w:color w:val="auto"/>
        </w:rPr>
      </w:pPr>
    </w:p>
    <w:p>
      <w:pPr>
        <w:ind w:left="1020" w:right="48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FDA and other regulatory authorities affecting Afrezza, V-Go, Tyvaso DPI, our product candidates or competitive products;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market developments;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legal and litigation expenses;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discontinuing projects and technologies, and/or decommissioning existing facilities, if we undertake any such activities.</w:t>
      </w:r>
    </w:p>
    <w:p>
      <w:pPr>
        <w:spacing w:after="0" w:line="225"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We have raised capital in the past through the sale of equity and debt securities and the sale of certain assets. In the future, we may pursue the sale of additional equity, debt securities and/or assets, or the establishment of other funding facilities including asset-based borrowings. There can be no assurances, however, that we will be able to raise additional capital in the future on acceptable terms, or at all. Volatility and disruptions of the global supply chain and financial markets, if sustained or recurrent, could prevent us or make it more difficult for us to access capital.</w:t>
      </w:r>
    </w:p>
    <w:p>
      <w:pPr>
        <w:spacing w:after="0" w:line="18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8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spacing w:after="0" w:line="17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50" w:name="page51"/>
    <w:bookmarkEnd w:id="50"/>
    <w:p>
      <w:pPr>
        <w:ind w:right="560"/>
        <w:spacing w:after="0" w:line="281" w:lineRule="auto"/>
        <w:rPr>
          <w:sz w:val="20"/>
          <w:szCs w:val="20"/>
          <w:color w:val="auto"/>
        </w:rPr>
      </w:pPr>
      <w:r>
        <w:rPr>
          <w:rFonts w:ascii="Times New Roman" w:cs="Times New Roman" w:eastAsia="Times New Roman" w:hAnsi="Times New Roman"/>
          <w:sz w:val="18"/>
          <w:szCs w:val="18"/>
          <w:color w:val="auto"/>
        </w:rPr>
        <w:t>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15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7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and third parties with whom we work, employ and are increasingly dependent upon information technology systems, infrastructure, applications, websites and other resources. Our business requires collecting, receiving, manipulating, analyzing, storing, processing, generating, using, disclosing, protecting, securing, transmitting, sharing, disposing of, and making accessible (collectively “process”) large amounts of data, including proprietary, confidential and sensitive data (such as personal or health-related data), intellectual property, and trade secrets (collectively, “sensitive information”). As a result, we and the third parties with whom we work face a variety of evolving threats that could cause security incidents.</w:t>
      </w:r>
    </w:p>
    <w:p>
      <w:pPr>
        <w:spacing w:after="0" w:line="18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 software or hardware failures, loss of data or other information technology assets, adware, attached enhanced or facilitated by AI, telecommunications failures, earthquakes, fires, floods, attacks enhanced or facilitated by artificial intelligence,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on third parties and technologies to operate critical business systems to process sensitive information in a variety of contexts, including, without limitation, cloud-based infrastructure, data center facilities, encryption and authentication technology, employee email, and other functions. We also rely on third-party service providers to provide other products or services, or otherwise to operate our business. For example, we rely on an enterprise software system to operate and manage our business. Our business, including our ability to manufacture drug products and conduct clinical trials, therefore depends on the continuous, effective, reliable and secure operation of our information technology resources and those of third parties with whom we work,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w:t>
      </w:r>
    </w:p>
    <w:p>
      <w:pPr>
        <w:spacing w:after="0" w:line="19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technology systems (such as our hardware and/or software, including that of third parties with whom we work), but we may not be able to detect, mitigate, and remediate all such vulnerabilities including on a timely basis. It may also be difficult and/or costly to detect, investigate,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51" w:name="page52"/>
    <w:bookmarkEnd w:id="51"/>
    <w:p>
      <w:pPr>
        <w:ind w:right="40"/>
        <w:spacing w:after="0" w:line="253" w:lineRule="auto"/>
        <w:rPr>
          <w:sz w:val="20"/>
          <w:szCs w:val="20"/>
          <w:color w:val="auto"/>
        </w:rPr>
      </w:pPr>
      <w:r>
        <w:rPr>
          <w:rFonts w:ascii="Times New Roman" w:cs="Times New Roman" w:eastAsia="Times New Roman" w:hAnsi="Times New Roman"/>
          <w:sz w:val="18"/>
          <w:szCs w:val="18"/>
          <w:color w:val="auto"/>
        </w:rPr>
        <w:t>mitigate, contain, and remediate a security incident. Further, we may experience delays in developing and deploying remedial measures and patches designed to address identified vulnerabilities, which could be exploited and result in a security incident.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We have in the past experienced security incidents. For example, like many companies, we use SolarWinds to help manage our information technology systems. A cyber-attack on SolarWinds was discovered in December 2020 and widely exploited by threat actors. Upon learning of this vulnerability, we applied the software patch provided by SolarWinds and remediated the incident. The incident did not appear to have any negative impact on our operations or the sensitive information we may process. In addition, a ransomware attack on Ultimate Kronos Group’s (“UKG”) Kronos Private Cloud service was discovered in December 2021. At the time, we used UKG Pro, a product offered through UKG that is not in the Kronos Private Cloud, for human capital management. UKG is not aware of an impact on UKG Pro and the incident did not appear to have any negative impact on our operations or the sensitive information we may process. These incidents illustrate that despite our efforts to identify and remediate vulnerabilities, if any, in our information technology systems, our efforts may not be successful.</w:t>
      </w:r>
    </w:p>
    <w:p>
      <w:pPr>
        <w:spacing w:after="0" w:line="186"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products.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industry-standards or reasonable security measures to protect our information technology systems and sensitive information.</w:t>
      </w:r>
    </w:p>
    <w:p>
      <w:pPr>
        <w:spacing w:after="0" w:line="17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disclosures or the failure to comply with such applicable requirements could lead to adverse consequences. If we (or a third party with whom we work)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9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the Company or our customers could also be leaked, disclosed, or revealed as a result of or in connection with our employees’, personnel’s, or vendors’ use of generative artificial intelligence (“AI”) technologies.</w:t>
      </w:r>
    </w:p>
    <w:p>
      <w:pPr>
        <w:spacing w:after="0" w:line="17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50"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In addition, the current inflationary environment related to increased aggregate demand and supply chain constraints has the potential to adversely affect our operating expenses.</w:t>
      </w:r>
    </w:p>
    <w:p>
      <w:pPr>
        <w:spacing w:after="0" w:line="18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We believe that comparisons from period to period of our financial results are not necessarily meaningful and should not be relied upon as indications of our future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We may incur losses and may not generate positive cash flow from operations in the future.*</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Our losses have had, and may continue to have, an adverse impact on our working capital, total assets and stockholders’ equity. Our ability to achieve and sustain positive cash flow from operations and profitability depends heavily upon successfully commercializing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4" w:right="379" w:bottom="1440" w:gutter="0" w:footer="0" w:header="0"/>
        </w:sectPr>
      </w:pPr>
    </w:p>
    <w:bookmarkStart w:id="52" w:name="page53"/>
    <w:bookmarkEnd w:id="52"/>
    <w:p>
      <w:pPr>
        <w:ind w:right="100"/>
        <w:spacing w:after="0" w:line="281" w:lineRule="auto"/>
        <w:rPr>
          <w:sz w:val="20"/>
          <w:szCs w:val="20"/>
          <w:color w:val="auto"/>
        </w:rPr>
      </w:pPr>
      <w:r>
        <w:rPr>
          <w:rFonts w:ascii="Times New Roman" w:cs="Times New Roman" w:eastAsia="Times New Roman" w:hAnsi="Times New Roman"/>
          <w:sz w:val="18"/>
          <w:szCs w:val="18"/>
          <w:color w:val="auto"/>
        </w:rPr>
        <w:t>our products, and although we had positive cash flows from operations during the six months ended June 30, 2024 and the year ended December 31, 2023, we may not generate positive cash flow from operations or be profitable in the future.</w:t>
      </w:r>
    </w:p>
    <w:p>
      <w:pPr>
        <w:spacing w:after="0" w:line="163"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As of June 30, 2024, we had an accumulated deficit of $3.2 billion. The accumulated deficit has resulted principally from costs incurred in our R&amp;D programs, the write-off of assets (including goodwill, inventory and property, plant and equipment) and general operating expenses. We expect to make substantial expenditures and may incur operating losses in the future in order to continue commercializing our products and to advance development of product candidates in our pipeline.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commitments.*</w:t>
      </w:r>
    </w:p>
    <w:p>
      <w:pPr>
        <w:spacing w:after="0" w:line="12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Our ability to make scheduled payments on our insulin purchase commitments and debt obligations will depend on our financial and operating performance, which is subject to the commercial success of our products and the commercial success of the product(s) of our collaboration partners, the extent to which we are able to successfully develop and commercialize additional products, the extent to which we enter into additional collaboration or licensing arrangements, prevailing economic and competitive conditions, and certain financial, business and other factors beyond our control. We cannot assure you that we will maintain a level of cash flows from operating activities sufficient to permit us to pay the principal, premium, if any, and interest on our indebtedness. If we fail to pay interest on, or repay, our borrowings under the Senior convertible notes when required, we will be in default under the instrument for such debt securities, and may also suffer an event of default under the terms of other borrowing arrangements that we may enter into from time to time. If our cash flows and capital resources are insufficient to fund our obligations, we may be forced to reduce or delay capital expenditures, sell assets or operations, seek additional capital or restructure or refinance our lease obligations. We cannot assure you that we would be able to take any of these actions, that these actions would be successful and permit us to meet our scheduled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 Any of these events could have a material adverse effect on our business, results of operations and financial condition, up to and including the noteholders initiating bankruptcy proceedings or causing us to cease operations altogether.</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we may from time to time seek to retire or purchase our outstanding debt, including the Senior convertible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spacing w:after="0" w:line="17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 regions where we have business operations, and we could experience significant disruptions in the operations of third-party manufacturers and distributors upon whom we rely. For example, sales and demand for Afrezza were adversely affected by the global COVID-19 pandemic, and future pandemics or epidemics could adversely affect the demand for and sales of our products in the future. Quarantines, shelter-in-place and similar government orders, or the perception that such orders, shutdowns or other restrictions on the conduct of business operations could occur, related to infectious diseases, could impact personnel at third-party manufacturing facilities in the United States and other countries, or the availability or cost of materials, which would disrupt our supply chain. In addition, our contract manufacturers in China could be impacted by that country’s recent policy of strict lockdowns in order to reduce the spread of disease. Disruptions in sales and demand for our products would be expected to occur:</w:t>
      </w:r>
    </w:p>
    <w:p>
      <w:pPr>
        <w:spacing w:after="0" w:line="81" w:lineRule="exact"/>
        <w:rPr>
          <w:sz w:val="20"/>
          <w:szCs w:val="20"/>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are physically quarantined or are unable or unwilling to visit healthcare providers,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restrict access to their facilities for a material period of time,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healthcare providers prioritize treatment of acute or communicable illnesses over chronic disease management,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pharmacies are closed or suffering supply chain disruptions,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lose access to employer-sponsored health insurance due to periods of high unemployment, or</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general disruptions in the operations of payers, distributors, logistics providers and other third parties that are necessary for our products to be prescribed and reimbursed.</w:t>
      </w:r>
    </w:p>
    <w:p>
      <w:pPr>
        <w:spacing w:after="0" w:line="5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Clinical trials of our products were delayed as a result of the COVID-19 pandemic and may be affected by a future health pandemic or epidemic. Clinical site initiation and patient enrollment may be delayed due to prioritization of hospital resources toward the health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3" w:name="page54"/>
    <w:bookmarkEnd w:id="53"/>
    <w:p>
      <w:pPr>
        <w:ind w:right="20"/>
        <w:spacing w:after="0" w:line="265" w:lineRule="auto"/>
        <w:rPr>
          <w:sz w:val="20"/>
          <w:szCs w:val="20"/>
          <w:color w:val="auto"/>
        </w:rPr>
      </w:pPr>
      <w:r>
        <w:rPr>
          <w:rFonts w:ascii="Times New Roman" w:cs="Times New Roman" w:eastAsia="Times New Roman" w:hAnsi="Times New Roman"/>
          <w:sz w:val="18"/>
          <w:szCs w:val="18"/>
          <w:color w:val="auto"/>
        </w:rPr>
        <w:t>pandemic or epidemic. Some patients may not be able or willing to comply with clinical trial protocols if quarantines impede patient movement or interrupt healthcare services. Similarly, our ability to recruit and retain patients and principal investigators and site staff would adversely impact our clinical trial operations.</w:t>
      </w:r>
    </w:p>
    <w:p>
      <w:pPr>
        <w:spacing w:after="0" w:line="17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A pandemic or epidemic also has the potential for disruption of global financial markets. This disruption, if sustained or recurrent, could make it more difficult for us to access capital, which could negatively affect our liquidity. In addition, a recession or market correction as a result of a health pandemic or epidemic could materially affect our business and the value of our common stock.</w:t>
      </w:r>
    </w:p>
    <w:p>
      <w:pPr>
        <w:spacing w:after="0" w:line="17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Afrezza has been approved in the United States by the FDA and in Brazil by ANVISA, we have not yet obtained approval in any other jurisdiction. Similarly, V-Go has received 510(k) clearance from the FDA, but has not received a comparable approval in any other country.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spacing w:after="0" w:line="7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spacing w:after="0" w:line="18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testing of our products and product candidates may not yield successful results, and even if it does, we may still be unable to successfully commercialize our current or future products.</w:t>
      </w:r>
    </w:p>
    <w:p>
      <w:pPr>
        <w:spacing w:after="0" w:line="5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have generally sought to develop product candidates through our internal research programs. All such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we may not be able to advance these programs into clinical development unless we are able to obtain specific funding for these programs or enter into collaborations with third parties.</w:t>
      </w:r>
    </w:p>
    <w:p>
      <w:pPr>
        <w:spacing w:after="0" w:line="18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69" w:lineRule="exact"/>
        <w:rPr>
          <w:sz w:val="20"/>
          <w:szCs w:val="20"/>
          <w:color w:val="auto"/>
        </w:rPr>
      </w:pPr>
    </w:p>
    <w:p>
      <w:pPr>
        <w:ind w:left="1020" w:right="200" w:hanging="504"/>
        <w:spacing w:after="0" w:line="265"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69"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clinical data, we or any collaborators may abandon projects that we previously believed were promising;</w:t>
      </w:r>
    </w:p>
    <w:p>
      <w:pPr>
        <w:spacing w:after="0" w:line="116"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man-made or natural disasters or public health pandemics or epidemics or other business interruptions.</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54" w:name="page55"/>
    <w:bookmarkEnd w:id="54"/>
    <w:p>
      <w:pPr>
        <w:ind w:right="60"/>
        <w:spacing w:after="0" w:line="265" w:lineRule="auto"/>
        <w:rPr>
          <w:sz w:val="20"/>
          <w:szCs w:val="20"/>
          <w:color w:val="auto"/>
        </w:rPr>
      </w:pPr>
      <w:r>
        <w:rPr>
          <w:rFonts w:ascii="Times New Roman" w:cs="Times New Roman" w:eastAsia="Times New Roman" w:hAnsi="Times New Roman"/>
          <w:sz w:val="18"/>
          <w:szCs w:val="18"/>
          <w:color w:val="auto"/>
        </w:rPr>
        <w:t>As a result of any of these events, we, any collaborator, the FDA, or any other regulatory authorities may suspend or terminate clinical studies or marketing of any of our products or product candidates at any time. Any suspension or termination of our clinical studies or marketing activities may harm our business, financial condition and results of operations and the market price of our common stock and other securities may decline.</w:t>
      </w:r>
    </w:p>
    <w:p>
      <w:pPr>
        <w:spacing w:after="0" w:line="17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74" w:lineRule="exact"/>
        <w:rPr>
          <w:sz w:val="20"/>
          <w:szCs w:val="20"/>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studies and preclinical research and development activities;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study eligibility criteria;</w:t>
      </w:r>
    </w:p>
    <w:p>
      <w:pPr>
        <w:spacing w:after="0" w:line="116"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 or to source clinical supplies from contract manufacturers;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clinical studies compete for clinical sites and eligible subjects with clinical studies sponsored by other companies;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regulators; and</w:t>
      </w:r>
    </w:p>
    <w:p>
      <w:pPr>
        <w:spacing w:after="0" w:line="116"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geopolitical conflicts, man-made or natural disasters or public health pandemics or epidemics or other business interruptions.</w:t>
      </w:r>
    </w:p>
    <w:p>
      <w:pPr>
        <w:spacing w:after="0" w:line="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fail to commence or complete, or experience delays in or are forced to curtail, our proposed development programs or otherwise fail to adhere to our projected development goals in the timeframes we expect (or within the timeframes expected by analysts or investors), our business, financial condition and results of operations may be harmed and the market price of our common stock and other securities may decline. In addition, we may be delayed or prevented from generating revenues from milestone or other payments that depend on our ability to achieve any milestone obligations specified in an out-licensing arrangement.</w:t>
      </w:r>
    </w:p>
    <w:p>
      <w:pPr>
        <w:spacing w:after="0" w:line="17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long-term safety and efficacy of approved products may differ from clinical studies, which could negatively impact sales and could lead to reputational harm or other negative effects.</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effects of approved therapeutic products over terms longer than the clinical studies or in much larger populations may not be consistent with earlier clinical results. If long-term use of an approved therapeutic product results in adverse health effects or reduced efficacy or both, the FDA or other regulatory agencies may terminate our or any marketing or collaboration partner’s ability to market and sell the product, may narrow the approved indications for use or otherwise require restrictive product labeling or marketing, or may require further clinical studies, which may be time-consuming and expensive and may not produce favorable results.</w:t>
      </w:r>
    </w:p>
    <w:p>
      <w:pPr>
        <w:spacing w:after="0" w:line="18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V-Go received pre-market clearance in 2010 under Section 510(k) of the U.S. Federal Food, Drug, and Cosmetic Act (“FDCA”).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payers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spacing w:after="0" w:line="18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any future acquisition or strategic transaction; we may be unable to successfully integrate new products or businesses we may acquire.</w:t>
      </w:r>
    </w:p>
    <w:p>
      <w:pPr>
        <w:spacing w:after="0" w:line="5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We periodically evaluate and pursue acquisition of therapeutic products. The integration of any acquired business, product or other assets into our company may be complex and time-consuming and, if such businesses, products or assets are not successfully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5" w:name="page56"/>
    <w:bookmarkEnd w:id="55"/>
    <w:p>
      <w:pPr>
        <w:ind w:right="760"/>
        <w:spacing w:after="0" w:line="281" w:lineRule="auto"/>
        <w:rPr>
          <w:sz w:val="20"/>
          <w:szCs w:val="20"/>
          <w:color w:val="auto"/>
        </w:rPr>
      </w:pPr>
      <w:r>
        <w:rPr>
          <w:rFonts w:ascii="Times New Roman" w:cs="Times New Roman" w:eastAsia="Times New Roman" w:hAnsi="Times New Roman"/>
          <w:sz w:val="18"/>
          <w:szCs w:val="18"/>
          <w:color w:val="auto"/>
        </w:rPr>
        <w:t>integrated, we may not achieve the anticipated benefits, cost-savings or growth opportunities. Potential difficulties that may be encountered in the integration process include the following:</w:t>
      </w:r>
    </w:p>
    <w:p>
      <w:pPr>
        <w:spacing w:after="0" w:line="55" w:lineRule="exact"/>
        <w:rPr>
          <w:sz w:val="20"/>
          <w:szCs w:val="20"/>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assets, companies or joint ventures;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operations and systems, while maintaining focus on producing and delivering consistent, high quality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w:t>
      </w:r>
    </w:p>
    <w:p>
      <w:pPr>
        <w:spacing w:after="0" w:line="116"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attracting new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inefficiencies associated with integrating the operations of our company;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assets, businesses or joint ventures.</w:t>
      </w:r>
    </w:p>
    <w:p>
      <w:pPr>
        <w:spacing w:after="0" w:line="1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associated with an acquired business, product, technology or other asset or arrangement. Any one of these challenges or risks could impair our ability to realize any benefit from our acquisitions or arrangements after we have expended resources on them.</w:t>
      </w:r>
    </w:p>
    <w:p>
      <w:pPr>
        <w:spacing w:after="0" w:line="18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Future acquisitions or dispositions could also result in potentially dilutive issuances of our equity securities, the incurrence of debt, contingent liabilities or amortization expenses or write-offs of goodwill, any of which could harm our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be rendered obsolete by rapid technological change.</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our approved products or one or more of our product candidates becoming obsolete or noncompetitive. Our competitors may develop or introduce new products that render our technology or products less competitive, uneconomical or obsolete. Our future success may depend not only on our ability to develop our product candidates, but also our ability to improve them in order to keep pace with emerging industry developments. We cannot assure you that we will be able to do so.</w:t>
      </w:r>
    </w:p>
    <w:p>
      <w:pPr>
        <w:spacing w:after="0" w:line="182"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17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are a number of clinical studies being conducted by other pharmaceutical companies involving compounds similar to, or potentially competitive with, our product candidates. Adverse results reported by these other companies in their clinical studies or by companies that use our proprietary formulation and inhaler technologies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6" w:name="page57"/>
    <w:bookmarkEnd w:id="56"/>
    <w:p>
      <w:pPr>
        <w:ind w:right="300"/>
        <w:spacing w:after="0" w:line="281" w:lineRule="auto"/>
        <w:rPr>
          <w:sz w:val="20"/>
          <w:szCs w:val="20"/>
          <w:color w:val="auto"/>
        </w:rPr>
      </w:pPr>
      <w:r>
        <w:rPr>
          <w:rFonts w:ascii="Times New Roman" w:cs="Times New Roman" w:eastAsia="Times New Roman" w:hAnsi="Times New Roman"/>
          <w:sz w:val="18"/>
          <w:szCs w:val="18"/>
          <w:color w:val="auto"/>
        </w:rPr>
        <w:t>pay a product liability claim our business, financial condition and results of operations would be harmed and the market price of our common stock and other securities may decline.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any key employees or scientific advisors, our operations and our ability to execute our business strategy could be materially harmed.</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82"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Replacing key employees may be difficult and time-consuming because of the limited number of individuals in our industry with the skills and experience required to develop, gain regulatory approval of and commercialize products successfully.</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products.</w:t>
      </w:r>
    </w:p>
    <w:p>
      <w:pPr>
        <w:spacing w:after="0" w:line="18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50"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1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or modifications in financial accounting standards may harm our results of operations.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57" w:name="page58"/>
    <w:bookmarkEnd w:id="57"/>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(the "Tax Act"), the Coronavirus Aid, Relief, and Economic Security Act and the IRA enacted many significant changes to the U.S. tax laws. Further guidance from the Internal Revenue Service and other tax authorities with respect to such legislation may affect us, and certain aspects of such legislation could be repealed or modified in future legislation. In addition, it is uncertain if and to what extent various states will conform to federal tax laws. Future tax reform legislation could have a material impact on the value of our deferred tax assets and could increase our future U.S. tax expense.</w:t>
      </w:r>
    </w:p>
    <w:p>
      <w:pPr>
        <w:spacing w:after="0" w:line="1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Effective January 1, 2022, the Tax Act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Unless the United States Department of the Treasury issues regulations that narrow the application of this provision to a smaller subset of our research and development expenses or the provision is deferred, modified, or repealed by Congress, it could harm our future operating results by effectively increasing our future tax obligations. The actual impact of this provision will depend on multiple factors, including the amount of research and development expenses we will incur, whether we achieve sufficient income to fully utilize such deductions and whether we conduct our research and development activities inside or outside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to offset future taxable income may be subject to limitations.*</w:t>
      </w:r>
    </w:p>
    <w:p>
      <w:pPr>
        <w:spacing w:after="0" w:line="121"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As of December 31, 2023, the Company had federal and state net operating loss carryforwards of approximately $2.0 billion and $1.3 billion available, respectively, to reduce future taxable income. $494.0 million of the federal net operating loss carryforwards do not expire and the remaining federal net operating loss carryforwards have started expiring, beginning in the current year through various future dates.</w:t>
      </w:r>
    </w:p>
    <w:p>
      <w:pPr>
        <w:spacing w:after="0" w:line="17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Pursuant to Internal Revenue Code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2023, to determine whether additional limitations apply to the net operating loss carryforwards and other tax attributes, and no additional changes in ownership that met Section 382 study ownership change threshold have been identified through December 31, 2023. There is a risk that changes in ownership may occur in tax years after December 31, 2023.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2024 through 2026.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17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5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8" w:name="page59"/>
    <w:bookmarkEnd w:id="58"/>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5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interrupted by the occurrence of a natural disaster or other catastrophic event.</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At least for the foreseeable future, we expect that our manufacturing facility in Connecticut will be the sole location for the manufacturing of Afrezza and Tyvaso DPI. Similarly, our contract manufacturer in Southern China is the only location for the assembly of V-Go. Additional contract manufacturers in China perform release testing, sterilization, inspection and packaging functions. These facilities and the specialized manufacturing equipment we use at them would be costly to replace and could require substantial lead-time to repair or replace. We depend on our facilities and on collaborators, contractors and vendors for the continued operation of our business. Natural disasters, such as interruptions in the supply of natural resources, public health pandemics or epidemics, earthquakes and extreme weather conditions, including, but not limited to, hurricanes, floods, tornados, wildfires, and winter storms, or other catastrophic events, including political and governmental changes, conflicts (including the current Russia-Ukraine war, the state of war between Israel and Hamas and attacks on commercial marine vessels in the Red Sea by Houthi rebels), explosions, actions of animal rights activists, terrorist attacks and wars, could disrupt our operations or those of our collaborators, contractors and vendors. Such conditions may be further exacerbated by the effects of climate change.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deal with hazardous materials and must comply with environmental laws and regulations, which can be expensive and restrict how we do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work involves the controlled storage and use of hazardous materials, including chemical and biological materials.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also produce hazardous waste products. We are subject to federal, state and local laws and regulations (i) governing how we use, manufacture,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 handle and dispose of these materials (ii) imposing liability for costs of cleaning up, and damages to natural resources from past spills, waste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disposals on and off-site, or other releases of hazardous materials or regulated substances, and (iii) regulating workplace safety. Moreover, the risk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accidental contamination or injury from hazardous materials cannot be completely eliminated, and in the event of an accident, we could be held liable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damages that may result, and any liability could fall outside the coverage or exceed the limits of our insurance. Currently, our general liability policy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coverage up to $1.0 million per occurrence and $2.0 million in the aggregate and is supplemented by an umbrella policy that provides a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 million of coverage; however, our insurance policy excludes pollution liability coverage and we do not carry a separate hazardous materials policy. 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we could be required to incur significant costs to comply with environmental laws and regulations in the future. Finally, current or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 and regulations may impair our research, development or production efforts or have an adverse impact on our business,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financial condition.</w:t>
      </w:r>
    </w:p>
    <w:p>
      <w:pPr>
        <w:spacing w:after="0" w:line="2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spacing w:after="0" w:line="18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9" w:name="page60"/>
    <w:bookmarkEnd w:id="59"/>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otherwise prevent those agencies from performing normal functions on which the operation of our business may rely, which could negatively impact our business.</w:t>
      </w:r>
    </w:p>
    <w:p>
      <w:pPr>
        <w:spacing w:after="0" w:line="5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5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Adverse developments that affect financial institutions, such as events involving liquidity that are rumored or actual, have in the past and may in the future lead to bank failures and market-wide liquidity problems. For example, in March 2023, Silicon Valley Bank (“SVB”) was closed by the California Department of Financial Protection and Innovation, which appointed the Federal Deposit Insurance Corporation (“FDIC”) as receiver. Similarly, days later, Signature Bank and Silvergate Capital Corp. were each swept into receivership. In addition, in May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spacing w:after="0" w:line="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1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69" w:lineRule="exact"/>
        <w:rPr>
          <w:sz w:val="20"/>
          <w:szCs w:val="20"/>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testing;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shipping;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11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7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8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7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6"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studies.</w:t>
      </w:r>
    </w:p>
    <w:p>
      <w:pPr>
        <w:spacing w:after="0" w:line="16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ongoing government regulation.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good clinical practice guidelines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78" w:lineRule="exact"/>
        <w:rPr>
          <w:sz w:val="20"/>
          <w:szCs w:val="20"/>
          <w:color w:val="auto"/>
        </w:rPr>
      </w:pPr>
    </w:p>
    <w:p>
      <w:pPr>
        <w:ind w:left="1020" w:right="66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approved labeling to add new safety information;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6"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part of the approval of Afrezza, the FDA required us to conduct certain additional clinical studies of Afrezza. One of these studies, a Phase 3 clinical trial to evaluate the safety and efficacy of Afrezza in 4-17 year-old children and adolescents, is ongoing. The other required study is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or registry to address any concerns. To date, we have not commenced a long-term safety study or budgeted any amount for it, but such a study in its original design would be anticipated to require substantial capital resources that we may not be able to obtain.</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Prescription drugs may be promoted only for the approved indications in accordance with the approved label. The FDA and other regulatory authorities may take enforcement action against a company for promoting unapproved uses of a product or for other violations of its advertising and labeling laws and regulations.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Enforcement action may include product seizures, injunctions, significant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9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delay the submission or review of an application or require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2" w:name="page63"/>
    <w:bookmarkEnd w:id="62"/>
    <w:p>
      <w:pPr>
        <w:ind w:right="180"/>
        <w:spacing w:after="0" w:line="276" w:lineRule="auto"/>
        <w:rPr>
          <w:sz w:val="20"/>
          <w:szCs w:val="20"/>
          <w:color w:val="auto"/>
        </w:rPr>
      </w:pPr>
      <w:r>
        <w:rPr>
          <w:rFonts w:ascii="Times New Roman" w:cs="Times New Roman" w:eastAsia="Times New Roman" w:hAnsi="Times New Roman"/>
          <w:sz w:val="17"/>
          <w:szCs w:val="17"/>
          <w:color w:val="auto"/>
        </w:rPr>
        <w:t>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 New Drug Application (“NDA”). For example, in July 2021, a third party submitted a citizen petition to the FDA requesting that the FDA refuse to approve Tyvaso DPI, and/or impose additional requirements in order to approve the product. This prompted the FDA to request additional information concerning Tyvaso DPI prior to granting approval in May 2022. If successful, a citizen petition can significantly delay, or even prevent, the approval of a drug product.</w:t>
      </w:r>
    </w:p>
    <w:p>
      <w:pPr>
        <w:spacing w:after="0" w:line="17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We also cannot be sure that actions by foreign regulatory bodies pertaining to the safety of drugs or medical devices will not adversely affect our operations.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legislation may make it more difficult to receive revenues.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has been a number of legislative and regulatory proposals in recent years to change the healthcare system in ways that could impact our ability to sell our products profitably. The most recent significant healthcare legislation was the Patient Protection and Affordable Care Act, as amended by the Health Care and Education Reconciliation Act (collectively, the “PPACA”) enacted in March 2010, which substantially changed the way healthcare is financed by both governmental and private insurers and continues to significantly affect the healthcare industry. There have been executive, judicial and congressional challenges to certain provisions of the PPACA, although the constitutionality of the PPACA appears to now be settled. In addition, there have been proposed and enacted health reform initiatives affecting the PPACA. For example, on August 16, 2022, President Biden signed the IRA into law, which among other things, extends enhanced subsidies for individuals purchasing health insurance coverage in PPACA marketplaces through plan year 2025, eliminates the “donut hole” under the Medicare Part D program beginning in 2025 by significantly lowering the beneficiary maximum out-of-pocket cost and through a newly established manufacturer discount program, and capped the out-of-pocket cost of insulin (including Afrezza) at $35 per month for Medicare recipients beginning in 2023. It is possible that the PPACA will be subject to judicial or Congressional challenges in the future. It is unclear how any such challenges, other litigation, and the healthcare reform measures of the current administration will impact the PPACA.</w:t>
      </w:r>
    </w:p>
    <w:p>
      <w:pPr>
        <w:spacing w:after="0" w:line="7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6"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w:t>
      </w:r>
    </w:p>
    <w:p>
      <w:pPr>
        <w:spacing w:after="0" w:line="5" w:lineRule="exact"/>
        <w:rPr>
          <w:sz w:val="20"/>
          <w:szCs w:val="20"/>
          <w:color w:val="auto"/>
        </w:rPr>
      </w:pPr>
    </w:p>
    <w:p>
      <w:pPr>
        <w:ind w:firstLine="8"/>
        <w:spacing w:after="0" w:line="251"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directs HHS to negotiate the price of certain single-source drugs and biologics covered under Medicare and (2)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Further, in response to the Biden administration's October 2022 executive order, on February 14, 2023, HHS released a report outlining three new models for testing by the Centers for Medicare &amp; Medicaid Services ("CMS") Innovation Center which will be evaluated on their ability to lower the cost of drugs, promote accessibility, and improve quality of care. It is unclear whether the models will be utilized in any health reform measures in the future.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3" w:name="page64"/>
    <w:bookmarkEnd w:id="63"/>
    <w:p>
      <w:pPr>
        <w:spacing w:after="0" w:line="253" w:lineRule="auto"/>
        <w:rPr>
          <w:sz w:val="20"/>
          <w:szCs w:val="20"/>
          <w:color w:val="auto"/>
        </w:rPr>
      </w:pPr>
      <w:r>
        <w:rPr>
          <w:rFonts w:ascii="Times New Roman" w:cs="Times New Roman" w:eastAsia="Times New Roman" w:hAnsi="Times New Roman"/>
          <w:sz w:val="18"/>
          <w:szCs w:val="18"/>
          <w:color w:val="auto"/>
        </w:rPr>
        <w:t>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Further, to the extent that such reforms have a material adverse effect on our ability to commercialize our products and product candidates under development, our business, financial condition and profitability may be adversely affected.</w:t>
      </w:r>
    </w:p>
    <w:p>
      <w:pPr>
        <w:spacing w:after="0" w:line="1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expect that the IRA, as well as other healthcare reform measures that may be adopted in the future, are likely to have a significant effect on the pharmaceutical industry,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17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spacing w:after="0" w:line="74" w:lineRule="exact"/>
        <w:rPr>
          <w:sz w:val="20"/>
          <w:szCs w:val="20"/>
          <w:color w:val="auto"/>
        </w:rPr>
      </w:pPr>
    </w:p>
    <w:p>
      <w:pPr>
        <w:ind w:left="1020" w:right="160" w:hanging="504"/>
        <w:spacing w:after="0" w:line="25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7" w:lineRule="exact"/>
        <w:rPr>
          <w:rFonts w:ascii="Times New Roman" w:cs="Times New Roman" w:eastAsia="Times New Roman" w:hAnsi="Times New Roman"/>
          <w:sz w:val="18"/>
          <w:szCs w:val="18"/>
          <w:color w:val="auto"/>
        </w:rPr>
      </w:pPr>
    </w:p>
    <w:p>
      <w:pPr>
        <w:ind w:left="1020" w:right="140" w:hanging="504"/>
        <w:spacing w:after="0" w:line="25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77" w:lineRule="exact"/>
        <w:rPr>
          <w:rFonts w:ascii="Times New Roman" w:cs="Times New Roman" w:eastAsia="Times New Roman" w:hAnsi="Times New Roman"/>
          <w:sz w:val="18"/>
          <w:szCs w:val="18"/>
          <w:color w:val="auto"/>
        </w:rPr>
      </w:pPr>
    </w:p>
    <w:p>
      <w:pPr>
        <w:ind w:left="1020" w:right="60" w:hanging="504"/>
        <w:spacing w:after="0" w:line="280" w:lineRule="auto"/>
        <w:tabs>
          <w:tab w:leader="none" w:pos="10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under PPACA, which requires certain manufacturers of drugs, devices, biologics, and medical supplies to report annually to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spacing w:after="0" w:line="58" w:lineRule="exact"/>
        <w:rPr>
          <w:rFonts w:ascii="Times New Roman" w:cs="Times New Roman" w:eastAsia="Times New Roman" w:hAnsi="Times New Roman"/>
          <w:sz w:val="17"/>
          <w:szCs w:val="17"/>
          <w:color w:val="auto"/>
        </w:rPr>
      </w:pPr>
    </w:p>
    <w:p>
      <w:pPr>
        <w:ind w:left="1020" w:right="600" w:hanging="504"/>
        <w:spacing w:after="0" w:line="26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69" w:lineRule="exact"/>
        <w:rPr>
          <w:rFonts w:ascii="Times New Roman" w:cs="Times New Roman" w:eastAsia="Times New Roman" w:hAnsi="Times New Roman"/>
          <w:sz w:val="18"/>
          <w:szCs w:val="18"/>
          <w:color w:val="auto"/>
        </w:rPr>
      </w:pPr>
    </w:p>
    <w:p>
      <w:pPr>
        <w:ind w:left="1020" w:right="60" w:hanging="504"/>
        <w:spacing w:after="0" w:line="26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which impose certain requirements relating to the privacy, security and transmission of individually identifiable health information on entities subject to the law, such as certain healthcare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64" w:name="page65"/>
    <w:bookmarkEnd w:id="64"/>
    <w:p>
      <w:pPr>
        <w:ind w:left="1020" w:right="60"/>
        <w:spacing w:after="0" w:line="281" w:lineRule="auto"/>
        <w:rPr>
          <w:sz w:val="20"/>
          <w:szCs w:val="20"/>
          <w:color w:val="auto"/>
        </w:rPr>
      </w:pPr>
      <w:r>
        <w:rPr>
          <w:rFonts w:ascii="Times New Roman" w:cs="Times New Roman" w:eastAsia="Times New Roman" w:hAnsi="Times New Roman"/>
          <w:sz w:val="18"/>
          <w:szCs w:val="18"/>
          <w:color w:val="auto"/>
        </w:rPr>
        <w:t>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spacing w:after="0" w:line="55" w:lineRule="exact"/>
        <w:rPr>
          <w:sz w:val="20"/>
          <w:szCs w:val="20"/>
          <w:color w:val="auto"/>
        </w:rPr>
      </w:pPr>
    </w:p>
    <w:p>
      <w:pPr>
        <w:ind w:left="1020" w:right="20" w:hanging="504"/>
        <w:spacing w:after="0" w:line="254"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8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exceptions and regulatory safe harbors, it is possible that some of our business activities could be subject to challenge under one or more of such laws. With Afrezza approved in Brazil and as our partners pursue additional international approvals, we will be subject to similar foreign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spacing w:after="0" w:line="190"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7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(up to $7,500 per intentional violation) and allows private litigants affected by certain data breaches to recover significant statutory damages. Although the CCPA (like other U.S. comprehensive privacy laws) exempts some data processed in the context of clinical trials, the CCPA may increase compliance costs and potential liability with respect to other personal data we maintain about California residents. 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with whom we work.</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65" w:name="page66"/>
    <w:bookmarkEnd w:id="65"/>
    <w:p>
      <w:pPr>
        <w:spacing w:after="0" w:line="254"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the United Kingdom’s GDPR (“UK GDPR”) (EU GDPR and UK GDPR, collectively “GDPR”), Brazil’s General Data Protection Law (Lei Geral de Proteção de Dados Pessoais, or “LGPD”) (Law No. 13,709/2018), and Australia’s Privacy Act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the processing of personal data brought by classes of data subjects or consumer protection organizations authorized at law to represent their interests. We may also be subject to new and emerging data privacy regimes in Asia, including Japan’s Act on the Protection of Personal Information.</w:t>
      </w:r>
    </w:p>
    <w:p>
      <w:pPr>
        <w:spacing w:after="0" w:line="18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 Regulators in the United States are also increasingly scrutinizing certain personal data transfers and may impose data localization requirements, particularly if we transfer personal data to, or process personal data of residents of, high risk or sanctioned jurisdictions, such as the Biden Administration’s executive order Preventing Access to Americans’ Bulk Sensitive Personal Data and United States Government-Related Data by Countries of Concern.</w:t>
      </w:r>
    </w:p>
    <w:p>
      <w:pPr>
        <w:spacing w:after="0" w:line="7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 or may become subject to in the future.</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66" w:name="page67"/>
    <w:bookmarkEnd w:id="66"/>
    <w:p>
      <w:pPr>
        <w:ind w:right="60"/>
        <w:spacing w:after="0" w:line="281" w:lineRule="auto"/>
        <w:rPr>
          <w:sz w:val="20"/>
          <w:szCs w:val="20"/>
          <w:color w:val="auto"/>
        </w:rPr>
      </w:pPr>
      <w:r>
        <w:rPr>
          <w:rFonts w:ascii="Times New Roman" w:cs="Times New Roman" w:eastAsia="Times New Roman" w:hAnsi="Times New Roman"/>
          <w:sz w:val="18"/>
          <w:szCs w:val="18"/>
          <w:color w:val="auto"/>
        </w:rPr>
        <w:t>jurisdictions; limited ability to develop or commercialize our products; expenditure of time and resources to defend any claim or inquiry; adverse publicity; or revision or restructuring of our operations.</w:t>
      </w:r>
    </w:p>
    <w:p>
      <w:pPr>
        <w:spacing w:after="0" w:line="15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6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For example, in March 2021, President Biden signed the American Rescue Plan Act of 2021 into law, which eliminated the statutory Medicaid drug rebate cap, previously set at 100% of a drug’s average manufacturer's price (“AMP”), for single source and innovator multiple source drugs effective January 1, 2024.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environmental, social and corporate governance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matters or our reporting of such matters.*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partners, and other stakeholders concerning ESG matters. We may be, or be perceived to be, not acting responsibly in connection with these matters, which could negatively impact us. For example, we have not previously reported our environmental emissions and such lack of reporting may have resulted in certain investors declining to invest in our common stock. However, the SEC recently finalized rules designed to enhance and standardize climate-related disclosures. These climate disclosure rules have been challenged in court and the SEC has issued an order staying their implementation pending the outcome of judicial review. These new climate-related disclosures, if required, may significantly increase our compliance and reporting costs and may also result in disclosures that certain investors or other stakeholders deem to impact our reputation negatively and/or that harm our stock price.</w:t>
      </w:r>
    </w:p>
    <w:p>
      <w:pPr>
        <w:spacing w:after="0" w:line="183"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of investment securities may require us to register with the SEC as an “investment company” in accordance with the Investment Company Act of 1940 (“‘40 Act”).</w:t>
      </w:r>
    </w:p>
    <w:p>
      <w:pPr>
        <w:spacing w:after="0" w:line="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rules and interpretations of the SEC and the courts relating to the definition of "investment company" are very complex. Although we are a biopharmaceutical company and we do not hold ourselves out as an investment company, the value of our investment securities relative to our total assets (exclusive of government securities and cash items) has in the past exceeded safe harbor limits prescribed in the ‘40 Act. If our asset mix does not continue to qualify for one of the safe harbor limits prescribed in the ‘40 Act, it is possible that the SEC would take the position that we would be required to register under the ‘40 Act and comply with the ‘40 Act’s registration and reporting requirements, capital structure requirements, affiliate transaction restrictions, conflict of interest rules, requirements for disinterested directors, and other substantive provisions. If we were required to register as an “investment company” and be subject to the restrictions of the ‘40 Act, those restrictions likely would require significant changes in the way we do business and add significant administrative costs and burdens to our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6"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spacing w:after="0" w:line="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8" w:name="page69"/>
    <w:bookmarkEnd w:id="68"/>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Interference proceedings brought by the United States Patent and Trademark Office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9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78"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6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7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8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Moreover, certain components of our products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8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Although we do not believe that our products or product candidates infringe any third-party patents, if a plaintiff was to allege infringement of their patent rights, we would have to establish with the court that their patents are invalid or unenforceable in order 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9" w:name="page70"/>
    <w:bookmarkEnd w:id="69"/>
    <w:p>
      <w:pPr>
        <w:ind w:right="20"/>
        <w:spacing w:after="0" w:line="256" w:lineRule="auto"/>
        <w:rPr>
          <w:sz w:val="20"/>
          <w:szCs w:val="20"/>
          <w:color w:val="auto"/>
        </w:rPr>
      </w:pPr>
      <w:r>
        <w:rPr>
          <w:rFonts w:ascii="Times New Roman" w:cs="Times New Roman" w:eastAsia="Times New Roman" w:hAnsi="Times New Roman"/>
          <w:sz w:val="18"/>
          <w:szCs w:val="18"/>
          <w:color w:val="auto"/>
        </w:rPr>
        <w:t>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trademark registrations for our potential trade names.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2"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121"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9" w:lineRule="exact"/>
        <w:rPr>
          <w:sz w:val="20"/>
          <w:szCs w:val="20"/>
          <w:color w:val="auto"/>
        </w:rPr>
      </w:pPr>
    </w:p>
    <w:p>
      <w:pPr>
        <w:ind w:left="1020" w:right="116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products outside of the United States and to find collaboration partners for the commercialization of our products in foreign jurisdictions;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estimates of product sales, royalties, prescriptions or other operating metrics;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other products based on our Technosphere drug delivery platform;</w:t>
      </w:r>
    </w:p>
    <w:p>
      <w:pPr>
        <w:spacing w:after="0" w:line="116"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preclinical and clinical studies of our product candidates and of post-approval studies of approved products that are required by the FDA;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stock market conditions, especially for emerging growth and pharmaceutical market sectors;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such as the current Russia-Ukraine and Israel-Hamas conflicts and Houthis rebel attacks on commercial marine vessels in the Red Sea;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man-made or natural disasters or public health pandemics or epidemics or other business interruptions;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0" w:name="page71"/>
    <w:bookmarkEnd w:id="70"/>
    <w:p>
      <w:pPr>
        <w:ind w:left="1020" w:right="140" w:hanging="504"/>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critical materials used in developing and manufacturing our products and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relationship with any of our current or future collaborators or third party manufacturers;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 or proprietary rights;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concerning our financial condition or operating performance;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condition or operating performance;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trades of short sellers;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perception of investors of our ability, to continue to meet all applicable requirements for continued listing of our common stock on The Nasdaq Global Market, and the possible delisting of our common stock if we are unable to do so;</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any legal proceedings or regulatory matters against or involving us or any of our executive officers and directors; and</w:t>
      </w:r>
    </w:p>
    <w:p>
      <w:pPr>
        <w:spacing w:after="0" w:line="116" w:lineRule="exact"/>
        <w:rPr>
          <w:rFonts w:ascii="Times New Roman" w:cs="Times New Roman" w:eastAsia="Times New Roman" w:hAnsi="Times New Roman"/>
          <w:sz w:val="18"/>
          <w:szCs w:val="18"/>
          <w:color w:val="auto"/>
        </w:rPr>
      </w:pPr>
    </w:p>
    <w:p>
      <w:pPr>
        <w:ind w:left="1020" w:right="160" w:hanging="504"/>
        <w:spacing w:after="0" w:line="260"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value of our common stock and other securities to decline.</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w:t>
      </w:r>
    </w:p>
    <w:p>
      <w:pPr>
        <w:spacing w:after="0" w:line="17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2" w:right="399" w:bottom="1440" w:gutter="0" w:footer="0" w:header="0"/>
        </w:sectPr>
      </w:pPr>
    </w:p>
    <w:bookmarkStart w:id="71" w:name="page72"/>
    <w:bookmarkEnd w:id="71"/>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6"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69" w:lineRule="exact"/>
        <w:rPr>
          <w:sz w:val="20"/>
          <w:szCs w:val="20"/>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breach of fiduciary duty owed by any of our current or former directors, officers or other employees to us or our stockholders;</w:t>
      </w:r>
    </w:p>
    <w:p>
      <w:pPr>
        <w:spacing w:after="0" w:line="54" w:lineRule="exact"/>
        <w:rPr>
          <w:rFonts w:ascii="Times New Roman" w:cs="Times New Roman" w:eastAsia="Times New Roman" w:hAnsi="Times New Roman"/>
          <w:sz w:val="18"/>
          <w:szCs w:val="18"/>
          <w:color w:val="auto"/>
        </w:rPr>
      </w:pPr>
    </w:p>
    <w:p>
      <w:pPr>
        <w:jc w:val="both"/>
        <w:ind w:left="1020" w:right="220" w:hanging="504"/>
        <w:spacing w:after="0" w:line="265"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69"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our amended and restated bylaws;</w:t>
      </w:r>
    </w:p>
    <w:p>
      <w:pPr>
        <w:spacing w:after="0" w:line="54" w:lineRule="exact"/>
        <w:rPr>
          <w:rFonts w:ascii="Times New Roman" w:cs="Times New Roman" w:eastAsia="Times New Roman" w:hAnsi="Times New Roman"/>
          <w:sz w:val="18"/>
          <w:szCs w:val="18"/>
          <w:color w:val="auto"/>
        </w:rPr>
      </w:pPr>
    </w:p>
    <w:p>
      <w:pPr>
        <w:ind w:left="1020" w:right="36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Delaware General Corporation Law confers jurisdiction to the Court of Chancery of the State of Delaware;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other employees that is governed by the internal affairs doctrine.</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provision does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86" w:lineRule="exact"/>
        <w:rPr>
          <w:sz w:val="20"/>
          <w:szCs w:val="20"/>
          <w:color w:val="auto"/>
        </w:rPr>
      </w:pPr>
    </w:p>
    <w:p>
      <w:pPr>
        <w:jc w:val="both"/>
        <w:ind w:right="300"/>
        <w:spacing w:after="0" w:line="260"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17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50"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There is no guarantee that our common stock will appreciate or maintain its current price. You could lose the entire value of any investment in our common stock.</w:t>
      </w:r>
    </w:p>
    <w:p>
      <w:pPr>
        <w:spacing w:after="0" w:line="17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need to raise substantial additional capital in the future to fund our operations. If we raise additional funds by issuing equity securities or additional convertible debt, the market price of our common stock and other securities may decline. Similarly, if our existing stockholders sell substantial amounts of our common stock in the public market, the market price of our common stock and other securities could decrease. The perception in the public market that we or our existing stockholders might sell shares of common stock could also depress the market price of our common stock and the market price of our other securities.</w:t>
      </w:r>
    </w:p>
    <w:p>
      <w:pPr>
        <w:spacing w:after="0" w:line="18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Likewise, the issuance of additional shares of our common stock upon the exchange or conversion of the Senior convertible notes could adversely affect the market price of our common stock and other securities. Moreover, the existence of these notes may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2" w:name="page73"/>
    <w:bookmarkEnd w:id="72"/>
    <w:p>
      <w:pPr>
        <w:ind w:right="680"/>
        <w:spacing w:after="0" w:line="281" w:lineRule="auto"/>
        <w:rPr>
          <w:sz w:val="20"/>
          <w:szCs w:val="20"/>
          <w:color w:val="auto"/>
        </w:rPr>
      </w:pPr>
      <w:r>
        <w:rPr>
          <w:rFonts w:ascii="Times New Roman" w:cs="Times New Roman" w:eastAsia="Times New Roman" w:hAnsi="Times New Roman"/>
          <w:sz w:val="18"/>
          <w:szCs w:val="18"/>
          <w:color w:val="auto"/>
        </w:rPr>
        <w:t>encourage short selling of our common stock by market participants, which could adversely affect the market price of our common stock and other securities.</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addition, a substantial number of shares of our common stock is reserved for issuance upon the exercise of stock options, the vesting of restricted stock unit awards and purchases under our ESPP. The issuance or sale of substantial amounts of common stock, or the perception that such issuances or sales may occur, could adversely affect the market price of our common stock and other securities.</w:t>
      </w:r>
    </w:p>
    <w:p>
      <w:pPr>
        <w:spacing w:after="0" w:line="17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Public companies in general, including companies listed on The Nasdaq Stock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8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economic and geopolitical conditions may have serious adverse consequences on our business, financial condition and stock price.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global credit and financial markets have experienced extreme volatility and disruptions in the past. These disruptions can result in severely diminished liquidity and credit availability, increase in inflation, declines in consumer confidence, declines in economic growth, increases in unemployment rates and uncertainty about economic stability. There can be no assurance that deterioration in credit and financial markets and confidence in economic conditions will not occur. Our general business strategy may be adversely affected by any such economic downturn, volatile business environment, actual or anticipated bank failures,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9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Other international and geopolitical events could also have a serious adverse impact on our business. For instance, in February 2022, Russia initiated military action against Ukraine and the two countries are now at war. In response, the United States and certain other countries imposed significant sanctions and trade actions against Russia and could impose further sanctions, trade restrictions, and other retaliatory actions. Additionally, in October 2023, Hamas initiated an attack against Israel, provoking a state of war and the risk of a larger conflict. Furthermore, following Hamas’ attack on Israel, the Houthi movement, which controls parts of Yemen, launched a number of attacks on commercial marine vessels in the Red Sea. The Red Sea is an important maritime route for international trade and as such disruptions to these trade routes can have an impact on global supply chains. As a result of such disruptions, we may experience in the future extended lead times, delays in supplier deliveries, and increased freight costs.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 xml:space="preserve">In April 2024, we elected to discharge and terminate approximately $3.8 million of principal under the Mann Group convertible note by issuing the Mann Group 1,500,000 shares of our common stock. See Note 8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We relied on an exemption from registration provided by Section 3(a)(9) of the Securities Act of 1933, as amended, for the issuance of the shares described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During the three months ended June 30, 2024, one of our executive officers adopted a written trading plan for the orderly disposition of the Company’s securities as set forth in the table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Type of Trading Arrangement</w:t>
            </w:r>
          </w:p>
        </w:tc>
        <w:tc>
          <w:tcPr>
            <w:tcW w:w="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07"/>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Shares of</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Rule</w:t>
            </w:r>
          </w:p>
        </w:tc>
        <w:tc>
          <w:tcPr>
            <w:tcW w:w="140" w:type="dxa"/>
            <w:vAlign w:val="bottom"/>
          </w:tcPr>
          <w:p>
            <w:pPr>
              <w:spacing w:after="0"/>
              <w:rPr>
                <w:sz w:val="17"/>
                <w:szCs w:val="17"/>
                <w:color w:val="auto"/>
              </w:rPr>
            </w:pPr>
          </w:p>
        </w:tc>
        <w:tc>
          <w:tcPr>
            <w:tcW w:w="1060" w:type="dxa"/>
            <w:vAlign w:val="bottom"/>
          </w:tcPr>
          <w:p>
            <w:pPr>
              <w:jc w:val="center"/>
              <w:ind w:left="70"/>
              <w:spacing w:after="0" w:line="195" w:lineRule="exact"/>
              <w:rPr>
                <w:sz w:val="20"/>
                <w:szCs w:val="20"/>
                <w:color w:val="auto"/>
              </w:rPr>
            </w:pPr>
            <w:r>
              <w:rPr>
                <w:rFonts w:ascii="Times New Roman" w:cs="Times New Roman" w:eastAsia="Times New Roman" w:hAnsi="Times New Roman"/>
                <w:sz w:val="18"/>
                <w:szCs w:val="18"/>
                <w:b w:val="1"/>
                <w:bCs w:val="1"/>
                <w:color w:val="auto"/>
                <w:w w:val="99"/>
              </w:rPr>
              <w:t>Non-Rule</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72"/>
        </w:trPr>
        <w:tc>
          <w:tcPr>
            <w:tcW w:w="23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w:t>
            </w:r>
          </w:p>
        </w:tc>
        <w:tc>
          <w:tcPr>
            <w:tcW w:w="120" w:type="dxa"/>
            <w:vAlign w:val="bottom"/>
          </w:tcPr>
          <w:p>
            <w:pPr>
              <w:spacing w:after="0"/>
              <w:rPr>
                <w:sz w:val="23"/>
                <w:szCs w:val="23"/>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20" w:type="dxa"/>
            <w:vAlign w:val="bottom"/>
          </w:tcPr>
          <w:p>
            <w:pPr>
              <w:jc w:val="center"/>
              <w:spacing w:after="0" w:line="272" w:lineRule="exact"/>
              <w:rPr>
                <w:sz w:val="20"/>
                <w:szCs w:val="20"/>
                <w:color w:val="auto"/>
              </w:rPr>
            </w:pPr>
            <w:r>
              <w:rPr>
                <w:rFonts w:ascii="Times New Roman" w:cs="Times New Roman" w:eastAsia="Times New Roman" w:hAnsi="Times New Roman"/>
                <w:sz w:val="18"/>
                <w:szCs w:val="18"/>
                <w:b w:val="1"/>
                <w:bCs w:val="1"/>
                <w:color w:val="auto"/>
                <w:w w:val="93"/>
              </w:rPr>
              <w:t>10b5-1</w:t>
            </w:r>
            <w:r>
              <w:rPr>
                <w:rFonts w:ascii="Times New Roman" w:cs="Times New Roman" w:eastAsia="Times New Roman" w:hAnsi="Times New Roman"/>
                <w:sz w:val="24"/>
                <w:szCs w:val="24"/>
                <w:b w:val="1"/>
                <w:bCs w:val="1"/>
                <w:color w:val="auto"/>
                <w:w w:val="93"/>
                <w:vertAlign w:val="superscript"/>
              </w:rPr>
              <w:t>(1)</w:t>
            </w:r>
          </w:p>
        </w:tc>
        <w:tc>
          <w:tcPr>
            <w:tcW w:w="140" w:type="dxa"/>
            <w:vAlign w:val="bottom"/>
          </w:tcPr>
          <w:p>
            <w:pPr>
              <w:spacing w:after="0"/>
              <w:rPr>
                <w:sz w:val="23"/>
                <w:szCs w:val="23"/>
                <w:color w:val="auto"/>
              </w:rPr>
            </w:pPr>
          </w:p>
        </w:tc>
        <w:tc>
          <w:tcPr>
            <w:tcW w:w="1060" w:type="dxa"/>
            <w:vAlign w:val="bottom"/>
          </w:tcPr>
          <w:p>
            <w:pPr>
              <w:jc w:val="center"/>
              <w:ind w:left="110"/>
              <w:spacing w:after="0" w:line="272" w:lineRule="exact"/>
              <w:rPr>
                <w:sz w:val="20"/>
                <w:szCs w:val="20"/>
                <w:color w:val="auto"/>
              </w:rPr>
            </w:pPr>
            <w:r>
              <w:rPr>
                <w:rFonts w:ascii="Times New Roman" w:cs="Times New Roman" w:eastAsia="Times New Roman" w:hAnsi="Times New Roman"/>
                <w:sz w:val="18"/>
                <w:szCs w:val="18"/>
                <w:b w:val="1"/>
                <w:bCs w:val="1"/>
                <w:color w:val="auto"/>
                <w:w w:val="93"/>
              </w:rPr>
              <w:t>10b5-1</w:t>
            </w:r>
            <w:r>
              <w:rPr>
                <w:rFonts w:ascii="Times New Roman" w:cs="Times New Roman" w:eastAsia="Times New Roman" w:hAnsi="Times New Roman"/>
                <w:sz w:val="24"/>
                <w:szCs w:val="24"/>
                <w:b w:val="1"/>
                <w:bCs w:val="1"/>
                <w:color w:val="auto"/>
                <w:w w:val="93"/>
                <w:vertAlign w:val="superscript"/>
              </w:rPr>
              <w:t>(2)</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2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02"/>
        </w:trPr>
        <w:tc>
          <w:tcPr>
            <w:tcW w:w="230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Stuart A. Tross, EVP</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Adoption</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May 31, 2024</w:t>
            </w:r>
          </w:p>
        </w:tc>
        <w:tc>
          <w:tcPr>
            <w:tcW w:w="120" w:type="dxa"/>
            <w:vAlign w:val="bottom"/>
          </w:tcPr>
          <w:p>
            <w:pPr>
              <w:spacing w:after="0"/>
              <w:rPr>
                <w:sz w:val="17"/>
                <w:szCs w:val="17"/>
                <w:color w:val="auto"/>
              </w:rPr>
            </w:pPr>
          </w:p>
        </w:tc>
        <w:tc>
          <w:tcPr>
            <w:tcW w:w="132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3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409,020</w:t>
            </w:r>
          </w:p>
        </w:tc>
        <w:tc>
          <w:tcPr>
            <w:tcW w:w="22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May 30, 2025</w:t>
            </w: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People and Workplace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6"/>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4279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4279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02"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Contract, instruction or written plan intended to satisfy the affirmative defense conditions of Rule 10b5-1(c) under the Exchange Act.</w:t>
      </w:r>
    </w:p>
    <w:p>
      <w:pPr>
        <w:spacing w:after="0" w:line="126"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"Non-Rule 10b5-1 trading arrangement" as defined in Item 408(c) of Regulation S-K under the Exchange Act.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60" w:type="dxa"/>
            <w:vAlign w:val="bottom"/>
            <w:gridSpan w:val="2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6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10080" w:type="dxa"/>
            <w:vAlign w:val="bottom"/>
            <w:gridSpan w:val="38"/>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Amended and Restated Certificate of Incorporation (incorporated by reference to Exhibit 3.1 to MannKind’s Quarterly Report on Form 10-</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tcBorders>
              <w:top w:val="single" w:sz="8" w:color="0000FF"/>
            </w:tcBorders>
            <w:gridSpan w:val="35"/>
          </w:tcPr>
          <w:p>
            <w:pPr>
              <w:spacing w:after="0" w:line="195"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Q (File No. 000-50865), filed with the SEC on August 9, 2016).</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99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Exhibit 3.1 to MannKind’s Current Report on Form 8-K (File No. 000-50865), filed with the SEC on March 2, 2017).</w:t>
              </w:r>
            </w:hyperlink>
          </w:p>
        </w:tc>
        <w:tc>
          <w:tcPr>
            <w:tcW w:w="20" w:type="dxa"/>
            <w:vAlign w:val="bottom"/>
            <w:tcBorders>
              <w:bottom w:val="single" w:sz="8" w:color="0000EE"/>
            </w:tcBorders>
          </w:tcPr>
          <w:p>
            <w:pPr>
              <w:spacing w:after="0"/>
              <w:rPr>
                <w:sz w:val="17"/>
                <w:szCs w:val="17"/>
                <w:color w:val="auto"/>
              </w:rPr>
            </w:pPr>
          </w:p>
        </w:tc>
        <w:tc>
          <w:tcPr>
            <w:tcW w:w="1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99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2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Exhibit 3.1 to MannKind’s Current Report on Form 8-K (File No. 000-50865), filed with the SEC on December 13, 2017).</w:t>
              </w:r>
            </w:hyperlink>
          </w:p>
        </w:tc>
        <w:tc>
          <w:tcPr>
            <w:tcW w:w="20" w:type="dxa"/>
            <w:vAlign w:val="bottom"/>
            <w:tcBorders>
              <w:bottom w:val="single" w:sz="8" w:color="0000EE"/>
            </w:tcBorders>
          </w:tcPr>
          <w:p>
            <w:pPr>
              <w:spacing w:after="0"/>
              <w:rPr>
                <w:sz w:val="17"/>
                <w:szCs w:val="17"/>
                <w:color w:val="auto"/>
              </w:rPr>
            </w:pPr>
          </w:p>
        </w:tc>
        <w:tc>
          <w:tcPr>
            <w:tcW w:w="12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4"/>
                <w:szCs w:val="24"/>
                <w:color w:val="auto"/>
              </w:rPr>
            </w:pPr>
          </w:p>
        </w:tc>
        <w:tc>
          <w:tcPr>
            <w:tcW w:w="99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38"/>
          </w:tcPr>
          <w:p>
            <w:pPr>
              <w:spacing w:after="0" w:line="195"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Exhibit 3.1 to MannKind’s Current Report on Form 8-K (File No. 000-50865), filed with the SEC on May 27, 2020).</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4"/>
                <w:szCs w:val="24"/>
                <w:color w:val="auto"/>
              </w:rPr>
            </w:pPr>
          </w:p>
        </w:tc>
        <w:tc>
          <w:tcPr>
            <w:tcW w:w="99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38"/>
          </w:tcPr>
          <w:p>
            <w:pPr>
              <w:spacing w:after="0" w:line="195"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Exhibit 3.1 to MannKind’s Current Report on Form 8-K (File No. 000-50865), filed with the SEC on May 30, 2023).</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4"/>
                <w:szCs w:val="24"/>
                <w:color w:val="auto"/>
              </w:rPr>
            </w:pPr>
          </w:p>
        </w:tc>
        <w:tc>
          <w:tcPr>
            <w:tcW w:w="95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Amended and Restated Bylaws (incorporated by reference to Exhibit 3.2 to MannKind’s Current Report on Form 8-K (File No. 000-</w:t>
              </w:r>
            </w:hyperlink>
          </w:p>
        </w:tc>
        <w:tc>
          <w:tcPr>
            <w:tcW w:w="5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38"/>
          </w:tcPr>
          <w:p>
            <w:pPr>
              <w:spacing w:after="0" w:line="195"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50865)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May 27, 2020).</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10080" w:type="dxa"/>
            <w:vAlign w:val="bottom"/>
            <w:gridSpan w:val="38"/>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319">
              <w:r>
                <w:rPr>
                  <w:rFonts w:ascii="Times New Roman" w:cs="Times New Roman" w:eastAsia="Times New Roman" w:hAnsi="Times New Roman"/>
                  <w:sz w:val="18"/>
                  <w:szCs w:val="18"/>
                  <w:color w:val="0000FF"/>
                </w:rPr>
                <w:t>3.1</w:t>
              </w:r>
            </w:hyperlink>
            <w:r>
              <w:rPr>
                <w:rFonts w:ascii="Times New Roman" w:cs="Times New Roman" w:eastAsia="Times New Roman" w:hAnsi="Times New Roman"/>
                <w:sz w:val="18"/>
                <w:szCs w:val="18"/>
                <w:color w:val="auto"/>
              </w:rPr>
              <w:t xml:space="preserve">, </w:t>
            </w:r>
            <w:hyperlink r:id="rId320">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 xml:space="preserve">, </w:t>
            </w:r>
            <w:hyperlink r:id="rId321">
              <w:r>
                <w:rPr>
                  <w:rFonts w:ascii="Times New Roman" w:cs="Times New Roman" w:eastAsia="Times New Roman" w:hAnsi="Times New Roman"/>
                  <w:sz w:val="18"/>
                  <w:szCs w:val="18"/>
                  <w:color w:val="0000FF"/>
                </w:rPr>
                <w:t>3.3</w:t>
              </w:r>
            </w:hyperlink>
            <w:r>
              <w:rPr>
                <w:rFonts w:ascii="Times New Roman" w:cs="Times New Roman" w:eastAsia="Times New Roman" w:hAnsi="Times New Roman"/>
                <w:sz w:val="18"/>
                <w:szCs w:val="18"/>
                <w:color w:val="auto"/>
              </w:rPr>
              <w:t xml:space="preserve">, </w:t>
            </w:r>
            <w:hyperlink r:id="rId322">
              <w:r>
                <w:rPr>
                  <w:rFonts w:ascii="Times New Roman" w:cs="Times New Roman" w:eastAsia="Times New Roman" w:hAnsi="Times New Roman"/>
                  <w:sz w:val="18"/>
                  <w:szCs w:val="18"/>
                  <w:color w:val="0000FF"/>
                </w:rPr>
                <w:t>3.4</w:t>
              </w:r>
            </w:hyperlink>
            <w:r>
              <w:rPr>
                <w:rFonts w:ascii="Times New Roman" w:cs="Times New Roman" w:eastAsia="Times New Roman" w:hAnsi="Times New Roman"/>
                <w:sz w:val="18"/>
                <w:szCs w:val="18"/>
                <w:color w:val="auto"/>
              </w:rPr>
              <w:t xml:space="preserve">, </w:t>
            </w:r>
            <w:hyperlink r:id="rId323">
              <w:r>
                <w:rPr>
                  <w:rFonts w:ascii="Times New Roman" w:cs="Times New Roman" w:eastAsia="Times New Roman" w:hAnsi="Times New Roman"/>
                  <w:sz w:val="18"/>
                  <w:szCs w:val="18"/>
                  <w:color w:val="0000FF"/>
                </w:rPr>
                <w:t>3.5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324">
              <w:r>
                <w:rPr>
                  <w:rFonts w:ascii="Times New Roman" w:cs="Times New Roman" w:eastAsia="Times New Roman" w:hAnsi="Times New Roman"/>
                  <w:sz w:val="18"/>
                  <w:szCs w:val="18"/>
                  <w:color w:val="0000FF"/>
                </w:rPr>
                <w:t>3.6</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98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325">
              <w:r>
                <w:rPr>
                  <w:rFonts w:ascii="Times New Roman" w:cs="Times New Roman" w:eastAsia="Times New Roman" w:hAnsi="Times New Roman"/>
                  <w:sz w:val="18"/>
                  <w:szCs w:val="18"/>
                  <w:color w:val="0000FF"/>
                  <w:w w:val="99"/>
                </w:rPr>
                <w:t>Form of common stock certificate (incorporated by reference to Exhibit 4.2 to MannKind’s Annual Report on Form 10-K (File No. 000-</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38"/>
          </w:tcPr>
          <w:p>
            <w:pPr>
              <w:spacing w:after="0" w:line="195"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50865)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March 16,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right w:val="single" w:sz="8" w:color="0000FF"/>
            </w:tcBorders>
            <w:gridSpan w:val="6"/>
            <w:shd w:val="clear" w:color="auto" w:fill="0000FF"/>
          </w:tcPr>
          <w:p>
            <w:pPr>
              <w:spacing w:after="0" w:line="20" w:lineRule="exact"/>
              <w:rPr>
                <w:sz w:val="1"/>
                <w:szCs w:val="1"/>
                <w:color w:val="auto"/>
              </w:rPr>
            </w:pPr>
          </w:p>
        </w:tc>
        <w:tc>
          <w:tcPr>
            <w:tcW w:w="3000" w:type="dxa"/>
            <w:vAlign w:val="bottom"/>
            <w:tcBorders>
              <w:left w:val="single" w:sz="8" w:color="0000FF"/>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96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Milestone Rights Purchase Agreement, dated as of July 1, 2013, by and among MannKind, Deerfield Private Design Fund II, L.P. and</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tcBorders>
              <w:bottom w:val="single" w:sz="8" w:color="0000FF"/>
            </w:tcBorders>
            <w:gridSpan w:val="36"/>
          </w:tcPr>
          <w:p>
            <w:pPr>
              <w:spacing w:after="0" w:line="195"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Horizon Santé FLML SÁRL (incorporated by reference to Exhibit 99.3 to MannKind’s Current Report on Form 8-K (File No. 000-50865),</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38"/>
          </w:tcPr>
          <w:p>
            <w:pPr>
              <w:spacing w:after="0" w:line="195"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filed with the SEC on July 1, 2013).</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tcBorders>
              <w:right w:val="single" w:sz="8" w:color="0000EE"/>
            </w:tcBorders>
            <w:gridSpan w:val="4"/>
            <w:shd w:val="clear" w:color="auto" w:fill="0000FF"/>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95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327">
              <w:r>
                <w:rPr>
                  <w:rFonts w:ascii="Times New Roman" w:cs="Times New Roman" w:eastAsia="Times New Roman" w:hAnsi="Times New Roman"/>
                  <w:sz w:val="18"/>
                  <w:szCs w:val="18"/>
                  <w:color w:val="0000FF"/>
                  <w:w w:val="99"/>
                </w:rPr>
                <w:t>Form of Warrant to Purchase Stock issued to MidCap Financial Trust on August 6, 2019 (incorporated by reference to Exhibit 4.1 to</w:t>
              </w:r>
            </w:hyperlink>
          </w:p>
        </w:tc>
        <w:tc>
          <w:tcPr>
            <w:tcW w:w="5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38"/>
          </w:tcPr>
          <w:p>
            <w:pPr>
              <w:spacing w:after="0" w:line="195"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MannKind’s Current Report on Form 8-K (File No. 000-50865), filed with the SEC on August 7,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gridSpan w:val="10"/>
            <w:shd w:val="clear" w:color="auto" w:fill="0000FF"/>
          </w:tcPr>
          <w:p>
            <w:pPr>
              <w:spacing w:after="0" w:line="20" w:lineRule="exact"/>
              <w:rPr>
                <w:sz w:val="1"/>
                <w:szCs w:val="1"/>
                <w:color w:val="auto"/>
              </w:rPr>
            </w:pPr>
          </w:p>
        </w:tc>
        <w:tc>
          <w:tcPr>
            <w:tcW w:w="300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91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Indenture, dated as of March 4, 2021, by and between MannKind Corporation and U.S. Bank National Association, as Trustee</w:t>
              </w:r>
            </w:hyperlink>
          </w:p>
        </w:tc>
        <w:tc>
          <w:tcPr>
            <w:tcW w:w="9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60" w:type="dxa"/>
            <w:vAlign w:val="bottom"/>
            <w:tcBorders>
              <w:bottom w:val="single" w:sz="8" w:color="0000FF"/>
            </w:tcBorders>
            <w:gridSpan w:val="34"/>
          </w:tcPr>
          <w:p>
            <w:pPr>
              <w:spacing w:after="0" w:line="195"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(incorporated by reference to Exhibit 4.1 to MannKind’s Current Report on Form 8-K (File No. 000-50865), filed with the SEC on March</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line="195" w:lineRule="exact"/>
              <w:rPr>
                <w:rFonts w:ascii="Times New Roman" w:cs="Times New Roman" w:eastAsia="Times New Roman" w:hAnsi="Times New Roman"/>
                <w:sz w:val="18"/>
                <w:szCs w:val="18"/>
                <w:color w:val="0000FF"/>
                <w:w w:val="96"/>
              </w:rPr>
            </w:pPr>
            <w:hyperlink r:id="rId328">
              <w:r>
                <w:rPr>
                  <w:rFonts w:ascii="Times New Roman" w:cs="Times New Roman" w:eastAsia="Times New Roman" w:hAnsi="Times New Roman"/>
                  <w:sz w:val="18"/>
                  <w:szCs w:val="18"/>
                  <w:color w:val="0000FF"/>
                  <w:w w:val="96"/>
                </w:rPr>
                <w:t>5, 2021).</w:t>
              </w:r>
            </w:hyperlink>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10"/>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4"/>
                <w:szCs w:val="24"/>
                <w:color w:val="auto"/>
              </w:rPr>
            </w:pPr>
          </w:p>
        </w:tc>
        <w:tc>
          <w:tcPr>
            <w:tcW w:w="96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Form of Global Note, representing MannKind Corporation’s 2.50% Convertible Senior Notes due 2026 (included as Exhibit A to the</w:t>
              </w:r>
            </w:hyperlink>
          </w:p>
        </w:tc>
        <w:tc>
          <w:tcPr>
            <w:tcW w:w="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40" w:type="dxa"/>
            <w:vAlign w:val="bottom"/>
            <w:tcBorders>
              <w:bottom w:val="single" w:sz="8" w:color="0000FF"/>
            </w:tcBorders>
            <w:gridSpan w:val="28"/>
          </w:tcPr>
          <w:p>
            <w:pPr>
              <w:spacing w:after="0" w:line="195"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Indenture filed as Exhibit 4.15) (incorporated by reference to Exhibit 4.2 to MannKind’s Current Report on Form 8-K (File No. 000-</w:t>
              </w:r>
            </w:hyperlink>
          </w:p>
        </w:tc>
        <w:tc>
          <w:tcPr>
            <w:tcW w:w="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bottom w:val="single" w:sz="8" w:color="0000FF"/>
            </w:tcBorders>
            <w:gridSpan w:val="12"/>
          </w:tcPr>
          <w:p>
            <w:pPr>
              <w:spacing w:after="0" w:line="195"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50865)</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with the SEC on March 5, 2021).</w:t>
              </w:r>
            </w:hyperlink>
          </w:p>
        </w:tc>
        <w:tc>
          <w:tcPr>
            <w:tcW w:w="67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93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Rules 13a-14(a) and 15d-14(a) of the Securities Exchange Act of 1934, as</w:t>
            </w:r>
          </w:p>
        </w:tc>
        <w:tc>
          <w:tcPr>
            <w:tcW w:w="7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38"/>
          </w:tcPr>
          <w:p>
            <w:pPr>
              <w:spacing w:after="0" w:line="195" w:lineRule="exact"/>
              <w:rPr>
                <w:sz w:val="20"/>
                <w:szCs w:val="20"/>
                <w:color w:val="auto"/>
              </w:rPr>
            </w:pPr>
            <w:r>
              <w:rPr>
                <w:rFonts w:ascii="Times New Roman" w:cs="Times New Roman" w:eastAsia="Times New Roman" w:hAnsi="Times New Roman"/>
                <w:sz w:val="18"/>
                <w:szCs w:val="18"/>
                <w:color w:val="0000FF"/>
              </w:rPr>
              <w:t>amended.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7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10040" w:type="dxa"/>
            <w:vAlign w:val="bottom"/>
            <w:tcBorders>
              <w:bottom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Rules 13a-14(a) and 15d-14(a) of the Securities Exchange Act of 1934, as amended.</w:t>
            </w:r>
          </w:p>
        </w:tc>
        <w:tc>
          <w:tcPr>
            <w:tcW w:w="20" w:type="dxa"/>
            <w:vAlign w:val="bottom"/>
            <w:tcBorders>
              <w:bottom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1008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Rules 13a-14(b) and 15d-14(b) of the Securities Exchange Act of 1934, as amended</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Borders>
              <w:bottom w:val="single" w:sz="8" w:color="0000FF"/>
            </w:tcBorders>
            <w:gridSpan w:val="18"/>
          </w:tcPr>
          <w:p>
            <w:pPr>
              <w:spacing w:after="0" w:line="195" w:lineRule="exact"/>
              <w:rPr>
                <w:sz w:val="20"/>
                <w:szCs w:val="20"/>
                <w:color w:val="auto"/>
              </w:rPr>
            </w:pPr>
            <w:r>
              <w:rPr>
                <w:rFonts w:ascii="Times New Roman" w:cs="Times New Roman" w:eastAsia="Times New Roman" w:hAnsi="Times New Roman"/>
                <w:sz w:val="18"/>
                <w:szCs w:val="18"/>
                <w:color w:val="0000FF"/>
                <w:w w:val="99"/>
              </w:rPr>
              <w:t>and Section 1350 of Chapter 63 of Title 18 of the United States Code (18 U.S.C. §1350).</w:t>
            </w:r>
          </w:p>
        </w:tc>
        <w:tc>
          <w:tcPr>
            <w:tcW w:w="20" w:type="dxa"/>
            <w:vAlign w:val="bottom"/>
            <w:tcBorders>
              <w:bottom w:val="single" w:sz="8" w:color="0000EE"/>
            </w:tcBorders>
          </w:tcPr>
          <w:p>
            <w:pPr>
              <w:spacing w:after="0"/>
              <w:rPr>
                <w:sz w:val="17"/>
                <w:szCs w:val="17"/>
                <w:color w:val="auto"/>
              </w:rPr>
            </w:pPr>
          </w:p>
        </w:tc>
        <w:tc>
          <w:tcPr>
            <w:tcW w:w="36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4"/>
                <w:szCs w:val="24"/>
                <w:color w:val="auto"/>
              </w:rPr>
            </w:pPr>
          </w:p>
        </w:tc>
        <w:tc>
          <w:tcPr>
            <w:tcW w:w="10060" w:type="dxa"/>
            <w:vAlign w:val="bottom"/>
            <w:tcBorders>
              <w:bottom w:val="single" w:sz="8" w:color="0000FF"/>
            </w:tcBorders>
            <w:gridSpan w:val="37"/>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Rules 13a-14(b) and 15d-14(b) of the Securities Exchange Act of 1934, as amended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Borders>
              <w:bottom w:val="single" w:sz="8" w:color="0000FF"/>
            </w:tcBorders>
            <w:gridSpan w:val="18"/>
          </w:tcPr>
          <w:p>
            <w:pPr>
              <w:spacing w:after="0" w:line="195" w:lineRule="exact"/>
              <w:rPr>
                <w:sz w:val="20"/>
                <w:szCs w:val="20"/>
                <w:color w:val="auto"/>
              </w:rPr>
            </w:pPr>
            <w:r>
              <w:rPr>
                <w:rFonts w:ascii="Times New Roman" w:cs="Times New Roman" w:eastAsia="Times New Roman" w:hAnsi="Times New Roman"/>
                <w:sz w:val="18"/>
                <w:szCs w:val="18"/>
                <w:color w:val="0000FF"/>
                <w:w w:val="99"/>
              </w:rPr>
              <w:t>and Section 1350 of Chapter 63 of Title 18 of the United States Code (18 U.S.C. §1350).</w:t>
            </w:r>
          </w:p>
        </w:tc>
        <w:tc>
          <w:tcPr>
            <w:tcW w:w="37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100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Interactive Data Files pursuant to Rule 405 of Regulation S-T.</w:t>
            </w:r>
          </w:p>
        </w:tc>
        <w:tc>
          <w:tcPr>
            <w:tcW w:w="0" w:type="dxa"/>
            <w:vAlign w:val="bottom"/>
          </w:tcPr>
          <w:p>
            <w:pPr>
              <w:spacing w:after="0"/>
              <w:rPr>
                <w:sz w:val="1"/>
                <w:szCs w:val="1"/>
                <w:color w:val="auto"/>
              </w:rPr>
            </w:pPr>
          </w:p>
        </w:tc>
      </w:tr>
      <w:tr>
        <w:trPr>
          <w:trHeight w:val="391"/>
        </w:trPr>
        <w:tc>
          <w:tcPr>
            <w:tcW w:w="10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100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The cover page has been formatted in Inline XBRL.</w:t>
            </w:r>
          </w:p>
        </w:tc>
        <w:tc>
          <w:tcPr>
            <w:tcW w:w="0" w:type="dxa"/>
            <w:vAlign w:val="bottom"/>
          </w:tcPr>
          <w:p>
            <w:pPr>
              <w:spacing w:after="0"/>
              <w:rPr>
                <w:sz w:val="1"/>
                <w:szCs w:val="1"/>
                <w:color w:val="auto"/>
              </w:rPr>
            </w:pPr>
          </w:p>
        </w:tc>
      </w:tr>
      <w:tr>
        <w:trPr>
          <w:trHeight w:val="661"/>
        </w:trPr>
        <w:tc>
          <w:tcPr>
            <w:tcW w:w="1000" w:type="dxa"/>
            <w:vAlign w:val="bottom"/>
          </w:tcPr>
          <w:p>
            <w:pPr>
              <w:spacing w:after="0"/>
              <w:rPr>
                <w:sz w:val="24"/>
                <w:szCs w:val="24"/>
                <w:color w:val="auto"/>
              </w:rPr>
            </w:pPr>
          </w:p>
        </w:tc>
        <w:tc>
          <w:tcPr>
            <w:tcW w:w="4760" w:type="dxa"/>
            <w:vAlign w:val="bottom"/>
            <w:gridSpan w:val="18"/>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5" w:name="page76"/>
    <w:bookmarkEnd w:id="7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8"/>
          <w:szCs w:val="18"/>
          <w:color w:val="auto"/>
        </w:rPr>
        <w:t>Dated: August 7, 2024</w:t>
      </w:r>
      <w:r>
        <w:rPr>
          <w:sz w:val="20"/>
          <w:szCs w:val="20"/>
          <w:color w:val="auto"/>
        </w:rPr>
        <w:tab/>
      </w:r>
      <w:r>
        <w:rPr>
          <w:rFonts w:ascii="Times New Roman" w:cs="Times New Roman" w:eastAsia="Times New Roman" w:hAnsi="Times New Roman"/>
          <w:sz w:val="17"/>
          <w:szCs w:val="17"/>
          <w:color w:val="auto"/>
        </w:rPr>
        <w:t>MANNKIND CORPORATION</w:t>
      </w:r>
    </w:p>
    <w:p>
      <w:pPr>
        <w:sectPr>
          <w:pgSz w:w="11900" w:h="16838" w:orient="portrait"/>
          <w:cols w:equalWidth="0" w:num="1">
            <w:col w:w="11200"/>
          </w:cols>
          <w:pgMar w:left="320" w:top="980" w:right="379" w:bottom="1440" w:gutter="0" w:footer="0" w:header="0"/>
        </w:sectPr>
      </w:pPr>
    </w:p>
    <w:p>
      <w:pPr>
        <w:spacing w:after="0" w:line="3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1426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314261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(on behalf of the registrant and as the registrant’s Principal Executive Officer)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1426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3">
                      <a:extLst>
                        <a:ext uri="{28A0092B-C50C-407E-A947-70E740481C1C}"/>
                      </a:extLst>
                    </a:blip>
                    <a:srcRect/>
                    <a:stretch>
                      <a:fillRect/>
                    </a:stretch>
                  </pic:blipFill>
                  <pic:spPr bwMode="auto">
                    <a:xfrm>
                      <a:off x="0" y="0"/>
                      <a:ext cx="314261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6120" w:space="180"/>
            <w:col w:w="4900"/>
          </w:cols>
          <w:pgMar w:left="320" w:top="980" w:right="379" w:bottom="1440" w:gutter="0" w:footer="0" w:header="0"/>
          <w:type w:val="continuous"/>
        </w:sect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type w:val="continuous"/>
        </w:sectPr>
      </w:pPr>
    </w:p>
    <w:bookmarkStart w:id="76" w:name="page77"/>
    <w:bookmarkEnd w:id="76"/>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Castagna, certify that:</w:t>
      </w:r>
    </w:p>
    <w:p>
      <w:pPr>
        <w:spacing w:after="0" w:line="225" w:lineRule="exact"/>
        <w:rPr>
          <w:sz w:val="20"/>
          <w:szCs w:val="20"/>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MannKind Corporation;</w:t>
      </w:r>
    </w:p>
    <w:p>
      <w:pPr>
        <w:spacing w:after="0" w:line="224" w:lineRule="exact"/>
        <w:rPr>
          <w:rFonts w:ascii="Times New Roman" w:cs="Times New Roman" w:eastAsia="Times New Roman" w:hAnsi="Times New Roman"/>
          <w:sz w:val="18"/>
          <w:szCs w:val="18"/>
          <w:color w:val="auto"/>
        </w:rPr>
      </w:pPr>
    </w:p>
    <w:p>
      <w:pPr>
        <w:jc w:val="both"/>
        <w:ind w:left="1020" w:right="20" w:hanging="504"/>
        <w:spacing w:after="0" w:line="265"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520" w:right="140" w:hanging="510"/>
        <w:spacing w:after="0" w:line="265" w:lineRule="auto"/>
        <w:tabs>
          <w:tab w:leader="none" w:pos="1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520" w:right="200" w:hanging="510"/>
        <w:spacing w:after="0" w:line="265" w:lineRule="auto"/>
        <w:tabs>
          <w:tab w:leader="none" w:pos="1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520" w:hanging="510"/>
        <w:spacing w:after="0" w:line="312" w:lineRule="auto"/>
        <w:tabs>
          <w:tab w:leader="none" w:pos="152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520" w:hanging="510"/>
        <w:spacing w:after="0" w:line="265" w:lineRule="auto"/>
        <w:tabs>
          <w:tab w:leader="none" w:pos="1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1020" w:right="100" w:hanging="504"/>
        <w:spacing w:after="0" w:line="312"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20" w:right="240" w:hanging="510"/>
        <w:spacing w:after="0" w:line="281" w:lineRule="auto"/>
        <w:tabs>
          <w:tab w:leader="none" w:pos="1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20" w:right="540" w:hanging="510"/>
        <w:spacing w:after="0" w:line="281" w:lineRule="auto"/>
        <w:tabs>
          <w:tab w:leader="none" w:pos="1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34290</wp:posOffset>
            </wp:positionV>
            <wp:extent cx="31337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5">
                      <a:extLst>
                        <a:ext uri="{28A0092B-C50C-407E-A947-70E740481C1C}"/>
                      </a:extLst>
                    </a:blip>
                    <a:srcRect/>
                    <a:stretch>
                      <a:fillRect/>
                    </a:stretch>
                  </pic:blipFill>
                  <pic:spPr bwMode="auto">
                    <a:xfrm>
                      <a:off x="0" y="0"/>
                      <a:ext cx="3133725" cy="8255"/>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7" w:name="page78"/>
    <w:bookmarkEnd w:id="77"/>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 Prentiss, certify that:</w:t>
      </w:r>
    </w:p>
    <w:p>
      <w:pPr>
        <w:spacing w:after="0" w:line="225" w:lineRule="exact"/>
        <w:rPr>
          <w:sz w:val="20"/>
          <w:szCs w:val="20"/>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MannKind Corporation;</w:t>
      </w:r>
    </w:p>
    <w:p>
      <w:pPr>
        <w:spacing w:after="0" w:line="224" w:lineRule="exact"/>
        <w:rPr>
          <w:rFonts w:ascii="Times New Roman" w:cs="Times New Roman" w:eastAsia="Times New Roman" w:hAnsi="Times New Roman"/>
          <w:sz w:val="18"/>
          <w:szCs w:val="18"/>
          <w:color w:val="auto"/>
        </w:rPr>
      </w:pPr>
    </w:p>
    <w:p>
      <w:pPr>
        <w:jc w:val="both"/>
        <w:ind w:left="1020" w:right="20" w:hanging="504"/>
        <w:spacing w:after="0" w:line="265"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520" w:right="140" w:hanging="510"/>
        <w:spacing w:after="0" w:line="265" w:lineRule="auto"/>
        <w:tabs>
          <w:tab w:leader="none" w:pos="15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520" w:right="200" w:hanging="510"/>
        <w:spacing w:after="0" w:line="265" w:lineRule="auto"/>
        <w:tabs>
          <w:tab w:leader="none" w:pos="15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520" w:hanging="510"/>
        <w:spacing w:after="0" w:line="312" w:lineRule="auto"/>
        <w:tabs>
          <w:tab w:leader="none" w:pos="152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520" w:hanging="510"/>
        <w:spacing w:after="0" w:line="265" w:lineRule="auto"/>
        <w:tabs>
          <w:tab w:leader="none" w:pos="15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1020" w:right="100" w:hanging="504"/>
        <w:spacing w:after="0" w:line="312" w:lineRule="auto"/>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20" w:right="240" w:hanging="510"/>
        <w:spacing w:after="0" w:line="281" w:lineRule="auto"/>
        <w:tabs>
          <w:tab w:leader="none" w:pos="15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20" w:right="540" w:hanging="510"/>
        <w:spacing w:after="0" w:line="281" w:lineRule="auto"/>
        <w:tabs>
          <w:tab w:leader="none" w:pos="15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34290</wp:posOffset>
            </wp:positionV>
            <wp:extent cx="31337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7">
                      <a:extLst>
                        <a:ext uri="{28A0092B-C50C-407E-A947-70E740481C1C}"/>
                      </a:extLst>
                    </a:blip>
                    <a:srcRect/>
                    <a:stretch>
                      <a:fillRect/>
                    </a:stretch>
                  </pic:blipFill>
                  <pic:spPr bwMode="auto">
                    <a:xfrm>
                      <a:off x="0" y="0"/>
                      <a:ext cx="3133725" cy="8255"/>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24"/>
          <w:szCs w:val="24"/>
          <w:b w:val="1"/>
          <w:bCs w:val="1"/>
          <w:color w:val="auto"/>
          <w:vertAlign w:val="superscript"/>
        </w:rPr>
        <w:t>1</w:t>
      </w:r>
    </w:p>
    <w:p>
      <w:pPr>
        <w:spacing w:after="0" w:line="16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June 30, 2024,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74" w:lineRule="exact"/>
        <w:rPr>
          <w:sz w:val="20"/>
          <w:szCs w:val="20"/>
          <w:color w:val="auto"/>
        </w:rPr>
      </w:pPr>
    </w:p>
    <w:p>
      <w:pPr>
        <w:ind w:left="180" w:hanging="172"/>
        <w:spacing w:after="0"/>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7th day of August, 2024.</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5445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9">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65" w:lineRule="exact"/>
        <w:rPr>
          <w:sz w:val="20"/>
          <w:szCs w:val="20"/>
          <w:color w:val="auto"/>
        </w:rPr>
      </w:pPr>
    </w:p>
    <w:p>
      <w:pPr>
        <w:ind w:left="240" w:right="180" w:hanging="219"/>
        <w:spacing w:after="0" w:line="231" w:lineRule="auto"/>
        <w:tabs>
          <w:tab w:leader="none" w:pos="2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7" w:right="37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24"/>
          <w:szCs w:val="24"/>
          <w:b w:val="1"/>
          <w:bCs w:val="1"/>
          <w:color w:val="auto"/>
          <w:vertAlign w:val="superscript"/>
        </w:rPr>
        <w:t>1</w:t>
      </w:r>
    </w:p>
    <w:p>
      <w:pPr>
        <w:spacing w:after="0" w:line="1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June 30, 2024,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Christopher B. Prentiss, Chief Financial Officer of MannKind Corporation (the “Company”), hereby certifies that, to the best of his knowledge:</w:t>
      </w:r>
    </w:p>
    <w:p>
      <w:pPr>
        <w:spacing w:after="0" w:line="74" w:lineRule="exact"/>
        <w:rPr>
          <w:sz w:val="20"/>
          <w:szCs w:val="20"/>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7th day of August, 2024.</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5445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2">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65" w:lineRule="exact"/>
        <w:rPr>
          <w:sz w:val="20"/>
          <w:szCs w:val="20"/>
          <w:color w:val="auto"/>
        </w:rPr>
      </w:pPr>
    </w:p>
    <w:p>
      <w:pPr>
        <w:ind w:left="240" w:right="180" w:hanging="219"/>
        <w:spacing w:after="0" w:line="231" w:lineRule="auto"/>
        <w:tabs>
          <w:tab w:leader="none" w:pos="24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7" w:right="379"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bullet"/>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30"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333" Type="http://schemas.openxmlformats.org/officeDocument/2006/relationships/image" Target="media/image315.png"/><Relationship Id="rId334" Type="http://schemas.openxmlformats.org/officeDocument/2006/relationships/image" Target="media/image316.png"/><Relationship Id="rId335" Type="http://schemas.openxmlformats.org/officeDocument/2006/relationships/image" Target="media/image317.png"/><Relationship Id="rId336" Type="http://schemas.openxmlformats.org/officeDocument/2006/relationships/image" Target="media/image318.png"/><Relationship Id="rId337" Type="http://schemas.openxmlformats.org/officeDocument/2006/relationships/image" Target="media/image319.png"/><Relationship Id="rId338" Type="http://schemas.openxmlformats.org/officeDocument/2006/relationships/image" Target="media/image320.png"/><Relationship Id="rId339" Type="http://schemas.openxmlformats.org/officeDocument/2006/relationships/image" Target="media/image321.png"/><Relationship Id="rId340" Type="http://schemas.openxmlformats.org/officeDocument/2006/relationships/image" Target="media/image322.png"/><Relationship Id="rId341" Type="http://schemas.openxmlformats.org/officeDocument/2006/relationships/image" Target="media/image323.png"/><Relationship Id="rId342" Type="http://schemas.openxmlformats.org/officeDocument/2006/relationships/image" Target="media/image324.png"/><Relationship Id="rId343" Type="http://schemas.openxmlformats.org/officeDocument/2006/relationships/image" Target="media/image325.png"/><Relationship Id="rId344" Type="http://schemas.openxmlformats.org/officeDocument/2006/relationships/image" Target="media/image326.png"/><Relationship Id="rId319" Type="http://schemas.openxmlformats.org/officeDocument/2006/relationships/hyperlink" Target="https://www.sec.gov/Archives/edgar/data/899460/000119312516676980/d225552dex31.htm" TargetMode="External"/><Relationship Id="rId320" Type="http://schemas.openxmlformats.org/officeDocument/2006/relationships/hyperlink" Target="https://www.sec.gov/Archives/edgar/data/899460/000119312517066630/d313758dex31.htm" TargetMode="External"/><Relationship Id="rId321" Type="http://schemas.openxmlformats.org/officeDocument/2006/relationships/hyperlink" Target="https://www.sec.gov/Archives/edgar/data/899460/000119312517368329/d511527dex31.htm" TargetMode="External"/><Relationship Id="rId322" Type="http://schemas.openxmlformats.org/officeDocument/2006/relationships/hyperlink" Target="https://www.sec.gov/Archives/edgar/data/899460/000119312520153051/d936164dex31.htm" TargetMode="External"/><Relationship Id="rId323" Type="http://schemas.openxmlformats.org/officeDocument/2006/relationships/hyperlink" Target="https://www.sec.gov/Archives/edgar/data/899460/000119312523156575/d473553dex31.htm" TargetMode="External"/><Relationship Id="rId324" Type="http://schemas.openxmlformats.org/officeDocument/2006/relationships/hyperlink" Target="https://www.sec.gov/Archives/edgar/data/899460/000119312520153051/d936164dex32.htm" TargetMode="External"/><Relationship Id="rId325" Type="http://schemas.openxmlformats.org/officeDocument/2006/relationships/hyperlink" Target="https://www.sec.gov/Archives/edgar/data/899460/000119312517085519/d305327dex42.htm" TargetMode="External"/><Relationship Id="rId326" Type="http://schemas.openxmlformats.org/officeDocument/2006/relationships/hyperlink" Target="https://www.sec.gov/Archives/edgar/data/899460/000119312513279522/d562665dex993.htm" TargetMode="External"/><Relationship Id="rId327" Type="http://schemas.openxmlformats.org/officeDocument/2006/relationships/hyperlink" Target="https://www.sec.gov/Archives/edgar/data/899460/000119312519215305/d757696dex41.htm" TargetMode="External"/><Relationship Id="rId328" Type="http://schemas.openxmlformats.org/officeDocument/2006/relationships/hyperlink" Target="https://www.sec.gov/Archives/edgar/data/899460/000119312521070265/d45565dex41.htm" TargetMode="External"/><Relationship Id="rId329" Type="http://schemas.openxmlformats.org/officeDocument/2006/relationships/hyperlink" Target="https://www.sec.gov/Archives/edgar/data/899460/000119312521070265/d45565dex41.htm#ex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2024-08-07T07:14:13Z</dcterms:created>
  <dcterms:modified xsi:type="dcterms:W3CDTF">2024-08-07T07:14:13Z</dcterms:modified>
</cp:coreProperties>
</file>