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mnkd-20230626.htm"/>
      <w:bookmarkStart w:id="1" w:name="ksmnkd20230626"/>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29" w:type="dxa"/>
        <w:jc w:val="left"/>
        <w:tblInd w:w="0" w:type="dxa"/>
        <w:tblLayout w:type="fixed"/>
        <w:tblCellMar>
          <w:top w:w="28" w:type="dxa"/>
          <w:left w:w="28" w:type="dxa"/>
          <w:bottom w:w="28" w:type="dxa"/>
          <w:right w:w="28" w:type="dxa"/>
        </w:tblCellMar>
      </w:tblPr>
      <w:tblGrid>
        <w:gridCol w:w="5429"/>
      </w:tblGrid>
      <w:tr>
        <w:trPr/>
        <w:tc>
          <w:tcPr>
            <w:tcW w:w="5429" w:type="dxa"/>
            <w:tcBorders/>
            <w:vAlign w:val="center"/>
          </w:tcPr>
          <w:p>
            <w:pPr>
              <w:pStyle w:val="TableContents"/>
              <w:bidi w:val="0"/>
              <w:spacing w:before="0" w:after="283"/>
              <w:jc w:val="left"/>
              <w:rPr>
                <w:sz w:val="4"/>
                <w:szCs w:val="4"/>
              </w:rPr>
            </w:pPr>
            <w:r>
              <w:rPr>
                <w:sz w:val="4"/>
                <w:szCs w:val="4"/>
              </w:rPr>
            </w:r>
          </w:p>
        </w:tc>
      </w:tr>
      <w:tr>
        <w:trPr/>
        <w:tc>
          <w:tcPr>
            <w:tcW w:w="542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June 26,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MannKind Corporation</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000-50865</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13-3607736</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6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7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 Casper Street</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Danbury, Connecticut</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06810</w:t>
            </w:r>
          </w:p>
        </w:tc>
      </w:tr>
      <w:tr>
        <w:trPr/>
        <w:tc>
          <w:tcPr>
            <w:tcW w:w="2685"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(818)</w:t>
            </w:r>
            <w:r>
              <w:rPr>
                <w:rFonts w:ascii="Times New Roman" w:hAnsi="Times New Roman"/>
                <w:sz w:val="20"/>
              </w:rPr>
              <w:t xml:space="preserve"> </w:t>
            </w:r>
            <w:r>
              <w:rPr>
                <w:rFonts w:ascii="Times New Roman;serif" w:hAnsi="Times New Roman;serif"/>
                <w:b/>
                <w:sz w:val="20"/>
              </w:rPr>
              <w:t>661-5000</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MNKD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8.01 Other Events.</w:t>
      </w:r>
    </w:p>
    <w:p>
      <w:pPr>
        <w:pStyle w:val="TextBody"/>
        <w:bidi w:val="0"/>
        <w:spacing w:before="0" w:after="0"/>
        <w:jc w:val="left"/>
        <w:rPr>
          <w:rFonts w:ascii="Times New Roman" w:hAnsi="Times New Roman"/>
          <w:sz w:val="20"/>
        </w:rPr>
      </w:pPr>
      <w:r>
        <w:rPr>
          <w:rFonts w:ascii="Times New Roman;serif" w:hAnsi="Times New Roman;serif"/>
          <w:b w:val="false"/>
          <w:sz w:val="20"/>
        </w:rPr>
        <w:t>On June 26, 2023, MannKind Corporation (the “Company”) was informed that the contract manufacturer responsible for the production of clofazimine inhalation solution, the investigational product being developed by the Company as MNKD-101, experienced a fire in its manufacturing facility in Germany. As a result of this incident, the Company estimates that production of clinical supplies of MNKD-101 will be delayed by 3-6 months, which has the potential to impact the initiation of a Phase 2/3 clinical study of MNKD-101 planned for later in 2023. The Company is evaluating several mitigation strategies and will update the projected timing for this clinical study at a later date.</w:t>
      </w:r>
      <w:r>
        <w:rPr>
          <w:rFonts w:ascii="Times New Roman" w:hAnsi="Times New Roman"/>
          <w:sz w:val="20"/>
        </w:rPr>
        <w:t xml:space="preserve"> </w:t>
      </w:r>
    </w:p>
    <w:p>
      <w:pPr>
        <w:pStyle w:val="TextBody"/>
        <w:bidi w:val="0"/>
        <w:spacing w:before="0" w:after="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Statements in this report that are not statements of historical fact are forward-looking statements. Words such as “plans,” “expects,” “intend,” “will,” “anticipate,” “potential” and similar expressions are intended to identify forward-looking statements. Forward-looking statements include statements regarding the anticipated timing for the initiation of a clinical study. These forward-looking statements are based upon the Company’s current expectations. Actual results and the timing of events could differ materially from those anticipated in such forward-looking statements as a result of various risks and uncertainties, which include risks and uncertainties regarding the contract manufacturer’s ability to resume operations in the ordinary course and supply the Company with clofazimine inhalation solution, and the achievement of our projected development goals in the timeframes we expect. Additional risks are detailed in the Company’s filings with the Securities and Exchange Commission (“SEC”), including under the heading “Risk Factors” in MannKind’s Quarterly Report on Form 10-Q for the quarter ended March 31, 2023, filed with the SEC on May 9, 2023. You are cautioned not to place undue reliance on these forward-looking statements, which speak only as of the date of this report. All forward-looking statements are qualified in their entirety by this cautionary statement, and the Company undertakes no obligation to revise or update any forward-looking statements to reflect events or circumstances after the date of this report.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7024" w:type="dxa"/>
        <w:jc w:val="left"/>
        <w:tblInd w:w="0" w:type="dxa"/>
        <w:tblLayout w:type="fixed"/>
        <w:tblCellMar>
          <w:top w:w="28" w:type="dxa"/>
          <w:left w:w="28" w:type="dxa"/>
          <w:bottom w:w="28" w:type="dxa"/>
          <w:right w:w="28" w:type="dxa"/>
        </w:tblCellMar>
      </w:tblPr>
      <w:tblGrid>
        <w:gridCol w:w="556"/>
        <w:gridCol w:w="1246"/>
        <w:gridCol w:w="451"/>
        <w:gridCol w:w="477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77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sz w:val="20"/>
              </w:rPr>
            </w:pPr>
            <w:r>
              <w:rPr>
                <w:rFonts w:ascii="Times New Roman;serif" w:hAnsi="Times New Roman;serif"/>
                <w:b/>
                <w:sz w:val="20"/>
              </w:rPr>
              <w:t>MannKind Corporation</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7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477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David Thomson, Ph.D., J.D.</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77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David Thomson, Ph.D., J.D.</w:t>
              <w:br/>
              <w:t>Executive Vice President, General Counsel and Secretary</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683</Words>
  <Characters>3911</Characters>
  <CharactersWithSpaces>4590</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