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ind w:left="500" w:right="240" w:hanging="492"/>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7"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580"/>
        <w:spacing w:after="0"/>
        <w:tabs>
          <w:tab w:leader="none" w:pos="6700" w:val="left"/>
          <w:tab w:leader="none" w:pos="7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3776345</wp:posOffset>
            </wp:positionH>
            <wp:positionV relativeFrom="paragraph">
              <wp:posOffset>-7620</wp:posOffset>
            </wp:positionV>
            <wp:extent cx="106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6165" cy="8255"/>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000-50865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MannKind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Delaware</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right"/>
              <w:ind w:right="2296"/>
              <w:spacing w:after="0"/>
              <w:rPr>
                <w:sz w:val="20"/>
                <w:szCs w:val="20"/>
                <w:color w:val="auto"/>
              </w:rPr>
            </w:pPr>
            <w:r>
              <w:rPr>
                <w:rFonts w:ascii="Arial" w:cs="Arial" w:eastAsia="Arial" w:hAnsi="Arial"/>
                <w:sz w:val="18"/>
                <w:szCs w:val="18"/>
                <w:b w:val="1"/>
                <w:bCs w:val="1"/>
                <w:color w:val="auto"/>
              </w:rPr>
              <w:t>13-3607736</w:t>
            </w:r>
          </w:p>
        </w:tc>
        <w:tc>
          <w:tcPr>
            <w:tcW w:w="0" w:type="dxa"/>
            <w:vAlign w:val="bottom"/>
          </w:tcPr>
          <w:p>
            <w:pPr>
              <w:spacing w:after="0"/>
              <w:rPr>
                <w:sz w:val="1"/>
                <w:szCs w:val="1"/>
                <w:color w:val="auto"/>
              </w:rPr>
            </w:pPr>
          </w:p>
        </w:tc>
      </w:tr>
      <w:tr>
        <w:trPr>
          <w:trHeight w:val="216"/>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0"/>
              </w:rPr>
              <w:t>(State or other jurisdiction of</w:t>
            </w: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34"/>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1"/>
              </w:rPr>
              <w:t>incorporation or organization)</w:t>
            </w:r>
          </w:p>
        </w:tc>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40" w:type="dxa"/>
            <w:vAlign w:val="bottom"/>
          </w:tcPr>
          <w:p>
            <w:pPr>
              <w:jc w:val="center"/>
              <w:ind w:right="1896"/>
              <w:spacing w:after="0"/>
              <w:rPr>
                <w:sz w:val="20"/>
                <w:szCs w:val="20"/>
                <w:color w:val="auto"/>
              </w:rPr>
            </w:pPr>
            <w:r>
              <w:rPr>
                <w:rFonts w:ascii="Arial" w:cs="Arial" w:eastAsia="Arial" w:hAnsi="Arial"/>
                <w:sz w:val="18"/>
                <w:szCs w:val="18"/>
                <w:b w:val="1"/>
                <w:bCs w:val="1"/>
                <w:color w:val="auto"/>
                <w:w w:val="93"/>
              </w:rPr>
              <w:t>Identification No.)</w:t>
            </w:r>
          </w:p>
        </w:tc>
        <w:tc>
          <w:tcPr>
            <w:tcW w:w="0" w:type="dxa"/>
            <w:vAlign w:val="bottom"/>
          </w:tcPr>
          <w:p>
            <w:pPr>
              <w:spacing w:after="0"/>
              <w:rPr>
                <w:sz w:val="1"/>
                <w:szCs w:val="1"/>
                <w:color w:val="auto"/>
              </w:rPr>
            </w:pPr>
          </w:p>
        </w:tc>
      </w:tr>
      <w:tr>
        <w:trPr>
          <w:trHeight w:val="292"/>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89"/>
              </w:rPr>
              <w:t>30930 Russell Ranch Road, Suite 300</w:t>
            </w:r>
          </w:p>
        </w:tc>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jc w:val="center"/>
              <w:ind w:left="1057"/>
              <w:spacing w:after="0"/>
              <w:rPr>
                <w:sz w:val="20"/>
                <w:szCs w:val="20"/>
                <w:color w:val="auto"/>
              </w:rPr>
            </w:pPr>
            <w:r>
              <w:rPr>
                <w:rFonts w:ascii="Arial" w:cs="Arial" w:eastAsia="Arial" w:hAnsi="Arial"/>
                <w:sz w:val="18"/>
                <w:szCs w:val="18"/>
                <w:b w:val="1"/>
                <w:bCs w:val="1"/>
                <w:color w:val="auto"/>
                <w:w w:val="92"/>
              </w:rPr>
              <w:t>Westlake Village, California</w:t>
            </w:r>
          </w:p>
        </w:tc>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40" w:type="dxa"/>
            <w:vAlign w:val="bottom"/>
          </w:tcPr>
          <w:p>
            <w:pPr>
              <w:jc w:val="right"/>
              <w:ind w:right="2496"/>
              <w:spacing w:after="0"/>
              <w:rPr>
                <w:sz w:val="20"/>
                <w:szCs w:val="20"/>
                <w:color w:val="auto"/>
              </w:rPr>
            </w:pPr>
            <w:r>
              <w:rPr>
                <w:rFonts w:ascii="Arial" w:cs="Arial" w:eastAsia="Arial" w:hAnsi="Arial"/>
                <w:sz w:val="18"/>
                <w:szCs w:val="18"/>
                <w:b w:val="1"/>
                <w:bCs w:val="1"/>
                <w:color w:val="auto"/>
              </w:rPr>
              <w:t>91362</w:t>
            </w:r>
          </w:p>
        </w:tc>
        <w:tc>
          <w:tcPr>
            <w:tcW w:w="0" w:type="dxa"/>
            <w:vAlign w:val="bottom"/>
          </w:tcPr>
          <w:p>
            <w:pPr>
              <w:spacing w:after="0"/>
              <w:rPr>
                <w:sz w:val="1"/>
                <w:szCs w:val="1"/>
                <w:color w:val="auto"/>
              </w:rPr>
            </w:pPr>
          </w:p>
        </w:tc>
      </w:tr>
      <w:tr>
        <w:trPr>
          <w:trHeight w:val="186"/>
        </w:trPr>
        <w:tc>
          <w:tcPr>
            <w:tcW w:w="4500" w:type="dxa"/>
            <w:vAlign w:val="bottom"/>
            <w:gridSpan w:val="2"/>
          </w:tcPr>
          <w:p>
            <w:pPr>
              <w:jc w:val="center"/>
              <w:ind w:left="103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40" w:type="dxa"/>
            <w:vAlign w:val="bottom"/>
          </w:tcPr>
          <w:p>
            <w:pPr>
              <w:jc w:val="center"/>
              <w:ind w:right="1896"/>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59"/>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(818) 661-5000</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7600" w:type="dxa"/>
            <w:vAlign w:val="bottom"/>
            <w:gridSpan w:val="7"/>
          </w:tcPr>
          <w:p>
            <w:pPr>
              <w:jc w:val="center"/>
              <w:ind w:left="3557"/>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600" w:type="dxa"/>
            <w:vAlign w:val="bottom"/>
            <w:gridSpan w:val="7"/>
          </w:tcPr>
          <w:p>
            <w:pPr>
              <w:jc w:val="center"/>
              <w:ind w:left="3577"/>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3"/>
        </w:trPr>
        <w:tc>
          <w:tcPr>
            <w:tcW w:w="4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4"/>
                <w:szCs w:val="14"/>
                <w:b w:val="1"/>
                <w:bCs w:val="1"/>
                <w:color w:val="auto"/>
                <w:w w:val="93"/>
              </w:rPr>
              <w:t>Trading</w:t>
            </w:r>
          </w:p>
        </w:tc>
        <w:tc>
          <w:tcPr>
            <w:tcW w:w="3640" w:type="dxa"/>
            <w:vAlign w:val="bottom"/>
            <w:vMerge w:val="restart"/>
          </w:tcPr>
          <w:p>
            <w:pPr>
              <w:jc w:val="center"/>
              <w:ind w:right="536"/>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3080" w:type="dxa"/>
            <w:vAlign w:val="bottom"/>
            <w:gridSpan w:val="4"/>
          </w:tcPr>
          <w:p>
            <w:pPr>
              <w:jc w:val="center"/>
              <w:ind w:right="860"/>
              <w:spacing w:after="0"/>
              <w:rPr>
                <w:sz w:val="20"/>
                <w:szCs w:val="20"/>
                <w:color w:val="auto"/>
              </w:rPr>
            </w:pPr>
            <w:r>
              <w:rPr>
                <w:rFonts w:ascii="Arial" w:cs="Arial" w:eastAsia="Arial" w:hAnsi="Arial"/>
                <w:sz w:val="14"/>
                <w:szCs w:val="14"/>
                <w:b w:val="1"/>
                <w:bCs w:val="1"/>
                <w:color w:val="auto"/>
                <w:w w:val="91"/>
              </w:rPr>
              <w:t>Symbol(s)</w:t>
            </w:r>
          </w:p>
        </w:tc>
        <w:tc>
          <w:tcPr>
            <w:tcW w:w="3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$0.01 per share</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MNKD</w:t>
            </w:r>
          </w:p>
        </w:tc>
        <w:tc>
          <w:tcPr>
            <w:tcW w:w="220" w:type="dxa"/>
            <w:vAlign w:val="bottom"/>
            <w:gridSpan w:val="2"/>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jc w:val="center"/>
              <w:ind w:right="556"/>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63"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Accelerated filer</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380" w:type="dxa"/>
            <w:vAlign w:val="bottom"/>
          </w:tcPr>
          <w:p>
            <w:pPr>
              <w:ind w:left="3180"/>
              <w:spacing w:after="0"/>
              <w:rPr>
                <w:sz w:val="20"/>
                <w:szCs w:val="20"/>
                <w:color w:val="auto"/>
              </w:rPr>
            </w:pPr>
            <w:r>
              <w:rPr>
                <w:rFonts w:ascii="Arial" w:cs="Arial" w:eastAsia="Arial" w:hAnsi="Arial"/>
                <w:sz w:val="18"/>
                <w:szCs w:val="18"/>
                <w:color w:val="auto"/>
              </w:rPr>
              <w:t>Smaller reporting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97"/>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380" w:type="dxa"/>
            <w:vAlign w:val="bottom"/>
          </w:tcPr>
          <w:p>
            <w:pPr>
              <w:ind w:left="3180"/>
              <w:spacing w:after="0"/>
              <w:rPr>
                <w:sz w:val="20"/>
                <w:szCs w:val="20"/>
                <w:color w:val="auto"/>
              </w:rPr>
            </w:pPr>
            <w:r>
              <w:rPr>
                <w:rFonts w:ascii="Arial" w:cs="Arial" w:eastAsia="Arial" w:hAnsi="Arial"/>
                <w:sz w:val="18"/>
                <w:szCs w:val="18"/>
                <w:color w:val="auto"/>
              </w:rPr>
              <w:t>Emerging growth company</w:t>
            </w:r>
          </w:p>
        </w:tc>
        <w:tc>
          <w:tcPr>
            <w:tcW w:w="42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26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13, 2020, there were 229,174,914 shares of the registrant’s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MANNKIND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560" w:type="dxa"/>
            <w:vAlign w:val="bottom"/>
            <w:vMerge w:val="restart"/>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1056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Condensed Consolidated Balance Sheets: June 30, 2020 and December 31,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Statements of Operations: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Statements of Comprehensive Loss: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Stockholders’ Deficit: Three and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Cash Flows: Six months ended June 30,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Condensed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Item 2. 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3. 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Item 4. 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056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PART II: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56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 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Item 1A. 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 Unregistered Sales of Equity Securities and Use of Proceeds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 Defaults Upon Senior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 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5.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560" w:type="dxa"/>
            <w:vAlign w:val="bottom"/>
          </w:tcPr>
          <w:p>
            <w:pPr>
              <w:ind w:left="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 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056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0560" w:type="dxa"/>
            <w:vAlign w:val="bottom"/>
          </w:tcPr>
          <w:p>
            <w:pPr>
              <w:ind w:left="5580"/>
              <w:spacing w:after="0"/>
              <w:rPr>
                <w:sz w:val="20"/>
                <w:szCs w:val="20"/>
                <w:color w:val="auto"/>
              </w:rPr>
            </w:pPr>
            <w:r>
              <w:rPr>
                <w:rFonts w:ascii="Arial" w:cs="Arial" w:eastAsia="Arial" w:hAnsi="Arial"/>
                <w:sz w:val="18"/>
                <w:szCs w:val="18"/>
                <w:color w:val="auto"/>
              </w:rPr>
              <w:t>1</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5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ind w:left="4080"/>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63,222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4,155</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26,187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6,190</w:t>
            </w:r>
          </w:p>
        </w:tc>
        <w:tc>
          <w:tcPr>
            <w:tcW w:w="10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102,781</w:t>
            </w:r>
          </w:p>
        </w:tc>
        <w:tc>
          <w:tcPr>
            <w:tcW w:w="2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tcPr>
          <w:p>
            <w:pPr>
              <w:ind w:left="1800"/>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5,821</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4,789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notes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 — current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32,184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Recognized loss on purchase commitments — current</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7,394</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67,939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65,618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Promissory notes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70,024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 — promissory notes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Long-term Midcap credit facility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convertible notes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Paycheck Protection Program loan — long term</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Recognized loss on purchase commitments — long term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81,027</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84,639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1,843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2,514</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 long term</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4,860</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8,344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Milestone rights liability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282,491</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284,251</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rPr>
              <w:t>Undesignated preferred stock, $0.01 par value — 10,000,000 shares authorized;</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tcPr>
          <w:p>
            <w:pPr>
              <w:ind w:left="380"/>
              <w:spacing w:after="0"/>
              <w:rPr>
                <w:sz w:val="20"/>
                <w:szCs w:val="20"/>
                <w:color w:val="auto"/>
              </w:rPr>
            </w:pPr>
            <w:r>
              <w:rPr>
                <w:rFonts w:ascii="Arial" w:cs="Arial" w:eastAsia="Arial" w:hAnsi="Arial"/>
                <w:sz w:val="18"/>
                <w:szCs w:val="18"/>
                <w:color w:val="auto"/>
              </w:rPr>
              <w:t>no shares issued or outstanding as of June 30, 2020 and December 31, 2019</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$0.01 par value - 400,000,000 and 280,000,000 shares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authorized, 228,927,505 and 211,787,573 shares issued and outstanding</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at June 30, 2020 and December 31, 2019,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w:t>
            </w:r>
          </w:p>
        </w:tc>
        <w:tc>
          <w:tcPr>
            <w:tcW w:w="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2,118</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2,829,478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2,799,278</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(3,011,477)</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(2,991,903)</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deficit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(179,710)</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(190,526)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color w:val="auto"/>
              </w:rPr>
              <w:t>Total liabilities and stockholders' deficit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102,781</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93,725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60" w:type="dxa"/>
            <w:vAlign w:val="bottom"/>
          </w:tcPr>
          <w:p>
            <w:pPr>
              <w:spacing w:after="0"/>
              <w:rPr>
                <w:sz w:val="14"/>
                <w:szCs w:val="14"/>
                <w:color w:val="auto"/>
              </w:rPr>
            </w:pPr>
          </w:p>
        </w:tc>
        <w:tc>
          <w:tcPr>
            <w:tcW w:w="242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5040" w:type="dxa"/>
            <w:vAlign w:val="bottom"/>
            <w:tcBorders>
              <w:bottom w:val="single" w:sz="8" w:color="CFF0FC"/>
            </w:tcBorders>
          </w:tcPr>
          <w:p>
            <w:pPr>
              <w:spacing w:after="0"/>
              <w:rPr>
                <w:sz w:val="13"/>
                <w:szCs w:val="13"/>
                <w:color w:val="auto"/>
              </w:rPr>
            </w:pPr>
          </w:p>
        </w:tc>
        <w:tc>
          <w:tcPr>
            <w:tcW w:w="7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9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6,985</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6,065</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14,985</w:t>
            </w:r>
          </w:p>
        </w:tc>
        <w:tc>
          <w:tcPr>
            <w:tcW w:w="140" w:type="dxa"/>
            <w:vAlign w:val="bottom"/>
          </w:tcPr>
          <w:p>
            <w:pPr>
              <w:spacing w:after="0"/>
              <w:rPr>
                <w:sz w:val="19"/>
                <w:szCs w:val="19"/>
                <w:color w:val="auto"/>
              </w:rPr>
            </w:pPr>
          </w:p>
        </w:tc>
        <w:tc>
          <w:tcPr>
            <w:tcW w:w="3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Revenue — collaborations and services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revenues</w:t>
            </w:r>
          </w:p>
        </w:tc>
        <w:tc>
          <w:tcPr>
            <w:tcW w:w="7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Expenses: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1,464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3,219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13,670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Asset impairment</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50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expenses</w:t>
            </w:r>
          </w:p>
        </w:tc>
        <w:tc>
          <w:tcPr>
            <w:tcW w:w="7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23,029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25,954</w:t>
            </w:r>
          </w:p>
        </w:tc>
        <w:tc>
          <w:tcPr>
            <w:tcW w:w="2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46,385</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56,916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Other (expense) income: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tcPr>
          <w:p>
            <w:pPr>
              <w:ind w:left="260"/>
              <w:spacing w:after="0"/>
              <w:rPr>
                <w:sz w:val="20"/>
                <w:szCs w:val="20"/>
                <w:color w:val="auto"/>
              </w:rPr>
            </w:pPr>
            <w:r>
              <w:rPr>
                <w:rFonts w:ascii="Arial" w:cs="Arial" w:eastAsia="Arial" w:hAnsi="Arial"/>
                <w:sz w:val="18"/>
                <w:szCs w:val="18"/>
                <w:color w:val="auto"/>
              </w:rPr>
              <w:t>Interest expense on notes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(564)</w:t>
            </w:r>
          </w:p>
        </w:tc>
        <w:tc>
          <w:tcPr>
            <w:tcW w:w="26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 on promissory notes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(1,109)</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(2,540)</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(2,189)</w:t>
            </w:r>
          </w:p>
        </w:tc>
        <w:tc>
          <w:tcPr>
            <w:tcW w:w="0" w:type="dxa"/>
            <w:vAlign w:val="bottom"/>
          </w:tcPr>
          <w:p>
            <w:pPr>
              <w:spacing w:after="0"/>
              <w:rPr>
                <w:sz w:val="1"/>
                <w:szCs w:val="1"/>
                <w:color w:val="auto"/>
              </w:rPr>
            </w:pPr>
          </w:p>
        </w:tc>
      </w:tr>
      <w:tr>
        <w:trPr>
          <w:trHeight w:val="229"/>
        </w:trPr>
        <w:tc>
          <w:tcPr>
            <w:tcW w:w="5040" w:type="dxa"/>
            <w:vAlign w:val="bottom"/>
          </w:tcPr>
          <w:p>
            <w:pPr>
              <w:ind w:left="260"/>
              <w:spacing w:after="0"/>
              <w:rPr>
                <w:sz w:val="20"/>
                <w:szCs w:val="20"/>
                <w:color w:val="auto"/>
              </w:rPr>
            </w:pPr>
            <w:r>
              <w:rPr>
                <w:rFonts w:ascii="Arial" w:cs="Arial" w:eastAsia="Arial" w:hAnsi="Arial"/>
                <w:sz w:val="18"/>
                <w:szCs w:val="18"/>
                <w:color w:val="auto"/>
              </w:rPr>
              <w:t>Other income (expense)</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0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other expense</w:t>
            </w:r>
          </w:p>
        </w:tc>
        <w:tc>
          <w:tcPr>
            <w:tcW w:w="7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(12,387)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(19,574)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(27,270)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7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(12,387)</w:t>
            </w:r>
          </w:p>
        </w:tc>
        <w:tc>
          <w:tcPr>
            <w:tcW w:w="24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(19,574)</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7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Arial" w:cs="Arial" w:eastAsia="Arial" w:hAnsi="Arial"/>
                <w:sz w:val="18"/>
                <w:szCs w:val="18"/>
                <w:color w:val="auto"/>
              </w:rPr>
              <w:t>Shares used to compute basic and diluted net loss per share</w:t>
            </w: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188,054</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740" w:type="dxa"/>
            <w:vAlign w:val="bottom"/>
            <w:gridSpan w:val="6"/>
          </w:tcPr>
          <w:p>
            <w:pPr>
              <w:ind w:left="32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55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7"/>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r>
      <w:tr>
        <w:trPr>
          <w:trHeight w:val="223"/>
        </w:trPr>
        <w:tc>
          <w:tcPr>
            <w:tcW w:w="55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(19,574)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(27,270)</w:t>
            </w:r>
          </w:p>
        </w:tc>
        <w:tc>
          <w:tcPr>
            <w:tcW w:w="120" w:type="dxa"/>
            <w:vAlign w:val="bottom"/>
            <w:shd w:val="clear" w:color="auto" w:fill="CFF0FC"/>
          </w:tcPr>
          <w:p>
            <w:pPr>
              <w:spacing w:after="0"/>
              <w:rPr>
                <w:sz w:val="19"/>
                <w:szCs w:val="19"/>
                <w:color w:val="auto"/>
              </w:rPr>
            </w:pPr>
          </w:p>
        </w:tc>
      </w:tr>
      <w:tr>
        <w:trPr>
          <w:trHeight w:val="229"/>
        </w:trPr>
        <w:tc>
          <w:tcPr>
            <w:tcW w:w="5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5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Cumulative translation loss</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(12,387)</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(27,270)</w:t>
            </w:r>
          </w:p>
        </w:tc>
        <w:tc>
          <w:tcPr>
            <w:tcW w:w="120" w:type="dxa"/>
            <w:vAlign w:val="bottom"/>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Accumulated</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right"/>
              <w:ind w:right="540"/>
              <w:spacing w:after="0" w:line="135"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2"/>
              </w:rPr>
              <w: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Common Stock</w:t>
            </w:r>
          </w:p>
        </w:tc>
        <w:tc>
          <w:tcPr>
            <w:tcW w:w="82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6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6"/>
              </w:rPr>
              <w:t>Comprehensive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60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297"/>
              <w:spacing w:after="0" w:line="142" w:lineRule="exact"/>
              <w:rPr>
                <w:sz w:val="20"/>
                <w:szCs w:val="20"/>
                <w:color w:val="auto"/>
              </w:rPr>
            </w:pPr>
            <w:r>
              <w:rPr>
                <w:rFonts w:ascii="Arial" w:cs="Arial" w:eastAsia="Arial" w:hAnsi="Arial"/>
                <w:sz w:val="13"/>
                <w:szCs w:val="13"/>
                <w:b w:val="1"/>
                <w:bCs w:val="1"/>
                <w:color w:val="auto"/>
                <w:w w:val="89"/>
              </w:rPr>
              <w:t>Amount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620"/>
              <w:spacing w:after="0" w:line="142"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40"/>
              <w:spacing w:after="0" w:line="142" w:lineRule="exact"/>
              <w:rPr>
                <w:sz w:val="20"/>
                <w:szCs w:val="20"/>
                <w:color w:val="auto"/>
              </w:rPr>
            </w:pPr>
            <w:r>
              <w:rPr>
                <w:rFonts w:ascii="Arial" w:cs="Arial" w:eastAsia="Arial" w:hAnsi="Arial"/>
                <w:sz w:val="13"/>
                <w:szCs w:val="13"/>
                <w:b w:val="1"/>
                <w:bCs w:val="1"/>
                <w:color w:val="auto"/>
                <w:w w:val="78"/>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54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54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2019</w:t>
            </w:r>
          </w:p>
        </w:tc>
        <w:tc>
          <w:tcPr>
            <w:tcW w:w="11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187,030</w:t>
            </w:r>
          </w:p>
        </w:tc>
        <w:tc>
          <w:tcPr>
            <w:tcW w:w="8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gridSpan w:val="2"/>
            <w:shd w:val="clear" w:color="auto" w:fill="CFF0FC"/>
          </w:tcPr>
          <w:p>
            <w:pPr>
              <w:jc w:val="right"/>
              <w:ind w:right="177"/>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1,870</w:t>
            </w:r>
          </w:p>
        </w:tc>
        <w:tc>
          <w:tcPr>
            <w:tcW w:w="4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2,763,067</w:t>
            </w:r>
          </w:p>
        </w:tc>
        <w:tc>
          <w:tcPr>
            <w:tcW w:w="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CFF0FC"/>
            </w:tcBorders>
            <w:shd w:val="clear" w:color="auto" w:fill="CFF0FC"/>
          </w:tcPr>
          <w:p>
            <w:pPr>
              <w:spacing w:after="0"/>
              <w:rPr>
                <w:sz w:val="12"/>
                <w:szCs w:val="12"/>
                <w:color w:val="auto"/>
              </w:rPr>
            </w:pPr>
          </w:p>
        </w:tc>
        <w:tc>
          <w:tcPr>
            <w:tcW w:w="2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(2,940,000)</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40" w:type="dxa"/>
            <w:vAlign w:val="bottom"/>
            <w:tcBorders>
              <w:top w:val="single" w:sz="8" w:color="CFF0FC"/>
            </w:tcBorders>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(175,082)</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Stock Purchase Plan</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314</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999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999</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conversion of Senior Convertible Notes</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386</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538</w:t>
            </w:r>
          </w:p>
        </w:tc>
        <w:tc>
          <w:tcPr>
            <w:tcW w:w="100" w:type="dxa"/>
            <w:vAlign w:val="bottom"/>
            <w:shd w:val="clear" w:color="auto" w:fill="CFF0FC"/>
          </w:tcPr>
          <w:p>
            <w:pPr>
              <w:spacing w:after="0"/>
              <w:rPr>
                <w:sz w:val="12"/>
                <w:szCs w:val="12"/>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Restricted stock unit award</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2"/>
                <w:szCs w:val="12"/>
                <w:color w:val="auto"/>
              </w:rPr>
            </w:pPr>
          </w:p>
        </w:tc>
      </w:tr>
      <w:tr>
        <w:trPr>
          <w:trHeight w:val="149"/>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00"/>
              <w:spacing w:after="0"/>
              <w:rPr>
                <w:sz w:val="20"/>
                <w:szCs w:val="20"/>
                <w:color w:val="auto"/>
              </w:rPr>
            </w:pPr>
            <w:r>
              <w:rPr>
                <w:rFonts w:ascii="Arial" w:cs="Arial" w:eastAsia="Arial" w:hAnsi="Arial"/>
                <w:sz w:val="13"/>
                <w:szCs w:val="13"/>
                <w:color w:val="auto"/>
              </w:rPr>
              <w:t>(14,883)</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(14,883)</w:t>
            </w:r>
          </w:p>
        </w:tc>
      </w:tr>
      <w:tr>
        <w:trPr>
          <w:trHeight w:val="182"/>
        </w:trPr>
        <w:tc>
          <w:tcPr>
            <w:tcW w:w="3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2019</w:t>
            </w: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187,778</w:t>
            </w:r>
          </w:p>
        </w:tc>
        <w:tc>
          <w:tcPr>
            <w:tcW w:w="8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gridSpan w:val="2"/>
          </w:tcPr>
          <w:p>
            <w:pPr>
              <w:jc w:val="right"/>
              <w:ind w:right="177"/>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1,878</w:t>
            </w:r>
          </w:p>
        </w:tc>
        <w:tc>
          <w:tcPr>
            <w:tcW w:w="40" w:type="dxa"/>
            <w:vAlign w:val="bottom"/>
            <w:tcBorders>
              <w:bottom w:val="single" w:sz="8" w:color="CFF0FC"/>
            </w:tcBorders>
          </w:tcPr>
          <w:p>
            <w:pPr>
              <w:spacing w:after="0"/>
              <w:rPr>
                <w:sz w:val="15"/>
                <w:szCs w:val="15"/>
                <w:color w:val="auto"/>
              </w:rPr>
            </w:pPr>
          </w:p>
        </w:tc>
        <w:tc>
          <w:tcPr>
            <w:tcW w:w="14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2,765,020</w:t>
            </w:r>
          </w:p>
        </w:tc>
        <w:tc>
          <w:tcPr>
            <w:tcW w:w="20" w:type="dxa"/>
            <w:vAlign w:val="bottom"/>
            <w:tcBorders>
              <w:bottom w:val="single" w:sz="8" w:color="CFF0FC"/>
            </w:tcBorders>
          </w:tcPr>
          <w:p>
            <w:pPr>
              <w:spacing w:after="0"/>
              <w:rPr>
                <w:sz w:val="15"/>
                <w:szCs w:val="15"/>
                <w:color w:val="auto"/>
              </w:rPr>
            </w:pPr>
          </w:p>
        </w:tc>
        <w:tc>
          <w:tcPr>
            <w:tcW w:w="240" w:type="dxa"/>
            <w:vAlign w:val="bottom"/>
            <w:tcBorders>
              <w:bottom w:val="single" w:sz="8" w:color="CFF0FC"/>
            </w:tcBorders>
          </w:tcPr>
          <w:p>
            <w:pPr>
              <w:spacing w:after="0"/>
              <w:rPr>
                <w:sz w:val="15"/>
                <w:szCs w:val="15"/>
                <w:color w:val="auto"/>
              </w:rPr>
            </w:pPr>
          </w:p>
        </w:tc>
        <w:tc>
          <w:tcPr>
            <w:tcW w:w="2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(2,954,883)</w:t>
            </w:r>
          </w:p>
        </w:tc>
        <w:tc>
          <w:tcPr>
            <w:tcW w:w="16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(188,004)</w:t>
            </w:r>
          </w:p>
        </w:tc>
        <w:tc>
          <w:tcPr>
            <w:tcW w:w="100" w:type="dxa"/>
            <w:vAlign w:val="bottom"/>
            <w:tcBorders>
              <w:bottom w:val="single" w:sz="8" w:color="CFF0FC"/>
            </w:tcBorders>
          </w:tcPr>
          <w:p>
            <w:pPr>
              <w:spacing w:after="0"/>
              <w:rPr>
                <w:sz w:val="15"/>
                <w:szCs w:val="15"/>
                <w:color w:val="auto"/>
              </w:rPr>
            </w:pPr>
          </w:p>
        </w:tc>
      </w:tr>
      <w:tr>
        <w:trPr>
          <w:trHeight w:val="129"/>
        </w:trPr>
        <w:tc>
          <w:tcPr>
            <w:tcW w:w="3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00" w:type="dxa"/>
            <w:vAlign w:val="bottom"/>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units</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101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14</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w:t>
            </w:r>
          </w:p>
        </w:tc>
        <w:tc>
          <w:tcPr>
            <w:tcW w:w="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2,568</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1,568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1,835</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1,850</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costs associated with at the</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market offering</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(41)</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w:t>
            </w:r>
          </w:p>
        </w:tc>
      </w:tr>
      <w:tr>
        <w:trPr>
          <w:trHeight w:val="149"/>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3"/>
                <w:szCs w:val="13"/>
                <w:color w:val="auto"/>
              </w:rPr>
              <w:t>(12,387)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(12,387)</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2019</w:t>
            </w:r>
          </w:p>
        </w:tc>
        <w:tc>
          <w:tcPr>
            <w:tcW w:w="112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189,447</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300" w:type="dxa"/>
            <w:vAlign w:val="bottom"/>
            <w:tcBorders>
              <w:top w:val="single" w:sz="8" w:color="auto"/>
              <w:bottom w:val="single" w:sz="8" w:color="auto"/>
            </w:tcBorders>
            <w:gridSpan w:val="2"/>
            <w:shd w:val="clear" w:color="auto" w:fill="CFF0FC"/>
          </w:tcPr>
          <w:p>
            <w:pPr>
              <w:jc w:val="right"/>
              <w:ind w:right="177"/>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1,894</w:t>
            </w: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gridSpan w:val="2"/>
            <w:shd w:val="clear" w:color="auto" w:fill="CFF0FC"/>
          </w:tcPr>
          <w:p>
            <w:pPr>
              <w:jc w:val="right"/>
              <w:ind w:right="68"/>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2,769,396</w:t>
            </w: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2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(2,967,270)</w:t>
            </w:r>
          </w:p>
        </w:tc>
        <w:tc>
          <w:tcPr>
            <w:tcW w:w="160" w:type="dxa"/>
            <w:vAlign w:val="bottom"/>
            <w:tcBorders>
              <w:top w:val="single" w:sz="8" w:color="CFF0FC"/>
              <w:bottom w:val="single" w:sz="8" w:color="CFF0FC"/>
            </w:tcBorders>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40" w:type="dxa"/>
            <w:vAlign w:val="bottom"/>
            <w:tcBorders>
              <w:top w:val="single" w:sz="8" w:color="CFF0FC"/>
              <w:bottom w:val="single" w:sz="8" w:color="CFF0FC"/>
            </w:tcBorders>
            <w:shd w:val="clear" w:color="auto" w:fill="CFF0FC"/>
          </w:tcPr>
          <w:p>
            <w:pPr>
              <w:spacing w:after="0"/>
              <w:rPr>
                <w:sz w:val="12"/>
                <w:szCs w:val="12"/>
                <w:color w:val="auto"/>
              </w:rPr>
            </w:pPr>
          </w:p>
        </w:tc>
        <w:tc>
          <w:tcPr>
            <w:tcW w:w="220" w:type="dxa"/>
            <w:vAlign w:val="bottom"/>
            <w:tcBorders>
              <w:top w:val="single" w:sz="8" w:color="auto"/>
              <w:bottom w:val="single" w:sz="8" w:color="auto"/>
            </w:tcBorders>
            <w:shd w:val="clear" w:color="auto" w:fill="CFF0FC"/>
          </w:tcPr>
          <w:p>
            <w:pPr>
              <w:jc w:val="right"/>
              <w:ind w:right="10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(195,999)</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00"/>
        </w:trPr>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5"/>
              </w:rPr>
              <w:t>Accumulated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35"/>
        </w:trPr>
        <w:tc>
          <w:tcPr>
            <w:tcW w:w="3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3"/>
          </w:tcPr>
          <w:p>
            <w:pPr>
              <w:jc w:val="right"/>
              <w:ind w:right="520"/>
              <w:spacing w:after="0" w:line="135"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20" w:type="dxa"/>
            <w:vAlign w:val="bottom"/>
            <w:gridSpan w:val="9"/>
          </w:tcPr>
          <w:p>
            <w:pPr>
              <w:jc w:val="right"/>
              <w:ind w:right="96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jc w:val="right"/>
              <w:ind w:right="60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Comprehensive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3"/>
                <w:szCs w:val="13"/>
                <w:b w:val="1"/>
                <w:bCs w:val="1"/>
                <w:color w:val="auto"/>
                <w:w w:val="90"/>
              </w:rPr>
              <w:t>Accumulated</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top w:val="single" w:sz="8" w:color="auto"/>
            </w:tcBorders>
            <w:gridSpan w:val="3"/>
          </w:tcPr>
          <w:p>
            <w:pPr>
              <w:jc w:val="right"/>
              <w:ind w:right="500"/>
              <w:spacing w:after="0" w:line="142"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600"/>
              <w:spacing w:after="0" w:line="142" w:lineRule="exact"/>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360"/>
              <w:spacing w:after="0" w:line="142" w:lineRule="exact"/>
              <w:rPr>
                <w:sz w:val="20"/>
                <w:szCs w:val="20"/>
                <w:color w:val="auto"/>
              </w:rPr>
            </w:pPr>
            <w:r>
              <w:rPr>
                <w:rFonts w:ascii="Arial" w:cs="Arial" w:eastAsia="Arial" w:hAnsi="Arial"/>
                <w:sz w:val="13"/>
                <w:szCs w:val="13"/>
                <w:b w:val="1"/>
                <w:bCs w:val="1"/>
                <w:color w:val="auto"/>
                <w:w w:val="85"/>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580"/>
              <w:spacing w:after="0" w:line="142" w:lineRule="exact"/>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0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JANUARY 1, 2020</w:t>
            </w:r>
          </w:p>
        </w:tc>
        <w:tc>
          <w:tcPr>
            <w:tcW w:w="80" w:type="dxa"/>
            <w:vAlign w:val="bottom"/>
            <w:tcBorders>
              <w:top w:val="single" w:sz="8" w:color="CFF0FC"/>
            </w:tcBorders>
            <w:shd w:val="clear" w:color="auto" w:fill="CFF0FC"/>
          </w:tcPr>
          <w:p>
            <w:pPr>
              <w:spacing w:after="0"/>
              <w:rPr>
                <w:sz w:val="12"/>
                <w:szCs w:val="12"/>
                <w:color w:val="auto"/>
              </w:rPr>
            </w:pPr>
          </w:p>
        </w:tc>
        <w:tc>
          <w:tcPr>
            <w:tcW w:w="11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211,788</w:t>
            </w:r>
          </w:p>
        </w:tc>
        <w:tc>
          <w:tcPr>
            <w:tcW w:w="12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gridSpan w:val="2"/>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2,118</w:t>
            </w:r>
          </w:p>
        </w:tc>
        <w:tc>
          <w:tcPr>
            <w:tcW w:w="1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gridSpan w:val="2"/>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2,799,278</w:t>
            </w:r>
          </w:p>
        </w:tc>
        <w:tc>
          <w:tcPr>
            <w:tcW w:w="24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w:t>
            </w:r>
          </w:p>
        </w:tc>
        <w:tc>
          <w:tcPr>
            <w:tcW w:w="24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gridSpan w:val="2"/>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(2,991,903)</w:t>
            </w:r>
          </w:p>
        </w:tc>
        <w:tc>
          <w:tcPr>
            <w:tcW w:w="180" w:type="dxa"/>
            <w:vAlign w:val="bottom"/>
            <w:tcBorders>
              <w:top w:val="single" w:sz="8" w:color="CFF0FC"/>
            </w:tcBorders>
            <w:gridSpan w:val="2"/>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gridSpan w:val="2"/>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(190,526)</w:t>
            </w:r>
          </w:p>
        </w:tc>
        <w:tc>
          <w:tcPr>
            <w:tcW w:w="100" w:type="dxa"/>
            <w:vAlign w:val="bottom"/>
            <w:tcBorders>
              <w:top w:val="single" w:sz="8" w:color="CFF0FC"/>
            </w:tcBorders>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under Employee</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Stock Purchase Plan</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334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315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318</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 expense</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1,128</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associated</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with debt interest payment</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99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144</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504</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(322)</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(317)</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518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522</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(16)</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w:t>
            </w: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Cumulative translation loss</w:t>
            </w: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2"/>
                <w:szCs w:val="12"/>
                <w:color w:val="auto"/>
              </w:rPr>
            </w:pPr>
          </w:p>
        </w:tc>
      </w:tr>
      <w:tr>
        <w:trPr>
          <w:trHeight w:val="148"/>
        </w:trPr>
        <w:tc>
          <w:tcPr>
            <w:tcW w:w="30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(9,322)</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(9,322)</w:t>
            </w:r>
          </w:p>
        </w:tc>
      </w:tr>
      <w:tr>
        <w:trPr>
          <w:trHeight w:val="182"/>
        </w:trPr>
        <w:tc>
          <w:tcPr>
            <w:tcW w:w="30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color w:val="auto"/>
              </w:rPr>
              <w:t>BALANCE, MARCH 31, 2020</w:t>
            </w:r>
          </w:p>
        </w:tc>
        <w:tc>
          <w:tcPr>
            <w:tcW w:w="80" w:type="dxa"/>
            <w:vAlign w:val="bottom"/>
            <w:tcBorders>
              <w:bottom w:val="single" w:sz="8" w:color="CFF0FC"/>
            </w:tcBorders>
          </w:tcPr>
          <w:p>
            <w:pPr>
              <w:spacing w:after="0"/>
              <w:rPr>
                <w:sz w:val="15"/>
                <w:szCs w:val="15"/>
                <w:color w:val="auto"/>
              </w:rPr>
            </w:pPr>
          </w:p>
        </w:tc>
        <w:tc>
          <w:tcPr>
            <w:tcW w:w="1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213,138</w:t>
            </w:r>
          </w:p>
        </w:tc>
        <w:tc>
          <w:tcPr>
            <w:tcW w:w="12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gridSpan w:val="2"/>
          </w:tcPr>
          <w:p>
            <w:pPr>
              <w:spacing w:after="0"/>
              <w:rPr>
                <w:sz w:val="15"/>
                <w:szCs w:val="15"/>
                <w:color w:val="auto"/>
              </w:rPr>
            </w:pPr>
          </w:p>
        </w:tc>
        <w:tc>
          <w:tcPr>
            <w:tcW w:w="26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2,131</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gridSpan w:val="2"/>
          </w:tcPr>
          <w:p>
            <w:pPr>
              <w:spacing w:after="0"/>
              <w:rPr>
                <w:sz w:val="15"/>
                <w:szCs w:val="15"/>
                <w:color w:val="auto"/>
              </w:rPr>
            </w:pPr>
          </w:p>
        </w:tc>
        <w:tc>
          <w:tcPr>
            <w:tcW w:w="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rPr>
              <w:t>2,801,044</w:t>
            </w:r>
          </w:p>
        </w:tc>
        <w:tc>
          <w:tcPr>
            <w:tcW w:w="24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(3,001,225)</w:t>
            </w:r>
          </w:p>
        </w:tc>
        <w:tc>
          <w:tcPr>
            <w:tcW w:w="180" w:type="dxa"/>
            <w:vAlign w:val="bottom"/>
            <w:tcBorders>
              <w:bottom w:val="single" w:sz="8" w:color="CFF0FC"/>
            </w:tcBorders>
            <w:gridSpan w:val="2"/>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gridSpan w:val="2"/>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(198,050)</w:t>
            </w:r>
          </w:p>
        </w:tc>
        <w:tc>
          <w:tcPr>
            <w:tcW w:w="100" w:type="dxa"/>
            <w:vAlign w:val="bottom"/>
            <w:tcBorders>
              <w:bottom w:val="single" w:sz="8" w:color="CFF0FC"/>
            </w:tcBorders>
          </w:tcPr>
          <w:p>
            <w:pPr>
              <w:spacing w:after="0"/>
              <w:rPr>
                <w:sz w:val="15"/>
                <w:szCs w:val="15"/>
                <w:color w:val="auto"/>
              </w:rPr>
            </w:pPr>
          </w:p>
        </w:tc>
      </w:tr>
      <w:tr>
        <w:trPr>
          <w:trHeight w:val="129"/>
        </w:trPr>
        <w:tc>
          <w:tcPr>
            <w:tcW w:w="30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2,185</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2,185</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common stock from the</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exercise of warrants</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7,250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11,527</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11,600</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pursuant to</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conversion of the June 2020 note</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1,235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2,618</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2,630</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Net issuance of common stock associated</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300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with stock options and restricted stock</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units</w:t>
            </w:r>
          </w:p>
        </w:tc>
        <w:tc>
          <w:tcPr>
            <w:tcW w:w="120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297</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117</w:t>
            </w:r>
          </w:p>
        </w:tc>
        <w:tc>
          <w:tcPr>
            <w:tcW w:w="100" w:type="dxa"/>
            <w:vAlign w:val="bottom"/>
            <w:shd w:val="clear" w:color="auto" w:fill="CFF0FC"/>
          </w:tcPr>
          <w:p>
            <w:pPr>
              <w:spacing w:after="0"/>
              <w:rPr>
                <w:sz w:val="12"/>
                <w:szCs w:val="12"/>
                <w:color w:val="auto"/>
              </w:rPr>
            </w:pP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in at the market</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offering</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7,459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12,291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12,366</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cost associated with at the market</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offering</w:t>
            </w:r>
          </w:p>
        </w:tc>
        <w:tc>
          <w:tcPr>
            <w:tcW w:w="80" w:type="dxa"/>
            <w:vAlign w:val="bottom"/>
            <w:shd w:val="clear" w:color="auto" w:fill="CFF0FC"/>
          </w:tcPr>
          <w:p>
            <w:pPr>
              <w:spacing w:after="0"/>
              <w:rPr>
                <w:sz w:val="12"/>
                <w:szCs w:val="12"/>
                <w:color w:val="auto"/>
              </w:rPr>
            </w:pPr>
          </w:p>
        </w:tc>
        <w:tc>
          <w:tcPr>
            <w:tcW w:w="124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(320)</w:t>
            </w: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(320)</w:t>
            </w:r>
          </w:p>
        </w:tc>
      </w:tr>
      <w:tr>
        <w:trPr>
          <w:trHeight w:val="134"/>
        </w:trPr>
        <w:tc>
          <w:tcPr>
            <w:tcW w:w="3000" w:type="dxa"/>
            <w:vAlign w:val="bottom"/>
          </w:tcPr>
          <w:p>
            <w:pPr>
              <w:ind w:left="260"/>
              <w:spacing w:after="0" w:line="134" w:lineRule="exact"/>
              <w:rPr>
                <w:sz w:val="20"/>
                <w:szCs w:val="20"/>
                <w:color w:val="auto"/>
              </w:rPr>
            </w:pPr>
            <w:r>
              <w:rPr>
                <w:rFonts w:ascii="Arial" w:cs="Arial" w:eastAsia="Arial" w:hAnsi="Arial"/>
                <w:sz w:val="13"/>
                <w:szCs w:val="13"/>
                <w:color w:val="auto"/>
              </w:rPr>
              <w:t>Issuance of common stock from market</w:t>
            </w: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000" w:type="dxa"/>
            <w:vAlign w:val="bottom"/>
          </w:tcPr>
          <w:p>
            <w:pPr>
              <w:ind w:left="340"/>
              <w:spacing w:after="0"/>
              <w:rPr>
                <w:sz w:val="20"/>
                <w:szCs w:val="20"/>
                <w:color w:val="auto"/>
              </w:rPr>
            </w:pPr>
            <w:r>
              <w:rPr>
                <w:rFonts w:ascii="Arial" w:cs="Arial" w:eastAsia="Arial" w:hAnsi="Arial"/>
                <w:sz w:val="13"/>
                <w:szCs w:val="13"/>
                <w:color w:val="auto"/>
              </w:rPr>
              <w:t>price stock purchase</w:t>
            </w:r>
          </w:p>
        </w:tc>
        <w:tc>
          <w:tcPr>
            <w:tcW w:w="1200" w:type="dxa"/>
            <w:vAlign w:val="bottom"/>
            <w:gridSpan w:val="3"/>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2"/>
                <w:szCs w:val="12"/>
                <w:color w:val="auto"/>
              </w:rPr>
            </w:pPr>
          </w:p>
        </w:tc>
      </w:tr>
      <w:tr>
        <w:trPr>
          <w:trHeight w:val="134"/>
        </w:trPr>
        <w:tc>
          <w:tcPr>
            <w:tcW w:w="300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Adjustment of common stock in association</w:t>
            </w:r>
          </w:p>
        </w:tc>
        <w:tc>
          <w:tcPr>
            <w:tcW w:w="8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9"/>
        </w:trPr>
        <w:tc>
          <w:tcPr>
            <w:tcW w:w="3000" w:type="dxa"/>
            <w:vAlign w:val="bottom"/>
            <w:shd w:val="clear" w:color="auto" w:fill="CFF0FC"/>
          </w:tcPr>
          <w:p>
            <w:pPr>
              <w:ind w:left="340"/>
              <w:spacing w:after="0"/>
              <w:rPr>
                <w:sz w:val="20"/>
                <w:szCs w:val="20"/>
                <w:color w:val="auto"/>
              </w:rPr>
            </w:pPr>
            <w:r>
              <w:rPr>
                <w:rFonts w:ascii="Arial" w:cs="Arial" w:eastAsia="Arial" w:hAnsi="Arial"/>
                <w:sz w:val="13"/>
                <w:szCs w:val="13"/>
                <w:color w:val="auto"/>
              </w:rPr>
              <w:t>with restricted stock units</w:t>
            </w:r>
          </w:p>
        </w:tc>
        <w:tc>
          <w:tcPr>
            <w:tcW w:w="1320" w:type="dxa"/>
            <w:vAlign w:val="bottom"/>
            <w:gridSpan w:val="4"/>
            <w:shd w:val="clear" w:color="auto" w:fill="CFF0FC"/>
          </w:tcPr>
          <w:p>
            <w:pPr>
              <w:jc w:val="right"/>
              <w:ind w:right="80"/>
              <w:spacing w:after="0"/>
              <w:rPr>
                <w:sz w:val="20"/>
                <w:szCs w:val="20"/>
                <w:color w:val="auto"/>
              </w:rPr>
            </w:pPr>
            <w:r>
              <w:rPr>
                <w:rFonts w:ascii="Arial" w:cs="Arial" w:eastAsia="Arial" w:hAnsi="Arial"/>
                <w:sz w:val="13"/>
                <w:szCs w:val="13"/>
                <w:color w:val="auto"/>
              </w:rPr>
              <w:t>(461)</w:t>
            </w:r>
          </w:p>
        </w:tc>
        <w:tc>
          <w:tcPr>
            <w:tcW w:w="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0" w:type="dxa"/>
            <w:vAlign w:val="bottom"/>
            <w:gridSpan w:val="3"/>
            <w:shd w:val="clear" w:color="auto" w:fill="CFF0FC"/>
          </w:tcPr>
          <w:p>
            <w:pPr>
              <w:jc w:val="right"/>
              <w:ind w:right="80"/>
              <w:spacing w:after="0"/>
              <w:rPr>
                <w:sz w:val="20"/>
                <w:szCs w:val="20"/>
                <w:color w:val="auto"/>
              </w:rPr>
            </w:pPr>
            <w:r>
              <w:rPr>
                <w:rFonts w:ascii="Arial" w:cs="Arial" w:eastAsia="Arial" w:hAnsi="Arial"/>
                <w:sz w:val="13"/>
                <w:szCs w:val="13"/>
                <w:color w:val="auto"/>
              </w:rPr>
              <w:t>(5)</w:t>
            </w:r>
          </w:p>
        </w:tc>
        <w:tc>
          <w:tcPr>
            <w:tcW w:w="1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6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300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3"/>
                <w:szCs w:val="13"/>
                <w:color w:val="auto"/>
              </w:rPr>
              <w:t>(10,252)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(10,252)</w:t>
            </w:r>
          </w:p>
        </w:tc>
      </w:tr>
      <w:tr>
        <w:trPr>
          <w:trHeight w:val="142"/>
        </w:trPr>
        <w:tc>
          <w:tcPr>
            <w:tcW w:w="3000" w:type="dxa"/>
            <w:vAlign w:val="bottom"/>
            <w:tcBorders>
              <w:top w:val="single" w:sz="8" w:color="CFF0FC"/>
              <w:bottom w:val="single" w:sz="8" w:color="CFF0FC"/>
            </w:tcBorders>
            <w:shd w:val="clear" w:color="auto" w:fill="CFF0FC"/>
          </w:tcPr>
          <w:p>
            <w:pPr>
              <w:spacing w:after="0" w:line="142" w:lineRule="exact"/>
              <w:rPr>
                <w:sz w:val="20"/>
                <w:szCs w:val="20"/>
                <w:color w:val="auto"/>
              </w:rPr>
            </w:pPr>
            <w:r>
              <w:rPr>
                <w:rFonts w:ascii="Arial" w:cs="Arial" w:eastAsia="Arial" w:hAnsi="Arial"/>
                <w:sz w:val="13"/>
                <w:szCs w:val="13"/>
                <w:color w:val="auto"/>
              </w:rPr>
              <w:t>BALANCE, JUNE 30, 2020</w:t>
            </w:r>
          </w:p>
        </w:tc>
        <w:tc>
          <w:tcPr>
            <w:tcW w:w="80" w:type="dxa"/>
            <w:vAlign w:val="bottom"/>
            <w:tcBorders>
              <w:top w:val="single" w:sz="8" w:color="CFF0FC"/>
              <w:bottom w:val="single" w:sz="8" w:color="CFF0FC"/>
            </w:tcBorders>
            <w:shd w:val="clear" w:color="auto" w:fill="CFF0FC"/>
          </w:tcPr>
          <w:p>
            <w:pPr>
              <w:spacing w:after="0"/>
              <w:rPr>
                <w:sz w:val="12"/>
                <w:szCs w:val="12"/>
                <w:color w:val="auto"/>
              </w:rPr>
            </w:pPr>
          </w:p>
        </w:tc>
        <w:tc>
          <w:tcPr>
            <w:tcW w:w="112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228,928</w:t>
            </w:r>
          </w:p>
        </w:tc>
        <w:tc>
          <w:tcPr>
            <w:tcW w:w="12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260" w:type="dxa"/>
            <w:vAlign w:val="bottom"/>
            <w:tcBorders>
              <w:top w:val="single" w:sz="8" w:color="auto"/>
              <w:bottom w:val="single" w:sz="8" w:color="auto"/>
            </w:tcBorders>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2,289</w:t>
            </w:r>
          </w:p>
        </w:tc>
        <w:tc>
          <w:tcPr>
            <w:tcW w:w="1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rPr>
              <w:t>2,829,478</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top w:val="single" w:sz="8" w:color="CFF0FC"/>
              <w:bottom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gridSpan w:val="2"/>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(3,011,477)</w:t>
            </w:r>
          </w:p>
        </w:tc>
        <w:tc>
          <w:tcPr>
            <w:tcW w:w="180" w:type="dxa"/>
            <w:vAlign w:val="bottom"/>
            <w:tcBorders>
              <w:top w:val="single" w:sz="8" w:color="CFF0FC"/>
              <w:bottom w:val="single" w:sz="8" w:color="CFF0FC"/>
            </w:tcBorders>
            <w:gridSpan w:val="2"/>
            <w:shd w:val="clear" w:color="auto" w:fill="CFF0FC"/>
          </w:tcPr>
          <w:p>
            <w:pPr>
              <w:spacing w:after="0"/>
              <w:rPr>
                <w:sz w:val="12"/>
                <w:szCs w:val="12"/>
                <w:color w:val="auto"/>
              </w:rPr>
            </w:pP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c>
          <w:tcPr>
            <w:tcW w:w="260" w:type="dxa"/>
            <w:vAlign w:val="bottom"/>
            <w:tcBorders>
              <w:top w:val="single" w:sz="8" w:color="auto"/>
              <w:bottom w:val="single" w:sz="8" w:color="auto"/>
            </w:tcBorders>
            <w:gridSpan w:val="2"/>
            <w:shd w:val="clear" w:color="auto" w:fill="CFF0FC"/>
          </w:tcPr>
          <w:p>
            <w:pPr>
              <w:jc w:val="right"/>
              <w:ind w:right="14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(179,710)</w:t>
            </w:r>
          </w:p>
        </w:tc>
        <w:tc>
          <w:tcPr>
            <w:tcW w:w="100" w:type="dxa"/>
            <w:vAlign w:val="bottom"/>
            <w:tcBorders>
              <w:top w:val="single" w:sz="8" w:color="CFF0FC"/>
              <w:bottom w:val="single" w:sz="8" w:color="CFF0FC"/>
            </w:tcBorders>
            <w:shd w:val="clear" w:color="auto" w:fill="CFF0FC"/>
          </w:tcPr>
          <w:p>
            <w:pPr>
              <w:spacing w:after="0"/>
              <w:rPr>
                <w:sz w:val="12"/>
                <w:szCs w:val="12"/>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MANNKIND CORPORATION AND SUBSIDIARY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Six Months Ended June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60"/>
              <w:spacing w:after="0" w:line="155" w:lineRule="exact"/>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1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Net loss</w:t>
            </w:r>
          </w:p>
        </w:tc>
        <w:tc>
          <w:tcPr>
            <w:tcW w:w="2080" w:type="dxa"/>
            <w:vAlign w:val="bottom"/>
            <w:gridSpan w:val="2"/>
          </w:tcPr>
          <w:p>
            <w:pPr>
              <w:jc w:val="right"/>
              <w:ind w:right="828"/>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(19,574)</w:t>
            </w:r>
          </w:p>
        </w:tc>
        <w:tc>
          <w:tcPr>
            <w:tcW w:w="110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(27,270)</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Interest expense on promissory notes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2,536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Stock-based compensation expense</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Asset impairment</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Depreciation, amortization and accretion</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Amortization of right-of-use assets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Write-off of inventory</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Loss (gain) on foreign currency translation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(688)</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500"/>
              <w:spacing w:after="0"/>
              <w:rPr>
                <w:sz w:val="20"/>
                <w:szCs w:val="20"/>
                <w:color w:val="auto"/>
              </w:rPr>
            </w:pPr>
            <w:r>
              <w:rPr>
                <w:rFonts w:ascii="Arial" w:cs="Arial" w:eastAsia="Arial" w:hAnsi="Arial"/>
                <w:sz w:val="16"/>
                <w:szCs w:val="16"/>
                <w:color w:val="auto"/>
              </w:rPr>
              <w:t>Other, net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receivable, net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(957)</w:t>
            </w:r>
          </w:p>
        </w:tc>
        <w:tc>
          <w:tcPr>
            <w:tcW w:w="0" w:type="dxa"/>
            <w:vAlign w:val="bottom"/>
          </w:tcPr>
          <w:p>
            <w:pPr>
              <w:spacing w:after="0"/>
              <w:rPr>
                <w:sz w:val="1"/>
                <w:szCs w:val="1"/>
                <w:color w:val="auto"/>
              </w:rPr>
            </w:pPr>
          </w:p>
        </w:tc>
      </w:tr>
      <w:tr>
        <w:trPr>
          <w:trHeight w:val="213"/>
        </w:trPr>
        <w:tc>
          <w:tcPr>
            <w:tcW w:w="6640" w:type="dxa"/>
            <w:vAlign w:val="bottom"/>
          </w:tcPr>
          <w:p>
            <w:pPr>
              <w:ind w:left="740"/>
              <w:spacing w:after="0"/>
              <w:rPr>
                <w:sz w:val="20"/>
                <w:szCs w:val="20"/>
                <w:color w:val="auto"/>
              </w:rPr>
            </w:pPr>
            <w:r>
              <w:rPr>
                <w:rFonts w:ascii="Arial" w:cs="Arial" w:eastAsia="Arial" w:hAnsi="Arial"/>
                <w:sz w:val="16"/>
                <w:szCs w:val="16"/>
                <w:color w:val="auto"/>
              </w:rPr>
              <w:t>Inventory</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Prepaid expenses and other current assets</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3"/>
        </w:trPr>
        <w:tc>
          <w:tcPr>
            <w:tcW w:w="6640" w:type="dxa"/>
            <w:vAlign w:val="bottom"/>
          </w:tcPr>
          <w:p>
            <w:pPr>
              <w:ind w:left="740"/>
              <w:spacing w:after="0"/>
              <w:rPr>
                <w:sz w:val="20"/>
                <w:szCs w:val="20"/>
                <w:color w:val="auto"/>
              </w:rPr>
            </w:pPr>
            <w:r>
              <w:rPr>
                <w:rFonts w:ascii="Arial" w:cs="Arial" w:eastAsia="Arial" w:hAnsi="Arial"/>
                <w:sz w:val="16"/>
                <w:szCs w:val="16"/>
                <w:color w:val="auto"/>
              </w:rPr>
              <w:t>Other assets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(356)</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740"/>
              <w:spacing w:after="0"/>
              <w:rPr>
                <w:sz w:val="20"/>
                <w:szCs w:val="20"/>
                <w:color w:val="auto"/>
              </w:rPr>
            </w:pPr>
            <w:r>
              <w:rPr>
                <w:rFonts w:ascii="Arial" w:cs="Arial" w:eastAsia="Arial" w:hAnsi="Arial"/>
                <w:sz w:val="16"/>
                <w:szCs w:val="16"/>
                <w:color w:val="auto"/>
              </w:rPr>
              <w:t>Accrued expenses and other current liabilities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Deferred revenue</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(3,803)</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(6,795)</w:t>
            </w:r>
          </w:p>
        </w:tc>
        <w:tc>
          <w:tcPr>
            <w:tcW w:w="0" w:type="dxa"/>
            <w:vAlign w:val="bottom"/>
          </w:tcPr>
          <w:p>
            <w:pPr>
              <w:spacing w:after="0"/>
              <w:rPr>
                <w:sz w:val="1"/>
                <w:szCs w:val="1"/>
                <w:color w:val="auto"/>
              </w:rPr>
            </w:pPr>
          </w:p>
        </w:tc>
      </w:tr>
      <w:tr>
        <w:trPr>
          <w:trHeight w:val="213"/>
        </w:trPr>
        <w:tc>
          <w:tcPr>
            <w:tcW w:w="664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(1,401)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(699)</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Recognized loss on purchase commitments</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(1,236)</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(3,984)</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(14,903)</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(31,325)</w:t>
            </w:r>
          </w:p>
        </w:tc>
        <w:tc>
          <w:tcPr>
            <w:tcW w:w="0" w:type="dxa"/>
            <w:vAlign w:val="bottom"/>
          </w:tcPr>
          <w:p>
            <w:pPr>
              <w:spacing w:after="0"/>
              <w:rPr>
                <w:sz w:val="1"/>
                <w:szCs w:val="1"/>
                <w:color w:val="auto"/>
              </w:rPr>
            </w:pPr>
          </w:p>
        </w:tc>
      </w:tr>
      <w:tr>
        <w:trPr>
          <w:trHeight w:val="213"/>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INVESTING ACTIVITIES:</w:t>
            </w:r>
          </w:p>
        </w:tc>
        <w:tc>
          <w:tcPr>
            <w:tcW w:w="11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sale of treasury bills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of property and equipment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(1,493)</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Purchase of treasury bills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(24,909)</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ind w:left="1000"/>
              <w:spacing w:after="0"/>
              <w:rPr>
                <w:sz w:val="20"/>
                <w:szCs w:val="20"/>
                <w:color w:val="auto"/>
              </w:rPr>
            </w:pPr>
            <w:r>
              <w:rPr>
                <w:rFonts w:ascii="Arial" w:cs="Arial" w:eastAsia="Arial" w:hAnsi="Arial"/>
                <w:sz w:val="16"/>
                <w:szCs w:val="16"/>
                <w:color w:val="auto"/>
              </w:rPr>
              <w:t>Net cash provided by (used in) investing activities</w:t>
            </w:r>
          </w:p>
        </w:tc>
        <w:tc>
          <w:tcPr>
            <w:tcW w:w="11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6640" w:type="dxa"/>
            <w:vAlign w:val="bottom"/>
            <w:vMerge w:val="continue"/>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(26,402)</w:t>
            </w:r>
          </w:p>
        </w:tc>
        <w:tc>
          <w:tcPr>
            <w:tcW w:w="0" w:type="dxa"/>
            <w:vAlign w:val="bottom"/>
          </w:tcPr>
          <w:p>
            <w:pPr>
              <w:spacing w:after="0"/>
              <w:rPr>
                <w:sz w:val="1"/>
                <w:szCs w:val="1"/>
                <w:color w:val="auto"/>
              </w:rPr>
            </w:pPr>
          </w:p>
        </w:tc>
      </w:tr>
      <w:tr>
        <w:trPr>
          <w:trHeight w:val="207"/>
        </w:trPr>
        <w:tc>
          <w:tcPr>
            <w:tcW w:w="664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Proceeds from at the market offering</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Issuance costs associated with at the market offering</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(331)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from the exercise of warrants</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Paycheck Protection Program loan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employment taxes related to vested restricted stock units</w:t>
            </w: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6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and exercise of stock options</w:t>
            </w: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(201)</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Proceeds from market price stock purchase plan</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Principal payments on facility financing obligation</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1000"/>
              <w:spacing w:after="0"/>
              <w:rPr>
                <w:sz w:val="20"/>
                <w:szCs w:val="20"/>
                <w:color w:val="auto"/>
              </w:rPr>
            </w:pPr>
            <w:r>
              <w:rPr>
                <w:rFonts w:ascii="Arial" w:cs="Arial" w:eastAsia="Arial" w:hAnsi="Arial"/>
                <w:sz w:val="16"/>
                <w:szCs w:val="16"/>
                <w:color w:val="auto"/>
              </w:rPr>
              <w:t>Net cash provided by (used in) financing activities</w:t>
            </w:r>
          </w:p>
        </w:tc>
        <w:tc>
          <w:tcPr>
            <w:tcW w:w="1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6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28,519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(673)</w:t>
            </w:r>
          </w:p>
        </w:tc>
        <w:tc>
          <w:tcPr>
            <w:tcW w:w="0" w:type="dxa"/>
            <w:vAlign w:val="bottom"/>
          </w:tcPr>
          <w:p>
            <w:pPr>
              <w:spacing w:after="0"/>
              <w:rPr>
                <w:sz w:val="1"/>
                <w:szCs w:val="1"/>
                <w:color w:val="auto"/>
              </w:rPr>
            </w:pPr>
          </w:p>
        </w:tc>
      </w:tr>
      <w:tr>
        <w:trPr>
          <w:trHeight w:val="199"/>
        </w:trPr>
        <w:tc>
          <w:tcPr>
            <w:tcW w:w="6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INCREASE (DECREASE) IN CASH AND CASH EQUIVALENTS AND</w:t>
            </w:r>
          </w:p>
        </w:tc>
        <w:tc>
          <w:tcPr>
            <w:tcW w:w="11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RESTRICTED CASH</w:t>
            </w:r>
          </w:p>
        </w:tc>
        <w:tc>
          <w:tcPr>
            <w:tcW w:w="1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33,316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(58,400)</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tcBorders>
              <w:bottom w:val="single" w:sz="8" w:color="CFF0FC"/>
            </w:tcBorders>
          </w:tcPr>
          <w:p>
            <w:pPr>
              <w:ind w:left="120"/>
              <w:spacing w:after="0"/>
              <w:rPr>
                <w:sz w:val="20"/>
                <w:szCs w:val="20"/>
                <w:color w:val="auto"/>
              </w:rPr>
            </w:pPr>
            <w:r>
              <w:rPr>
                <w:rFonts w:ascii="Arial" w:cs="Arial" w:eastAsia="Arial" w:hAnsi="Arial"/>
                <w:sz w:val="16"/>
                <w:szCs w:val="16"/>
                <w:b w:val="1"/>
                <w:bCs w:val="1"/>
                <w:color w:val="auto"/>
              </w:rPr>
              <w:t>BEGINNING OF PERIOD</w:t>
            </w:r>
          </w:p>
        </w:tc>
        <w:tc>
          <w:tcPr>
            <w:tcW w:w="11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30,222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71,684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AND CASH EQUIVALENTS AND RESTRICTED CASH,</w:t>
            </w:r>
          </w:p>
        </w:tc>
        <w:tc>
          <w:tcPr>
            <w:tcW w:w="1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6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END OF PERIOD</w:t>
            </w:r>
          </w:p>
        </w:tc>
        <w:tc>
          <w:tcPr>
            <w:tcW w:w="20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63,538</w:t>
            </w:r>
          </w:p>
        </w:tc>
        <w:tc>
          <w:tcPr>
            <w:tcW w:w="1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13,284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SUPPLEMENTAL CASH FLOWS DISCLOSURES:</w:t>
            </w:r>
          </w:p>
        </w:tc>
        <w:tc>
          <w:tcPr>
            <w:tcW w:w="11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4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paid in cash, net of amounts capitalized</w:t>
            </w:r>
          </w:p>
        </w:tc>
        <w:tc>
          <w:tcPr>
            <w:tcW w:w="2080" w:type="dxa"/>
            <w:vAlign w:val="bottom"/>
            <w:gridSpan w:val="2"/>
            <w:shd w:val="clear" w:color="auto" w:fill="CFF0FC"/>
          </w:tcPr>
          <w:p>
            <w:pPr>
              <w:jc w:val="right"/>
              <w:ind w:right="8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1,820</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90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Payment of principal on senior convertible notes through common stock issuance</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Receivable from at the market offering</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Common stock issuance to settle employee stock purchase plan liability</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40" w:type="dxa"/>
            <w:vAlign w:val="bottom"/>
          </w:tcPr>
          <w:p>
            <w:pPr>
              <w:ind w:left="260"/>
              <w:spacing w:after="0"/>
              <w:rPr>
                <w:sz w:val="20"/>
                <w:szCs w:val="20"/>
                <w:color w:val="auto"/>
              </w:rPr>
            </w:pPr>
            <w:r>
              <w:rPr>
                <w:rFonts w:ascii="Arial" w:cs="Arial" w:eastAsia="Arial" w:hAnsi="Arial"/>
                <w:sz w:val="16"/>
                <w:szCs w:val="16"/>
                <w:color w:val="auto"/>
              </w:rPr>
              <w:t>Payment of interest on senior convertible notes through common stock issuance</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 of right-of-use assets upon adoption of new lease guidance</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60"/>
              <w:spacing w:after="0"/>
              <w:rPr>
                <w:sz w:val="20"/>
                <w:szCs w:val="20"/>
                <w:color w:val="auto"/>
              </w:rPr>
            </w:pPr>
            <w:r>
              <w:rPr>
                <w:rFonts w:ascii="Arial" w:cs="Arial" w:eastAsia="Arial" w:hAnsi="Arial"/>
                <w:sz w:val="16"/>
                <w:szCs w:val="16"/>
                <w:color w:val="auto"/>
              </w:rPr>
              <w:t>Non-cash construction in progress and property and equipment</w:t>
            </w: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ind w:left="340" w:right="2660"/>
        <w:spacing w:after="0" w:line="266" w:lineRule="auto"/>
        <w:rPr>
          <w:sz w:val="20"/>
          <w:szCs w:val="20"/>
          <w:color w:val="auto"/>
        </w:rPr>
      </w:pPr>
      <w:r>
        <w:rPr>
          <w:rFonts w:ascii="Arial" w:cs="Arial" w:eastAsia="Arial" w:hAnsi="Arial"/>
          <w:sz w:val="18"/>
          <w:szCs w:val="18"/>
          <w:b w:val="1"/>
          <w:bCs w:val="1"/>
          <w:color w:val="auto"/>
        </w:rPr>
        <w:t>MANNKIND CORPORATION AND SUBSIDIARY NOTES TO CONDENSED CONSOLIDATED FINANCIAL STATEMENTS (Unaudited)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accompanying unaudited condensed consolidated financial statements of MannKind Corporation and its subsidiary (“MannKind,” the “Company,” “we” or “us”), have been prepared in accordance with generally accepted accounting principles in the United States of America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annual report on Form 10-K for the fiscal year ended December 31, 2019 filed with the SEC on February 25, 2020 (the “Annual Report”).</w:t>
      </w:r>
    </w:p>
    <w:p>
      <w:pPr>
        <w:spacing w:after="0" w:line="16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the opinion of management, all adjustments, consisting only of normal, recurring adjustments, considered necessary for a fair presentation of the results of these interim periods have been included. The results of operations for the three and six months ended June 30, 2020 may not be indicative of the results that may be expected for the full year.</w:t>
      </w:r>
    </w:p>
    <w:p>
      <w:pPr>
        <w:spacing w:after="0" w:line="184"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 xml:space="preserve">Financial Statement Estimates </w:t>
      </w:r>
      <w:r>
        <w:rPr>
          <w:rFonts w:ascii="Arial" w:cs="Arial" w:eastAsia="Arial" w:hAnsi="Arial"/>
          <w:sz w:val="16"/>
          <w:szCs w:val="16"/>
          <w:color w:val="auto"/>
        </w:rPr>
        <w:t>— The preparation of financial statements in conformity with GAAP requires management to make estimates and</w:t>
      </w:r>
      <w:r>
        <w:rPr>
          <w:rFonts w:ascii="Arial" w:cs="Arial" w:eastAsia="Arial" w:hAnsi="Arial"/>
          <w:sz w:val="16"/>
          <w:szCs w:val="16"/>
          <w:i w:val="1"/>
          <w:iCs w:val="1"/>
          <w:color w:val="auto"/>
        </w:rPr>
        <w:t xml:space="preserve"> </w:t>
      </w:r>
      <w:r>
        <w:rPr>
          <w:rFonts w:ascii="Arial" w:cs="Arial" w:eastAsia="Arial" w:hAnsi="Arial"/>
          <w:sz w:val="16"/>
          <w:szCs w:val="16"/>
          <w:color w:val="auto"/>
        </w:rPr>
        <w:t>assumptions that affect the amounts reported in the financial statements and accompanying notes. Actual results could differ from those estimates or assumptions. Management considers many factors in selecting appropriate financial accounting policies, and in developing the estimates and assumptions that are used in the preparation of the financial statements. Management must apply significant judgment in this process and the threat of the COVID-19 pandemic has increased the level of judgment used by management in developing these estimates and assumptions. The COVID-19 pandemic continues to rapidly evolve and the ultimate impact of the COVID-19 pandemic is highly uncertain and subject to change. These effects could have a material impact on the estimates and assumptions used in the preparation of the accompanying condensed consolidated financial statements. The more significant estimates include revenue recognition and gross-to-net adjustments, assessing long-lived assets for impairment, clinical trial expenses, inventory costing and recoverability, recognized loss on purchase commitment, milestone rights liability, stock-based compensation and the determination of the provision for income taxes and corresponding deferred tax assets and liabilities, and the valuation allowance recorded against net deferred tax assets.</w:t>
      </w:r>
    </w:p>
    <w:p>
      <w:pPr>
        <w:spacing w:after="0" w:line="168"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Business </w:t>
      </w:r>
      <w:r>
        <w:rPr>
          <w:rFonts w:ascii="Arial" w:cs="Arial" w:eastAsia="Arial" w:hAnsi="Arial"/>
          <w:sz w:val="16"/>
          <w:szCs w:val="16"/>
          <w:color w:val="auto"/>
        </w:rPr>
        <w:t>— The Company is a biopharmaceutical company focused on the development and commercialization of inhaled therapeutic products for diabetes</w:t>
      </w:r>
      <w:r>
        <w:rPr>
          <w:rFonts w:ascii="Arial" w:cs="Arial" w:eastAsia="Arial" w:hAnsi="Arial"/>
          <w:sz w:val="16"/>
          <w:szCs w:val="16"/>
          <w:i w:val="1"/>
          <w:iCs w:val="1"/>
          <w:color w:val="auto"/>
        </w:rPr>
        <w:t xml:space="preserve"> </w:t>
      </w:r>
      <w:r>
        <w:rPr>
          <w:rFonts w:ascii="Arial" w:cs="Arial" w:eastAsia="Arial" w:hAnsi="Arial"/>
          <w:sz w:val="16"/>
          <w:szCs w:val="16"/>
          <w:color w:val="auto"/>
        </w:rPr>
        <w:t>and orphan lung diseases, such as pulmonary arterial hypertension. The Company’s only approved product, Afrezza (insulin human) Inhalation Powder, is an ultra rapid-acting inhaled insulin that was approved by the U.S. Food and Drug Administration (the “FDA”) in June 2014 to improve glycemic control in adults with diabetes. Afrezza became available by prescription in United States retail pharmacies in February 2015. Currently, the Company promotes Afrezza to endocrinologists and certain high-prescribing primary care physicians in the United States through its specialty sales force.</w:t>
      </w:r>
    </w:p>
    <w:p>
      <w:pPr>
        <w:spacing w:after="0" w:line="16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partner in Brazil, Biomm S.A. (“Biomm”), commenced commercialization of Afrezza in January 2020. The Company’s partners in India and Australia are preparing for regulatory submissions and have not yet commenced commercialization in their respective territories.</w:t>
      </w:r>
    </w:p>
    <w:p>
      <w:pPr>
        <w:spacing w:after="0" w:line="14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accompanying condensed consolidated financial statements have been prepared assuming that the Company will continue as a</w:t>
      </w:r>
      <w:r>
        <w:rPr>
          <w:rFonts w:ascii="Arial" w:cs="Arial" w:eastAsia="Arial" w:hAnsi="Arial"/>
          <w:sz w:val="18"/>
          <w:szCs w:val="18"/>
          <w:i w:val="1"/>
          <w:iCs w:val="1"/>
          <w:color w:val="auto"/>
        </w:rPr>
        <w:t xml:space="preserve"> </w:t>
      </w:r>
      <w:r>
        <w:rPr>
          <w:rFonts w:ascii="Arial" w:cs="Arial" w:eastAsia="Arial" w:hAnsi="Arial"/>
          <w:sz w:val="18"/>
          <w:szCs w:val="18"/>
          <w:color w:val="auto"/>
        </w:rPr>
        <w:t>going concern, which contemplates the realization of assets and satisfaction of liabilities in the normal course of business.</w:t>
      </w:r>
    </w:p>
    <w:p>
      <w:pPr>
        <w:spacing w:after="0" w:line="17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is not currently profitable and has rarely generated positive net cash flow from operations. In addition, the Company expects to continue to incur significant expenditures for the foreseeable future in support of its manufacturing operations, sales and marketing costs for Afrezza, and development costs for product candidates in the Company’s pipeline. As of June 30, 2020, the Company had an accumulated deficit of $3.0 billion and $122.6 million of total principal amount of outstanding borrowings, with limited capital resources of $63.2 million in cash and cash equivalents. These financial conditions raise substantial doubt about the Company’s ability to continue as a going concern.</w:t>
      </w:r>
    </w:p>
    <w:p>
      <w:pPr>
        <w:spacing w:after="0" w:line="1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In August 2019, the Company and its wholly owned subsidiary, MannKind LLC, entered into a credit and security agreement with MidCap Financial Trust (as amended, the “MidCap Credit Facility”) to restructure its existing debts and to provide additional operating capital (the “recapitalization”) (Refer to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further details). The MidCap Credit Facility provides a secured term loan facility with an aggregate principal amount of up to $65.0 million, of which $40.0 million was outstanding as of June 30, 2020 and December 31, 2019. The availability of the remaining $25.0 million will be available to the Company until June 30, 2021, subject to the satisfaction of certain milestone conditions associated with Afrezza net revenue and certain milestone conditions related to the Company’s collaboration with United Therapeutics (see Note 7 – </w:t>
      </w:r>
      <w:r>
        <w:rPr>
          <w:rFonts w:ascii="Arial" w:cs="Arial" w:eastAsia="Arial" w:hAnsi="Arial"/>
          <w:sz w:val="18"/>
          <w:szCs w:val="18"/>
          <w:i w:val="1"/>
          <w:iCs w:val="1"/>
          <w:color w:val="auto"/>
        </w:rPr>
        <w:t>Collaboration and Licensing Arrangements</w:t>
      </w:r>
      <w:r>
        <w:rPr>
          <w:rFonts w:ascii="Arial" w:cs="Arial" w:eastAsia="Arial" w:hAnsi="Arial"/>
          <w:sz w:val="18"/>
          <w:szCs w:val="18"/>
          <w:color w:val="auto"/>
        </w:rPr>
        <w:t xml:space="preserve"> for more information on the collaboration agreement with United Therapeutics). The MidCap Credit Facility also provided for up to $10.0 million in borrowings until April 15, 2020, subject to the Company achieving Afrezza net revenue of at least $30.0 million on a trailing twelve month basis by that date (which was not achieved).</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 w:name="page9"/>
    <w:bookmarkEnd w:id="8"/>
    <w:p>
      <w:pPr>
        <w:ind w:right="140"/>
        <w:spacing w:after="0" w:line="263" w:lineRule="auto"/>
        <w:rPr>
          <w:sz w:val="20"/>
          <w:szCs w:val="20"/>
          <w:color w:val="auto"/>
        </w:rPr>
      </w:pPr>
      <w:r>
        <w:rPr>
          <w:rFonts w:ascii="Arial" w:cs="Arial" w:eastAsia="Arial" w:hAnsi="Arial"/>
          <w:sz w:val="18"/>
          <w:szCs w:val="18"/>
          <w:color w:val="auto"/>
        </w:rPr>
        <w:t>Principal payments on the MidCap Credit Facility begin in September 2021. In addition, the MidCap Credit Facility contains certain covenants, one of which includes a requirement to maintain a minimum of $15.0 million of unrestricted cash and cash equivalents at all times. This amount will increase to $20.0 million if the Company draws additional funding under the MidCap Credit Facility.</w:t>
      </w:r>
    </w:p>
    <w:p>
      <w:pPr>
        <w:spacing w:after="0" w:line="18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capital resources may not be sufficient to continue to meet its current and anticipated obligations over the next twelve months if the Company cannot increase its operating cash inflows by growing revenue or obtaining access to the remaining $25.0 million in borrowings that may become available under its MidCap Credit Facility. In the event these capital resources are not sufficient, the Company may need to raise additional capital by selling equity or debt securities, entering into strategic business collaboration agreements with other companies, seeking other funding facilities, or licensing arrangements, selling assets or by other means. However, the Company cannot provide assurances that additional capital will be available on acceptable terms or at all.</w:t>
      </w:r>
    </w:p>
    <w:p>
      <w:pPr>
        <w:spacing w:after="0" w:line="19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If the Company is unable to meet its current and anticipated obligations over the next twelve months through its existing capital resources, or obtain new sources of capital when needed, the Company may have to reduce the scope of its commercial operations, reduce or eliminate one or more of its development programs, or make significant changes to its operating plan. These factors raise substantial doubt about the Company’s ability to continue as a going concern. The accompanying financial statements do not include any adjustments that might result from the outcome of this uncertainty.</w:t>
      </w:r>
    </w:p>
    <w:p>
      <w:pPr>
        <w:spacing w:after="0" w:line="15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condensed consolidated financial statements include the accounts of the Company and its wholly-owned subsidiary.</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balances and transactions have been eliminated. Certain prior year amounts have been reclassified for consistency with the current year presentation. These reclassifications had no effect on the reported condensed consolidated balance sheets or statements of operations. An adjustment has been made to the condensed consolidated statements of stockholder’s deficit as of June 30, 2019 and March 31, 2019 to combine the exercise of stock options and the issuance of common stock from the release of restricted stock units (“RSUs”).</w:t>
      </w:r>
    </w:p>
    <w:p>
      <w:pPr>
        <w:spacing w:after="0" w:line="17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Segment Information </w:t>
      </w:r>
      <w:r>
        <w:rPr>
          <w:rFonts w:ascii="Arial" w:cs="Arial" w:eastAsia="Arial" w:hAnsi="Arial"/>
          <w:sz w:val="17"/>
          <w:szCs w:val="17"/>
          <w:color w:val="auto"/>
        </w:rPr>
        <w:t>— Operating segments are identified as components of an enterprise about which separate discrete financial information is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for evaluation by the chief operating decision-maker in making decisions regarding resource allocation and assessing performance. To date, the Company has viewed its operations and manages its business as one segment operating in the United States of America.</w:t>
      </w:r>
    </w:p>
    <w:p>
      <w:pPr>
        <w:spacing w:after="0" w:line="16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 The Company adopted Accounting Standards Codification (“ASC”) Topic 606 -</w:t>
      </w:r>
      <w:r>
        <w:rPr>
          <w:rFonts w:ascii="Arial" w:cs="Arial" w:eastAsia="Arial" w:hAnsi="Arial"/>
          <w:sz w:val="16"/>
          <w:szCs w:val="16"/>
          <w:i w:val="1"/>
          <w:iCs w:val="1"/>
          <w:color w:val="auto"/>
        </w:rPr>
        <w:t xml:space="preserve"> Revenue from Contracts with Customers </w:t>
      </w:r>
      <w:r>
        <w:rPr>
          <w:rFonts w:ascii="Arial" w:cs="Arial" w:eastAsia="Arial" w:hAnsi="Arial"/>
          <w:sz w:val="16"/>
          <w:szCs w:val="16"/>
          <w:color w:val="auto"/>
        </w:rPr>
        <w:t>(“the</w:t>
      </w:r>
      <w:r>
        <w:rPr>
          <w:rFonts w:ascii="Arial" w:cs="Arial" w:eastAsia="Arial" w:hAnsi="Arial"/>
          <w:sz w:val="16"/>
          <w:szCs w:val="16"/>
          <w:i w:val="1"/>
          <w:iCs w:val="1"/>
          <w:color w:val="auto"/>
        </w:rPr>
        <w:t xml:space="preserve"> </w:t>
      </w:r>
      <w:r>
        <w:rPr>
          <w:rFonts w:ascii="Arial" w:cs="Arial" w:eastAsia="Arial" w:hAnsi="Arial"/>
          <w:sz w:val="16"/>
          <w:szCs w:val="16"/>
          <w:color w:val="auto"/>
        </w:rPr>
        <w:t>new revenue guidance”), on January 1, 2018. Under Topic 606, the Company recognizes revenue when its customers obtain control of promised goods or services, in an amount that reflects the consideration which the Company expects to be entitled in exchange for those goods or services.</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To determine revenue recognition for arrangements that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arrangements that meet the definition of a contract under Topic 606, including when it is probable that the entity will collect the consideration it is entitled to in exchange for the goods or services it transfers to the customer.</w:t>
      </w:r>
    </w:p>
    <w:p>
      <w:pPr>
        <w:spacing w:after="0" w:line="1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At contract inception, once the contract is determined to be within the scope of Topic 606, the Company assesses the goods or services promised within each contract, determines those that are performance obligations, and assesses whether each promised good or service is distinct. The Company has two types of contracts with customers: (i) contracts for commercial product sales with wholesale distributors and specialty pharmacies and (ii) collaboration arrangements.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 xml:space="preserve">Revenue Recognition – Net Revenue – Commercial Product Sales – </w:t>
      </w:r>
      <w:r>
        <w:rPr>
          <w:rFonts w:ascii="Arial" w:cs="Arial" w:eastAsia="Arial" w:hAnsi="Arial"/>
          <w:sz w:val="18"/>
          <w:szCs w:val="18"/>
          <w:color w:val="auto"/>
        </w:rPr>
        <w:t>The Company sells Afrezza to a limited number of wholesale distributors and specialty</w:t>
      </w:r>
      <w:r>
        <w:rPr>
          <w:rFonts w:ascii="Arial" w:cs="Arial" w:eastAsia="Arial" w:hAnsi="Arial"/>
          <w:sz w:val="18"/>
          <w:szCs w:val="18"/>
          <w:i w:val="1"/>
          <w:iCs w:val="1"/>
          <w:color w:val="auto"/>
        </w:rPr>
        <w:t xml:space="preserve"> </w:t>
      </w:r>
      <w:r>
        <w:rPr>
          <w:rFonts w:ascii="Arial" w:cs="Arial" w:eastAsia="Arial" w:hAnsi="Arial"/>
          <w:sz w:val="18"/>
          <w:szCs w:val="18"/>
          <w:color w:val="auto"/>
        </w:rPr>
        <w:t>pharmacies in the U.S. (collectively, its “Customers”). Wholesale distributors subsequently resell the Company’s products to retail pharmacies and certain medical centers or hospitals. Specialty pharmacies sell directly to patients. In addition to distribution agreements with Customers, the Company enters into arrangements with payors that provide for government mandated and/or privately negotiated rebates, chargebacks, and discounts with respect to the purchase of the Company’s products.</w:t>
      </w:r>
    </w:p>
    <w:p>
      <w:pPr>
        <w:spacing w:after="0" w:line="18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recognizes revenue on product sales when the Customer obtains control of the Company's product, which occurs at delivery for wholesale distributors and generally at delivery for specialty pharmacies. Product revenues are recorded net of applicable reserves for variable consideration, including discounts and allowances.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ind w:right="40"/>
        <w:spacing w:after="0" w:line="263" w:lineRule="auto"/>
        <w:rPr>
          <w:sz w:val="20"/>
          <w:szCs w:val="20"/>
          <w:color w:val="auto"/>
        </w:rPr>
      </w:pPr>
      <w:r>
        <w:rPr>
          <w:rFonts w:ascii="Arial" w:cs="Arial" w:eastAsia="Arial" w:hAnsi="Arial"/>
          <w:sz w:val="18"/>
          <w:szCs w:val="18"/>
          <w:i w:val="1"/>
          <w:iCs w:val="1"/>
          <w:color w:val="auto"/>
        </w:rPr>
        <w:t xml:space="preserve">Free Goods Program – </w:t>
      </w:r>
      <w:r>
        <w:rPr>
          <w:rFonts w:ascii="Arial" w:cs="Arial" w:eastAsia="Arial" w:hAnsi="Arial"/>
          <w:sz w:val="18"/>
          <w:szCs w:val="18"/>
          <w:color w:val="auto"/>
        </w:rPr>
        <w:t>From time to time, the Company offers programs to potential new patients that allow them to obtain free goods (prescription fills)</w:t>
      </w:r>
      <w:r>
        <w:rPr>
          <w:rFonts w:ascii="Arial" w:cs="Arial" w:eastAsia="Arial" w:hAnsi="Arial"/>
          <w:sz w:val="18"/>
          <w:szCs w:val="18"/>
          <w:i w:val="1"/>
          <w:iCs w:val="1"/>
          <w:color w:val="auto"/>
        </w:rPr>
        <w:t xml:space="preserve"> </w:t>
      </w:r>
      <w:r>
        <w:rPr>
          <w:rFonts w:ascii="Arial" w:cs="Arial" w:eastAsia="Arial" w:hAnsi="Arial"/>
          <w:sz w:val="18"/>
          <w:szCs w:val="18"/>
          <w:color w:val="auto"/>
        </w:rPr>
        <w:t>from a pharmacy. The Company excludes such amounts related to these programs from both gross and net revenue. The cost of product associated with the free goods program is included in cost of goods sold.</w:t>
      </w:r>
    </w:p>
    <w:p>
      <w:pPr>
        <w:spacing w:after="0" w:line="184"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i w:val="1"/>
          <w:iCs w:val="1"/>
          <w:color w:val="auto"/>
        </w:rPr>
        <w:t xml:space="preserve">Reserves for Variable Consideration </w:t>
      </w:r>
      <w:r>
        <w:rPr>
          <w:rFonts w:ascii="Arial" w:cs="Arial" w:eastAsia="Arial" w:hAnsi="Arial"/>
          <w:sz w:val="16"/>
          <w:szCs w:val="16"/>
          <w:color w:val="auto"/>
        </w:rPr>
        <w:t>— Revenues from product sales are recorded at the net sales price (transaction price), which includes estimates of</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consideration for which reserves are established. Components of variable consideration include trade discounts and allowances, product returns, provider chargebacks and discounts, government rebates, payor rebates, and other incentives, such as voluntary patient assistance, and other allowances that are offered within contracts between the Company and its Customers, payors, and other indirect customers relating to the Company’s sale of its products. These reserves, as further detailed below, are based on the amounts earned, or to be claimed on the related sales, and result in a reduction of accounts receivable or establishment of a current liability. Significant judgments are required in making these estimates.</w:t>
      </w:r>
    </w:p>
    <w:p>
      <w:pPr>
        <w:spacing w:after="0" w:line="16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in accordance with the expected value method in Topic 606 for relevant factors such as current contractual and statutory requirements, specific known market events and trends, industry data, and forecasted customer buying and payment patterns. Overall, these reserves reduce recognized revenue to the Company’s best estimates of the amount of consideration to which it is entitled based on the terms of the respective underlying contracts.</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 The Company’s analysis also contemplates application of the constraint in accordance with the guidance, under which it determined a material reversal of revenue would not occur in a future period for the estimates detailed below as of June 30, 2020 and, therefore, the transaction price was not reduced further during the three and six months ended June 30, 2020. Actual amounts of consideration ultimately received may differ from the Company’s estimates. If actual results in the future vary from the Company’s estimates, the Company will adjust these estimates, which would affect net revenue — commercial product sales and earnings in the period such variances become known.</w:t>
      </w:r>
    </w:p>
    <w:p>
      <w:pPr>
        <w:spacing w:after="0" w:line="17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i w:val="1"/>
          <w:iCs w:val="1"/>
          <w:color w:val="auto"/>
        </w:rPr>
        <w:t xml:space="preserve">Trade Discounts and Allowances </w:t>
      </w:r>
      <w:r>
        <w:rPr>
          <w:rFonts w:ascii="Arial" w:cs="Arial" w:eastAsia="Arial" w:hAnsi="Arial"/>
          <w:sz w:val="16"/>
          <w:szCs w:val="16"/>
          <w:color w:val="auto"/>
        </w:rPr>
        <w:t>— The Company generally provides Customers with discounts which include incentives, such as prompt pay discounts,</w:t>
      </w:r>
      <w:r>
        <w:rPr>
          <w:rFonts w:ascii="Arial" w:cs="Arial" w:eastAsia="Arial" w:hAnsi="Arial"/>
          <w:sz w:val="16"/>
          <w:szCs w:val="16"/>
          <w:i w:val="1"/>
          <w:iCs w:val="1"/>
          <w:color w:val="auto"/>
        </w:rPr>
        <w:t xml:space="preserve"> </w:t>
      </w:r>
      <w:r>
        <w:rPr>
          <w:rFonts w:ascii="Arial" w:cs="Arial" w:eastAsia="Arial" w:hAnsi="Arial"/>
          <w:sz w:val="16"/>
          <w:szCs w:val="16"/>
          <w:color w:val="auto"/>
        </w:rPr>
        <w:t>that are explicitly stated in the Company’s contracts and are recorded as a reduction of revenue in the period the related product revenue is recognized. In addition, the Company compensates (through trade discounts and allowances) its Customers for sales order management, data, and distribution services.</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However, the Company has determined such services received to date are not distinct from the Company’s sale of products to the Customer and, therefore, these payments have been recorded as a reduction of revenue and as a reduction to accounts receivable, net.</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 Consistent with industry practice, the Company generally offers Customers a right of return for unopened product that has been</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purchased from the Company for a period beginning six months prior to and ending 12 months after its expiration date, which lapses upon shipment to a patient. The Company estimates the amount of its product sales that may be returned by its Customers and records this estimate as a reduction of revenue in the period the related product revenue is recognized, as well as reductions to accounts receivable, net. The Company currently estimates product returns using available industry data and its own sales information, including its visibility into the inventory remaining in the distribution channel. The Company’s current return reserve percentage is estimated to be in the single-digits. Adjustments to the returns reserve have been made in the past and may be necessary in the future based on revised estimates to our assumptions.</w:t>
      </w:r>
    </w:p>
    <w:p>
      <w:pPr>
        <w:spacing w:after="0" w:line="177"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Provider Chargebacks and Discounts </w:t>
      </w:r>
      <w:r>
        <w:rPr>
          <w:rFonts w:ascii="Arial" w:cs="Arial" w:eastAsia="Arial" w:hAnsi="Arial"/>
          <w:sz w:val="16"/>
          <w:szCs w:val="16"/>
          <w:color w:val="auto"/>
        </w:rPr>
        <w:t>— Chargebacks for fees and discounts to providers represent the estimated obligations resulting from contractual</w:t>
      </w:r>
      <w:r>
        <w:rPr>
          <w:rFonts w:ascii="Arial" w:cs="Arial" w:eastAsia="Arial" w:hAnsi="Arial"/>
          <w:sz w:val="16"/>
          <w:szCs w:val="16"/>
          <w:i w:val="1"/>
          <w:iCs w:val="1"/>
          <w:color w:val="auto"/>
        </w:rPr>
        <w:t xml:space="preserve"> </w:t>
      </w:r>
      <w:r>
        <w:rPr>
          <w:rFonts w:ascii="Arial" w:cs="Arial" w:eastAsia="Arial" w:hAnsi="Arial"/>
          <w:sz w:val="16"/>
          <w:szCs w:val="16"/>
          <w:color w:val="auto"/>
        </w:rPr>
        <w:t>commitments to sell products to qualified healthcare providers at prices lower than the list prices charged to Customers who directly purchase the product from the Company.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and the establishment of a current liability that is recorded in accrued expenses and other current liabilities. Chargeback amounts are generally determined at the time of resale to the qualified healthcare provider by Customers, and the Company generally issues credits for such amounts within a few weeks of the Customer’s notification to the Company of the resale. Reserves for chargebacks consist of credits that the Company expects to issue for units that remain in the distribution channel inventories at each reporting period-end that the Company expects will be sold to qualified healthcare providers, and chargebacks that Customers have claimed, but for which the Company has not yet issued a credit.</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i w:val="1"/>
          <w:iCs w:val="1"/>
          <w:color w:val="auto"/>
        </w:rPr>
        <w:t xml:space="preserve">Government Rebates </w:t>
      </w:r>
      <w:r>
        <w:rPr>
          <w:rFonts w:ascii="Arial" w:cs="Arial" w:eastAsia="Arial" w:hAnsi="Arial"/>
          <w:sz w:val="18"/>
          <w:szCs w:val="18"/>
          <w:color w:val="auto"/>
        </w:rPr>
        <w:t>— The Company is subject to discount obligations under Medicare and state Medicaid programs. These reserves are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the related revenue is recognized, resulting in a reduction of product revenue and the establishment of a current liability that is included in accrued expenses and other current liabilities. Estimates around Medicaid have historically required significant judgement due to timing lags in receiving invoices for claims from states. For Medicare, the Company also estimates the number of patients in the prescription drug coverage gap for whom the Company will owe an additional liability under the Medicare Part D program. The Company’s liability for these rebates consists of invoices received for claims from prior quarters that have not been paid or for which an invoice has not yet been received, estimates of claims for the current quarter, and estimated future claims that will be made for product that has been recognized as revenue, but which remains in the distribution channel inventories at the end of each reporting period.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0" w:name="page11"/>
    <w:bookmarkEnd w:id="10"/>
    <w:p>
      <w:pPr>
        <w:ind w:right="40"/>
        <w:spacing w:after="0" w:line="301" w:lineRule="auto"/>
        <w:rPr>
          <w:sz w:val="20"/>
          <w:szCs w:val="20"/>
          <w:color w:val="auto"/>
        </w:rPr>
      </w:pPr>
      <w:r>
        <w:rPr>
          <w:rFonts w:ascii="Arial" w:cs="Arial" w:eastAsia="Arial" w:hAnsi="Arial"/>
          <w:sz w:val="16"/>
          <w:szCs w:val="16"/>
          <w:i w:val="1"/>
          <w:iCs w:val="1"/>
          <w:color w:val="auto"/>
        </w:rPr>
        <w:t xml:space="preserve">Payor Rebates </w:t>
      </w:r>
      <w:r>
        <w:rPr>
          <w:rFonts w:ascii="Arial" w:cs="Arial" w:eastAsia="Arial" w:hAnsi="Arial"/>
          <w:sz w:val="16"/>
          <w:szCs w:val="16"/>
          <w:color w:val="auto"/>
        </w:rPr>
        <w:t>— The Company contracts with certain private payor organizations, primarily insurance companies and pharmacy benefit managers,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of rebates with respect to utilization of its products. The Company estimates these rebates, including estimates for product that has been recognized as revenue, but which remains in the distribution channel, and records such estimates in the same period the related revenue is recognized, resulting in a reduction of product revenue and the establishment of a current liability which is included in accrued expenses and other current liabilities.</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Other Incentives </w:t>
      </w:r>
      <w:r>
        <w:rPr>
          <w:rFonts w:ascii="Arial" w:cs="Arial" w:eastAsia="Arial" w:hAnsi="Arial"/>
          <w:sz w:val="17"/>
          <w:szCs w:val="17"/>
          <w:color w:val="auto"/>
        </w:rPr>
        <w:t>— Other incentives which the Company offers include voluntary patient support programs, such as the Company's co-pay assistance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which are intended to provide financial assistance to qualified commercially-insured patients with prescription drug co-payments required by payors. The calculation of the accrual for co-pay assistance is based on an estimate of claims and the cost per claim that the Company expects to receive associated with the product that has been recognized as revenue, but remains in the distribution channel inventories at the end of each reporting period. The adjustments are recorded in the same period the related revenue is recognized, resulting in a reduction of product revenue and the establishment of a current liability that is included in accrued expenses and other current liabilities.</w:t>
      </w:r>
    </w:p>
    <w:p>
      <w:pPr>
        <w:spacing w:after="0" w:line="17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i w:val="1"/>
          <w:iCs w:val="1"/>
          <w:color w:val="auto"/>
        </w:rPr>
        <w:t xml:space="preserve">Revenue Recognition — Revenue — Collaborations and Services </w:t>
      </w:r>
      <w:r>
        <w:rPr>
          <w:rFonts w:ascii="Arial" w:cs="Arial" w:eastAsia="Arial" w:hAnsi="Arial"/>
          <w:sz w:val="17"/>
          <w:szCs w:val="17"/>
          <w:color w:val="auto"/>
        </w:rPr>
        <w:t>— The Company enters into licensing or research agreements under which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licenses certain rights to its product candidates to third parties or conducting research services to third parties. The terms of these arrangements may include, but are not limited to payment to the Company of one or more of the following: up-front license fees; development, regulatory, and commercial milestone payments; payments for manufacturing commercial and clinical supply services the Company provides; and royalties on net sales of licensed products and sublicenses of the rights. As part of the accounting for these arrangements, the Company must develop assumptions that require judgment such as determining the performance obligation in the contract and determining the stand-alone selling price for each performance obligation identified in the contract. If an arrangement has multiple performance obligations, the allocation of the transaction price is determined from observable market inputs, and the Company uses key assumptions to determine the stand-alone selling price, which may include development timelines, reimbursement rates for personnel costs, discount rates, and probabilities of technical and regulatory success. Revenue is recognized based on the measurement of progress as the performance obligation is satisfied and consideration received that does not meet the requirements to satisfy the revenue recognition criteria is recorded as deferred revenue. Current deferred revenue consists of amounts that are expected to be recognized as revenue in the next 12 months. Amounts that the Company expects will not be recognized within the next 12 months are classified as long-term deferred revenue. For further information see Note 7 – </w:t>
      </w:r>
      <w:r>
        <w:rPr>
          <w:rFonts w:ascii="Arial" w:cs="Arial" w:eastAsia="Arial" w:hAnsi="Arial"/>
          <w:sz w:val="17"/>
          <w:szCs w:val="17"/>
          <w:i w:val="1"/>
          <w:iCs w:val="1"/>
          <w:color w:val="auto"/>
        </w:rPr>
        <w:t>Collaboration and Licensing Arrangements</w:t>
      </w:r>
      <w:r>
        <w:rPr>
          <w:rFonts w:ascii="Arial" w:cs="Arial" w:eastAsia="Arial" w:hAnsi="Arial"/>
          <w:sz w:val="17"/>
          <w:szCs w:val="17"/>
          <w:color w:val="auto"/>
        </w:rPr>
        <w:t>.</w:t>
      </w:r>
    </w:p>
    <w:p>
      <w:pPr>
        <w:spacing w:after="0" w:line="18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recognizes upfront license payments as revenue upon delivery of the license only if the license is determined to be a separate unit of accounting from the other undelivered performance obligations. The undelivered performance obligations typically include manufacturing or development services or research and/or steering committee services. If the license is not considered as a distinct performance obligation, then the license and other undelivered performance obligations would be evaluated to determine if such should be accounted for as a single unit of accounting. If concluded to be a single performance obligation, the transaction price for the single performance obligation is recognized as revenue over the estimated period of when the performance obligation is satisfied.</w:t>
      </w:r>
    </w:p>
    <w:p>
      <w:pPr>
        <w:spacing w:after="0" w:line="19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Whenever the Company determines that an arrangement should be accounted for over time, the Company determines the period over which the performance obligations will be performed, and revenue will be recognized over the period the Company is expected to complete its performance obligations. Significant management judgment is required in determining the level of effort required under an arrangement and the period over which the Company is expected to complete its performance obligations under an arrangement.</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Company’s collaboration agreements typically entitle the Company to additional payments upon the achievement of development, regulatory and sales milestones. If the achievement of a milestone is considered probable at the inception of the collaboration, the related milestone payment is included with other collaboration consideration, such as upfront fees and research funding, in the Company’s revenue calculation. If these milestones are not considered probable at the inception of the collaboration, the milestones will typically be recognized in one of two ways depending on the timing of when the milestone is achieved. If the milestone is improbable at inception and subsequently deemed probable of achievement, such will be added to the transaction price, resulting in a cumulative adjustment to revenue. If the milestone is achieved after the performance period has completed and all performance obligations have been delivered, the Company will recognize the milestone payment as revenue in its entirety in the period the milestone was achieved.</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Company’s collaborative agreements, for accounting purposes, represent contracts with customers and therefore are not subject to accounting literature on collaborative agreements. The Company grants licenses to its intellectual property, supplies raw materials or finished goods and provides research and development services, all of which are outputs of the Company’s ongoing activities, in exchange for consideration. The Company does not develop assets jointly with collaboration partners, and does not share in significant risks of their development or commercialization activities. Accordingly, the Company concluded that its collaborative agreements must be accounted for pursuant to Topic 606, Revenue from Contracts with Customers.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color w:val="auto"/>
        </w:rPr>
        <w:t>For collaboration agreements that allow collaboration partners to select additional optioned products or services, the Company evaluates whether such options contain material rights (i.e., have exercise prices that are discounted compared to what the Company would charge for a similar product or service to a new collaboration partner). The exercise price of these options includes a combination of licensing fees, event-based milestone payments and royalties. When these amounts in aggregate are not offered at a discount that exceeds discounts available to other customers, the Company concludes the option does not contain a material right, and therefore is not included in the transaction price at contract inception. Rather, the Company evaluates grants of additional licensing rights upon option exercises to determine whether such should be accounted for as separate contracts. The Company concluded there is no material right in these options.</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follows detailed accounting guidance in measuring revenue and certain judgments affect the application of its revenue policy. For example, in connection with its existing collaboration agreements, the Company has recorded on its condensed consolidated balance sheets short-term and long-term deferred revenue based on its best estimate of when such revenue will be recognized. Short-term deferred revenue consists of amounts that are expected to be recognized as revenue in the next 12 months. Amounts that the Company expects will not be recognized within the next 12 months are classified as long-term deferred revenue. However, this estimate is based on the Company’s current project development plan and, if the development plan should change in the future, the Company may recognize a different amount of deferred revenue over the next 12-month period.</w:t>
      </w:r>
    </w:p>
    <w:p>
      <w:pPr>
        <w:spacing w:after="0" w:line="16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each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customer, such as regulatory approvals, are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will re-evaluate the probability of achievement of such development milestones and any related constraint, and if necessary, adjusts its estimate of the overall transaction price. Any such adjustments are recorded on a cumulative catch-up basis, which would affect license, collaboration, other revenue, and earnings in the period of adjustment.</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i w:val="1"/>
          <w:iCs w:val="1"/>
          <w:color w:val="auto"/>
        </w:rPr>
        <w:t xml:space="preserve">Paycheck Protection Program Loan </w:t>
      </w:r>
      <w:r>
        <w:rPr>
          <w:rFonts w:ascii="Arial" w:cs="Arial" w:eastAsia="Arial" w:hAnsi="Arial"/>
          <w:sz w:val="17"/>
          <w:szCs w:val="17"/>
          <w:color w:val="auto"/>
        </w:rPr>
        <w:t>— On April 10, 2020, the Company received the proceeds from a loan in the amount of approximately $4.9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“PPP Loan”) from JPMorgan Chase Bank, N.A., as lender, pursuant to the Paycheck Protection Program (“PPP”) of the Coronavirus Aid, Relief, and Economic Security Act (the “CARES Act”). The Company accounted for the PPP Loan as a financial liability in accordance with Accounting Standards Codification (“ASC”) Topic 470 </w:t>
      </w:r>
      <w:r>
        <w:rPr>
          <w:rFonts w:ascii="Arial" w:cs="Arial" w:eastAsia="Arial" w:hAnsi="Arial"/>
          <w:sz w:val="17"/>
          <w:szCs w:val="17"/>
          <w:i w:val="1"/>
          <w:iCs w:val="1"/>
          <w:color w:val="auto"/>
        </w:rPr>
        <w:t>Debt</w:t>
      </w:r>
      <w:r>
        <w:rPr>
          <w:rFonts w:ascii="Arial" w:cs="Arial" w:eastAsia="Arial" w:hAnsi="Arial"/>
          <w:sz w:val="17"/>
          <w:szCs w:val="17"/>
          <w:color w:val="auto"/>
        </w:rPr>
        <w:t xml:space="preserve">. Accordingly, the PPP Loan was recognized as current and long-term debt in the Company’s consolidated balance sheets and is included as short-term note payable and PPP Loan — long term. In addition, a </w:t>
      </w:r>
      <w:r>
        <w:rPr>
          <w:rFonts w:ascii="Arial" w:cs="Arial" w:eastAsia="Arial" w:hAnsi="Arial"/>
          <w:sz w:val="17"/>
          <w:szCs w:val="17"/>
          <w:i w:val="1"/>
          <w:iCs w:val="1"/>
          <w:color w:val="auto"/>
        </w:rPr>
        <w:t>di minimis</w:t>
      </w:r>
      <w:r>
        <w:rPr>
          <w:rFonts w:ascii="Arial" w:cs="Arial" w:eastAsia="Arial" w:hAnsi="Arial"/>
          <w:sz w:val="17"/>
          <w:szCs w:val="17"/>
          <w:color w:val="auto"/>
        </w:rPr>
        <w:t xml:space="preserve"> amount of accrued interest is included in accrued expenses and other current liabilities.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additional information.</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Cost of Goods Sold </w:t>
      </w:r>
      <w:r>
        <w:rPr>
          <w:rFonts w:ascii="Arial" w:cs="Arial" w:eastAsia="Arial" w:hAnsi="Arial"/>
          <w:sz w:val="17"/>
          <w:szCs w:val="17"/>
          <w:color w:val="auto"/>
        </w:rPr>
        <w:t>— Cost of goods sold includes material, labor costs and manufacturing overhead. Cost of goods sold also includes a significant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component of current period manufacturing costs in excess of costs capitalized into inventory (excess capacity costs). These costs, in addition to the impact of the annual revaluation of inventory to standard costs, and write-offs of inventory are recorded as expenses in the period in which they are incurred, rather than as a portion of inventory costs. The cost of goods sold excludes the cost of insulin purchased under our Insulin Supply Agreement (see Note 11 –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All insulin inventory on hand was written off and the full purchase commitment contract to purchase future insulin was accrued as a recognized loss on purchase commitments as of the end of 2015.</w:t>
      </w:r>
    </w:p>
    <w:p>
      <w:pPr>
        <w:spacing w:after="0" w:line="178"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i w:val="1"/>
          <w:iCs w:val="1"/>
          <w:color w:val="auto"/>
        </w:rPr>
        <w:t xml:space="preserve">Cash and Cash Equivalents and Restricted Cash </w:t>
      </w:r>
      <w:r>
        <w:rPr>
          <w:rFonts w:ascii="Arial" w:cs="Arial" w:eastAsia="Arial" w:hAnsi="Arial"/>
          <w:sz w:val="17"/>
          <w:szCs w:val="17"/>
          <w:color w:val="auto"/>
        </w:rPr>
        <w:t>—The Company considers all highly liquid investments with original or remaining maturities of 90 days</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at the time of purchase, that are readily convertible into cash to be cash equivalents. As of June 30, 2020 and December 31, 2019, cash equivalents were comprised of money market accounts with maturities less than 90 days from the date of purchase.</w:t>
      </w:r>
    </w:p>
    <w:p>
      <w:pPr>
        <w:spacing w:after="0" w:line="16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Company records restricted cash when cash and cash equivalents are restricted as to withdrawal or usage. The Company presents amounts of restricted cash that will be available for use within 12 months of the reporting date as restricted cash in current assets. Restricted cash amounts that will not be available for use in the Company’s operations within 12 months of the reporting date are presented as restricted cash in long-term assets.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consolidated balance sheets that sum to amounts reported on the consolidated statement of cash flows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63,222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29,906</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cash, cash equivalents, and restricted cash</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63,538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30,222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—The Company’s short-term investments consist of U.S. Treasury securities stated at amortized cost that the Company intends to</w:t>
      </w:r>
      <w:r>
        <w:rPr>
          <w:rFonts w:ascii="Arial" w:cs="Arial" w:eastAsia="Arial" w:hAnsi="Arial"/>
          <w:sz w:val="18"/>
          <w:szCs w:val="18"/>
          <w:i w:val="1"/>
          <w:iCs w:val="1"/>
          <w:color w:val="auto"/>
        </w:rPr>
        <w:t xml:space="preserve"> </w:t>
      </w:r>
      <w:r>
        <w:rPr>
          <w:rFonts w:ascii="Arial" w:cs="Arial" w:eastAsia="Arial" w:hAnsi="Arial"/>
          <w:sz w:val="18"/>
          <w:szCs w:val="18"/>
          <w:color w:val="auto"/>
        </w:rPr>
        <w:t>hold until maturity. Those with maturities less than 12 months are included in short-term investments and any investments with maturities in excess of twelve months are included in long-term investments in our condensed consolidated balance sheets. As of June 30, 2020, the Company did not hold any short-term or long-term investments nor did it record any material gains or losses on investment securities during the three and six months ended June 30, 2020.</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Concentration of Credit Risk </w:t>
      </w:r>
      <w:r>
        <w:rPr>
          <w:rFonts w:ascii="Arial" w:cs="Arial" w:eastAsia="Arial" w:hAnsi="Arial"/>
          <w:sz w:val="18"/>
          <w:szCs w:val="18"/>
          <w:color w:val="auto"/>
        </w:rPr>
        <w:t>— Financial instruments that potentially subject the Company to concentration of credit risk consist of cash and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short-term investments. Cash and cash equivalents are held in high credit quality institutions. Cash equivalents consist of interest-bearing money market accounts and U.S. Treasury securities, which are regularly monitored by management.</w:t>
      </w:r>
    </w:p>
    <w:p>
      <w:pPr>
        <w:spacing w:after="0" w:line="184" w:lineRule="exact"/>
        <w:rPr>
          <w:sz w:val="20"/>
          <w:szCs w:val="20"/>
          <w:color w:val="auto"/>
        </w:rPr>
      </w:pPr>
    </w:p>
    <w:p>
      <w:pPr>
        <w:ind w:right="360"/>
        <w:spacing w:after="0" w:line="275" w:lineRule="auto"/>
        <w:rPr>
          <w:sz w:val="20"/>
          <w:szCs w:val="20"/>
          <w:color w:val="auto"/>
        </w:rPr>
      </w:pPr>
      <w:r>
        <w:rPr>
          <w:rFonts w:ascii="Arial" w:cs="Arial" w:eastAsia="Arial" w:hAnsi="Arial"/>
          <w:sz w:val="17"/>
          <w:szCs w:val="17"/>
          <w:i w:val="1"/>
          <w:iCs w:val="1"/>
          <w:color w:val="auto"/>
        </w:rPr>
        <w:t xml:space="preserve">Accounts Receivable and Allowance for Doubtful Accounts </w:t>
      </w:r>
      <w:r>
        <w:rPr>
          <w:rFonts w:ascii="Arial" w:cs="Arial" w:eastAsia="Arial" w:hAnsi="Arial"/>
          <w:sz w:val="17"/>
          <w:szCs w:val="17"/>
          <w:color w:val="auto"/>
        </w:rPr>
        <w:t>— Accounts receivable are recorded at the invoiced amount and are not interest bearing.</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receivable are presented net of an allowance for doubtful accounts if there are estimated losses resulting from the inability of its customers to make required payments. The Company makes ongoing assumptions relating to the collectability of its accounts receivable in its calculation of the allowance for doubtful accounts. Accounts receivable are also presented net of an allowance for product returns and trade discounts and allowances because the Company’s customers have the right of setoff for these amounts against the related accounts receivable.</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 xml:space="preserve">Pre-Launch Inventory </w:t>
      </w:r>
      <w:r>
        <w:rPr>
          <w:rFonts w:ascii="Arial" w:cs="Arial" w:eastAsia="Arial" w:hAnsi="Arial"/>
          <w:sz w:val="17"/>
          <w:szCs w:val="17"/>
          <w:color w:val="auto"/>
        </w:rPr>
        <w:t>— An improvement to the manufacturing process for the Company’s primary excipient FDKP was demonstrated to be viable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expects to realize an economic benefit in the future as a result of such process improvement. Accordingly, the Company is required to assess whether to capitalize inventory costs related to such excipient prior to regulatory approval of the new supplier and the improved manufacturing process. In doing so, management must consider a number of factors in order to determine the amount of inventory to be capitalized, including the historical experience of achieving regulatory approvals for the Company’s manufacturing process, feedback from regulatory agencies on the changes being effected and the amount of inventory that is likely to be used in commercial production. The shelf life of the excipient will be determined as part of the regulatory approval process; in the interim, the Company must assess the available stability data to determine whether there is likely to be adequate shelf life to support anticipated future sales occurring beyond the expected approval date of the new raw material. If management is aware of any specific material risks or contingencies other than the normal regulatory review and approval process, or if the criteria for capitalizing inventory produced prior to regulatory approval are otherwise not met, the Company would not capitalize such inventory costs, choosing instead to recognize such costs as a research and development expense in the period incurred.</w:t>
      </w:r>
    </w:p>
    <w:p>
      <w:pPr>
        <w:spacing w:after="0" w:line="18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 xml:space="preserve">Inventories </w:t>
      </w:r>
      <w:r>
        <w:rPr>
          <w:rFonts w:ascii="Arial" w:cs="Arial" w:eastAsia="Arial" w:hAnsi="Arial"/>
          <w:sz w:val="16"/>
          <w:szCs w:val="16"/>
          <w:color w:val="auto"/>
        </w:rPr>
        <w:t>— Inventories are stated at the lower of cost or net realizable value. The Company determines the cost of inventory using the first-in, first-out,</w:t>
      </w:r>
      <w:r>
        <w:rPr>
          <w:rFonts w:ascii="Arial" w:cs="Arial" w:eastAsia="Arial" w:hAnsi="Arial"/>
          <w:sz w:val="16"/>
          <w:szCs w:val="16"/>
          <w:i w:val="1"/>
          <w:iCs w:val="1"/>
          <w:color w:val="auto"/>
        </w:rPr>
        <w:t xml:space="preserve"> </w:t>
      </w:r>
      <w:r>
        <w:rPr>
          <w:rFonts w:ascii="Arial" w:cs="Arial" w:eastAsia="Arial" w:hAnsi="Arial"/>
          <w:sz w:val="16"/>
          <w:szCs w:val="16"/>
          <w:color w:val="auto"/>
        </w:rPr>
        <w:t>or FIFO, method. The Company capitalizes inventory costs associated with the Company’s products based on management’s judgment that future economic benefits are expected to be realized; otherwise, such costs are expensed as incurred as cost of goods sold. The Company periodically analyzes its inventory levels to identify inventory that may expire or has a cost basis in excess of its estimated realizable value and writes down such inventories, as appropriate. In addition, the Company’s products are subject to strict quality control and monitoring which the Company performs throughout the manufacturing process. If certain batches or units of product no longer meet quality specifications or may become obsolete or are forecasted to become obsolete due to expiration, the Company will record a charge to write down such unmarketable inventory to its estimated net realizable value.</w:t>
      </w:r>
    </w:p>
    <w:p>
      <w:pPr>
        <w:spacing w:after="0" w:line="16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analyzes its inventory levels to identify inventory that may expire or has a cost basis in excess of its estimated realizable value. The Company performs an assessment of projected sales and evaluates the lower of cost or net realizable value and the potential excess inventory on hand at the end of each reporting period.</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 The Company evaluates long-lived assets for impairment whenever events or changes in circumstances indicate that</w:t>
      </w:r>
      <w:r>
        <w:rPr>
          <w:rFonts w:ascii="Arial" w:cs="Arial" w:eastAsia="Arial" w:hAnsi="Arial"/>
          <w:sz w:val="16"/>
          <w:szCs w:val="16"/>
          <w:i w:val="1"/>
          <w:iCs w:val="1"/>
          <w:color w:val="auto"/>
        </w:rPr>
        <w:t xml:space="preserve"> </w:t>
      </w:r>
      <w:r>
        <w:rPr>
          <w:rFonts w:ascii="Arial" w:cs="Arial" w:eastAsia="Arial" w:hAnsi="Arial"/>
          <w:sz w:val="16"/>
          <w:szCs w:val="16"/>
          <w:color w:val="auto"/>
        </w:rPr>
        <w:t>the carrying value of an asset may not be recoverable. Assets are considered to be impaired if the carrying value is considered to be unrecoverable.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If the Company believes an asset to be impaired, the impairment recognized is the amount by which the carrying value of the asset exceeds the fair value of the asset. Fair value is determined using the market, income or cost approaches as appropriate for the asset. Any write-downs are treated as permanent reductions in the carrying amount of the asset and recognized as an operating loss.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spacing w:after="0" w:line="273" w:lineRule="auto"/>
        <w:rPr>
          <w:sz w:val="20"/>
          <w:szCs w:val="20"/>
          <w:color w:val="auto"/>
        </w:rPr>
      </w:pPr>
      <w:r>
        <w:rPr>
          <w:rFonts w:ascii="Arial" w:cs="Arial" w:eastAsia="Arial" w:hAnsi="Arial"/>
          <w:sz w:val="17"/>
          <w:szCs w:val="17"/>
          <w:color w:val="auto"/>
        </w:rPr>
        <w:t xml:space="preserve">In August 2019, the Company recorded a $1.5 million commitment asset and a $0.4 million other asset for deferred debt issuance costs related to the future funding commitments of the MidCap Credit Facility. A quarterly assessment was performed to determine if the Company was on target to achieve certain required milestone conditions in order for the Company to access further borrowings under the MidCap Credit Facility. The Company determined that such milestone conditions related to Afrezza trailing net revenue were unlikely to be achieved. As a result, an asset impairment of $0.4 million and $1.9 million was recognized for the three and six months ended June 30, 2020, respectively, in the Company’s condensed consolidated statement of operations. See Note 6 – </w:t>
      </w:r>
      <w:r>
        <w:rPr>
          <w:rFonts w:ascii="Arial" w:cs="Arial" w:eastAsia="Arial" w:hAnsi="Arial"/>
          <w:sz w:val="17"/>
          <w:szCs w:val="17"/>
          <w:i w:val="1"/>
          <w:iCs w:val="1"/>
          <w:color w:val="auto"/>
        </w:rPr>
        <w:t>Borrowings</w:t>
      </w:r>
      <w:r>
        <w:rPr>
          <w:rFonts w:ascii="Arial" w:cs="Arial" w:eastAsia="Arial" w:hAnsi="Arial"/>
          <w:sz w:val="17"/>
          <w:szCs w:val="17"/>
          <w:color w:val="auto"/>
        </w:rPr>
        <w:t xml:space="preserve"> for further information on the MidCap Credit Facility.</w:t>
      </w:r>
    </w:p>
    <w:p>
      <w:pPr>
        <w:spacing w:after="0" w:line="17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Recognized Loss on Purchase Commitments </w:t>
      </w:r>
      <w:r>
        <w:rPr>
          <w:rFonts w:ascii="Arial" w:cs="Arial" w:eastAsia="Arial" w:hAnsi="Arial"/>
          <w:sz w:val="18"/>
          <w:szCs w:val="18"/>
          <w:color w:val="auto"/>
        </w:rPr>
        <w:t>— The Company assesses whether losses on long-term purchase commitments should be accrued. Losses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expected to arise from firm, non-cancellable, commitments for the future purchases are recognized unless recoverable. When making the assessment, the Company also considers whether it is able to renegotiate with its vendors. The recognized loss on purchase commitments is reduced as inventory items are received. If, subsequent to an accrual, a purchase commitment is successfully renegotiated, the gain is recognized in the Company’s condensed consolidated statement of operations. The liability balance of the recognized loss on insulin purchase commitments was $90.9 million and $92.0 million as of June 30, 2020 and December 31, 2019, respectively. No new contracts were identified in the first six months of 2020 that required a new loss on purchase commitment accrual.</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Milestone Rights Liability </w:t>
      </w:r>
      <w:r>
        <w:rPr>
          <w:rFonts w:ascii="Arial" w:cs="Arial" w:eastAsia="Arial" w:hAnsi="Arial"/>
          <w:sz w:val="18"/>
          <w:szCs w:val="18"/>
          <w:color w:val="auto"/>
        </w:rPr>
        <w:t>— On July 1, 2013, in conjunction with the execution of a financing facility with Deerfield Private Design Fund II L.P. and</w:t>
      </w:r>
      <w:r>
        <w:rPr>
          <w:rFonts w:ascii="Arial" w:cs="Arial" w:eastAsia="Arial" w:hAnsi="Arial"/>
          <w:sz w:val="18"/>
          <w:szCs w:val="18"/>
          <w:i w:val="1"/>
          <w:iCs w:val="1"/>
          <w:color w:val="auto"/>
        </w:rPr>
        <w:t xml:space="preserve"> </w:t>
      </w:r>
      <w:r>
        <w:rPr>
          <w:rFonts w:ascii="Arial" w:cs="Arial" w:eastAsia="Arial" w:hAnsi="Arial"/>
          <w:sz w:val="18"/>
          <w:szCs w:val="18"/>
          <w:color w:val="auto"/>
        </w:rPr>
        <w:t>Deerfield Private Design International I L.P., the Company issued to Deerfield Private Design Fund II, L.P. and Horizon Santé FLML SÁRL (the “Milestone Purchasers”) certain rights to receive payments of up to $90.0 million, of which $70.0 million remains payable as of June 30, 2020 upon the occurrence of specified strategic and sales milestones, including the achievement of specified net sales figures (the “Milestone Rights”). The Company analyzed the Milestone Rights and determined that they did not meet the definition of a freestanding derivative. Since the Company has not elected to apply the fair value option to the Milestone Rights, the Company recorded them at their estimated initial fair value and accounted for the Milestone Rights as a liability.</w:t>
      </w:r>
    </w:p>
    <w:p>
      <w:pPr>
        <w:spacing w:after="0" w:line="1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initial fair value estimate of the Milestone Rights was calculated using the income approach in which the cash flows associated with the specified contractual payments were adjusted for both the expected timing and the probability of achieving the milestones and discounted to present value using a selected market discount rate. The expected timing and probability of achieving the milestones was developed with consideration given to both internal data, such as progress made to date and assessment of criteria required for achievement, and external data, such as market research studies. The discount rate was selected based on an estimation of required rate of returns for similar investment opportunities using available market data. The Milestone Rights liability will be remeasured as the specified milestone events are achieved. Specifically, as each milestone event is achieved, the portion of the initially recorded Milestone Rights liability that pertains to the milestone event being achieved, will be remeasured to the amount of the specified related milestone payment. The resulting change in the balance of the Milestone Rights liability due to remeasurement will be recorded in the Company’s consolidated statements of operations as interest expense. Furthermore, the Milestone Rights liability will be reduced upon the settlement of each milestone payment. As a result, each milestone payment would be effectively allocated between a reduction of the recorded Milestone Rights liability and an expense representing a return on a portion of the Milestone Rights liability paid to the investor for the achievement of the related milestone event (see Note 6 – </w:t>
      </w:r>
      <w:r>
        <w:rPr>
          <w:rFonts w:ascii="Arial" w:cs="Arial" w:eastAsia="Arial" w:hAnsi="Arial"/>
          <w:sz w:val="16"/>
          <w:szCs w:val="16"/>
          <w:i w:val="1"/>
          <w:iCs w:val="1"/>
          <w:color w:val="auto"/>
        </w:rPr>
        <w:t>Borrowings</w:t>
      </w:r>
      <w:r>
        <w:rPr>
          <w:rFonts w:ascii="Arial" w:cs="Arial" w:eastAsia="Arial" w:hAnsi="Arial"/>
          <w:sz w:val="16"/>
          <w:szCs w:val="16"/>
          <w:color w:val="auto"/>
        </w:rPr>
        <w:t>). As of June 30, 2020 and December 31, 2019, the remaining liability balance was $7.3 million.</w:t>
      </w:r>
    </w:p>
    <w:p>
      <w:pPr>
        <w:spacing w:after="0" w:line="16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Company applies various valuation approaches in determining the fair value of its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within a hierarchy that maximizes the use of observable inputs and minimizes the use of unobservable inputs by requiring that observable inputs be used when available.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 The fair value hierarchy is broken down into three levels based on the source of inputs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 — Quoted prices for identical instruments in active markets.</w:t>
      </w:r>
    </w:p>
    <w:p>
      <w:pPr>
        <w:spacing w:after="0" w:line="117" w:lineRule="exact"/>
        <w:rPr>
          <w:sz w:val="20"/>
          <w:szCs w:val="20"/>
          <w:color w:val="auto"/>
        </w:rPr>
      </w:pPr>
    </w:p>
    <w:p>
      <w:pPr>
        <w:ind w:left="520" w:right="160"/>
        <w:spacing w:after="0" w:line="277" w:lineRule="auto"/>
        <w:rPr>
          <w:sz w:val="20"/>
          <w:szCs w:val="20"/>
          <w:color w:val="auto"/>
        </w:rPr>
      </w:pPr>
      <w:r>
        <w:rPr>
          <w:rFonts w:ascii="Arial" w:cs="Arial" w:eastAsia="Arial" w:hAnsi="Arial"/>
          <w:sz w:val="18"/>
          <w:szCs w:val="18"/>
          <w:color w:val="auto"/>
        </w:rPr>
        <w:t>Level 2 — 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2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provisions for federal, foreign, state and local income taxes are calculated on pre-tax income based on current tax law and include the</w:t>
      </w:r>
      <w:r>
        <w:rPr>
          <w:rFonts w:ascii="Arial" w:cs="Arial" w:eastAsia="Arial" w:hAnsi="Arial"/>
          <w:sz w:val="16"/>
          <w:szCs w:val="16"/>
          <w:i w:val="1"/>
          <w:iCs w:val="1"/>
          <w:color w:val="auto"/>
        </w:rPr>
        <w:t xml:space="preserve"> </w:t>
      </w:r>
      <w:r>
        <w:rPr>
          <w:rFonts w:ascii="Arial" w:cs="Arial" w:eastAsia="Arial" w:hAnsi="Arial"/>
          <w:sz w:val="16"/>
          <w:szCs w:val="16"/>
          <w:color w:val="auto"/>
        </w:rPr>
        <w:t>cumulative effect of any changes in tax rates from those used previously in determining deferred tax assets and liabilities. Deferred income tax assets and liabilities are measured using enacted tax rates expected to apply to taxable income in the year in which the temporary differences are expected to be recovered or settled. A valuation allowance is recorded to reduce net deferred income tax assets to amounts that are more likely than not to be realized.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140"/>
        <w:spacing w:after="0" w:line="255" w:lineRule="auto"/>
        <w:rPr>
          <w:sz w:val="20"/>
          <w:szCs w:val="20"/>
          <w:color w:val="auto"/>
        </w:rPr>
      </w:pPr>
      <w:r>
        <w:rPr>
          <w:rFonts w:ascii="Arial" w:cs="Arial" w:eastAsia="Arial" w:hAnsi="Arial"/>
          <w:sz w:val="18"/>
          <w:szCs w:val="18"/>
          <w:color w:val="auto"/>
        </w:rPr>
        <w:t>Income tax positions are considered for uncertainty. The Company believes that its income tax filing positions and deductions will be sustained on audit and does not anticipate any adjustments that will result in a material change to its financial position. Therefore, no liabilities for uncertain income tax positions have been recorded. If a tax position does not meet the minimum statutory threshold to avoid payment of penalties, the Company recognizes an expense for the amount of the penalty in the period the tax position is claimed in the tax return of the Company. The Company recognizes interest accrued related to unrecognized tax benefits in income tax expense, if any. Penalties, if probable and reasonably estimable, are recognized as a component of income tax expense.</w:t>
      </w:r>
    </w:p>
    <w:p>
      <w:pPr>
        <w:spacing w:after="0" w:line="19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i w:val="1"/>
          <w:iCs w:val="1"/>
          <w:color w:val="auto"/>
        </w:rPr>
        <w:t xml:space="preserve">Contingencies </w:t>
      </w:r>
      <w:r>
        <w:rPr>
          <w:rFonts w:ascii="Arial" w:cs="Arial" w:eastAsia="Arial" w:hAnsi="Arial"/>
          <w:sz w:val="17"/>
          <w:szCs w:val="17"/>
          <w:color w:val="auto"/>
        </w:rPr>
        <w:t>— The Company records a loss contingency for a liability when it is both probable that a liability has been incurred and the amount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loss can be reasonably estimated. These accruals represent management’s best estimate of probable loss. Disclosure also is provided when it is reasonably possible that a loss will be incurred or when it is reasonably possible that the amount of a loss will exceed the recorded provision. On a quarterly basis, the Company reviews the status of each significant matter and assesses its potential financial exposure.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Share-based payments to employees, including grants of stock options, RSUs, performance-based awards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compensatory elements of employee stock purchase plans, are recognized in the condensed consolidated statements of operations based upon the fair value of the awards at the grant date. The Company uses the Black-Scholes option valuation model to estimate the grant date fair value of employee stock options and the compensatory elements of employee stock purchase plans. RSUs are valued based on the market price on the grant date. The Company evaluates stock awards with performance conditions as to the probability that the performance conditions will be met and estimates the date at which the performance conditions will be met in order to properly recognize stock-based compensation expense over the requisite service period.</w:t>
      </w:r>
    </w:p>
    <w:p>
      <w:pPr>
        <w:spacing w:after="0" w:line="16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 xml:space="preserve">Clinical Trial Expenses </w:t>
      </w:r>
      <w:r>
        <w:rPr>
          <w:rFonts w:ascii="Arial" w:cs="Arial" w:eastAsia="Arial" w:hAnsi="Arial"/>
          <w:sz w:val="18"/>
          <w:szCs w:val="18"/>
          <w:color w:val="auto"/>
        </w:rPr>
        <w:t>— Clinical trial expenses, which are primarily reflected in research and development expenses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operations, result from obligations under contracts with vendors, consultants and clinical site agreements in connection with conducting clinical trials.</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Net Income (Loss) Per Share of Common Stock </w:t>
      </w:r>
      <w:r>
        <w:rPr>
          <w:rFonts w:ascii="Arial" w:cs="Arial" w:eastAsia="Arial" w:hAnsi="Arial"/>
          <w:sz w:val="18"/>
          <w:szCs w:val="18"/>
          <w:color w:val="auto"/>
        </w:rPr>
        <w:t>— Basic net income or loss per share excludes dilution for potentially dilutive securities and is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by dividing net income or loss by the weighted average number of common shares outstanding during the period. Diluted net income or loss per share reflects the potential dilution under the treasury method that could occur if securities or other contracts to issue common stock were exercised or converted into common stock. For periods where the Company has presented a net loss, potentially dilutive securities are excluded from the computation of diluted net loss per share as they would be anti-dilutive.</w:t>
      </w:r>
    </w:p>
    <w:p>
      <w:pPr>
        <w:spacing w:after="0" w:line="18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computation of basic and diluted net loss per share for the three and six months ended June 30, 2020 and 2019 excludes the common stock equivalents of the following potentially dilutive securities because their inclusion would be anti-dilutive while the Company is in a net loss position: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4"/>
          </w:tcPr>
          <w:p>
            <w:pPr>
              <w:ind w:left="86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7720" w:type="dxa"/>
            <w:vAlign w:val="bottom"/>
            <w:tcBorders>
              <w:bottom w:val="single" w:sz="8" w:color="CFF0FC"/>
            </w:tcBorders>
          </w:tcPr>
          <w:p>
            <w:pPr>
              <w:spacing w:after="0"/>
              <w:rPr>
                <w:sz w:val="13"/>
                <w:szCs w:val="13"/>
                <w:color w:val="auto"/>
              </w:rPr>
            </w:pPr>
          </w:p>
        </w:tc>
        <w:tc>
          <w:tcPr>
            <w:tcW w:w="156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2,501,713</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1,166,006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276,154</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367,792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common stock options</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13,197,927</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15,512,639</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Conversion of 2024 convertible notes into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1,666,667</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3,629,627</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Conversion of Mann Group convertible note into common stock</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14,000,000</w:t>
            </w:r>
          </w:p>
        </w:tc>
        <w:tc>
          <w:tcPr>
            <w:tcW w:w="2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21,909,541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Exercise of common stock 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31,851</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31,856</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associated with Midcap Credit Facility</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1,171,614</w:t>
            </w:r>
          </w:p>
        </w:tc>
        <w:tc>
          <w:tcPr>
            <w:tcW w:w="2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Exercise of warrants associated with public offering</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26,666,667</w:t>
            </w:r>
          </w:p>
        </w:tc>
        <w:tc>
          <w:tcPr>
            <w:tcW w:w="10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shares</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32,845,926</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69,284,128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Recently Adopted Accounting Standards </w:t>
      </w:r>
      <w:r>
        <w:rPr>
          <w:rFonts w:ascii="Arial" w:cs="Arial" w:eastAsia="Arial" w:hAnsi="Arial"/>
          <w:sz w:val="18"/>
          <w:szCs w:val="18"/>
          <w:color w:val="auto"/>
        </w:rPr>
        <w:t>— In June 2016, the FASB issued ASU No. 2016-13,</w:t>
      </w:r>
      <w:r>
        <w:rPr>
          <w:rFonts w:ascii="Arial" w:cs="Arial" w:eastAsia="Arial" w:hAnsi="Arial"/>
          <w:sz w:val="18"/>
          <w:szCs w:val="18"/>
          <w:i w:val="1"/>
          <w:iCs w:val="1"/>
          <w:color w:val="auto"/>
        </w:rPr>
        <w:t xml:space="preserve"> Financial Instruments - Credit Losses (Topic 326), </w:t>
      </w:r>
      <w:r>
        <w:rPr>
          <w:rFonts w:ascii="Arial" w:cs="Arial" w:eastAsia="Arial" w:hAnsi="Arial"/>
          <w:sz w:val="18"/>
          <w:szCs w:val="18"/>
          <w:color w:val="auto"/>
        </w:rPr>
        <w:t>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adopted this standard as of January 1, 2020. This update introduces the current expected credit loss (CECL) model, which requires an entity to measure credit losses for certain financial instruments and financial assets, including trade receivables. Under this update, on initial recognition and at each reporting period, an entity is required to recognize an allowance that reflects the entity’s current estimate of credit losses expected to be incurred over the life of the financial instrument. The adoption of this standard did not have a material impact on the Company's condensed consolidated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ind w:right="120"/>
        <w:spacing w:after="0" w:line="257"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w:t>
      </w:r>
      <w:r>
        <w:rPr>
          <w:rFonts w:ascii="Arial" w:cs="Arial" w:eastAsia="Arial" w:hAnsi="Arial"/>
          <w:sz w:val="18"/>
          <w:szCs w:val="18"/>
          <w:color w:val="auto"/>
        </w:rPr>
        <w:t xml:space="preserve"> to clarify when transactions between participants in a collaborative arrangement under ASC 808 are within the scope of the new revenue guidance when the collaborative arrangement participant is a customer. ASU 2018-18 is effective for fiscal years beginning after December 15, 2020, and interim periods within fiscal years beginning after December 15, 2021. Effective June 30, 2020, the Company early adopted this pronouncement, as permitted, with no impact on the Company’s consolidated financial statements.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i w:val="1"/>
          <w:iCs w:val="1"/>
          <w:color w:val="auto"/>
        </w:rPr>
        <w:t xml:space="preserve">Recently Issued Accounting Standards </w:t>
      </w:r>
      <w:r>
        <w:rPr>
          <w:rFonts w:ascii="Arial" w:cs="Arial" w:eastAsia="Arial" w:hAnsi="Arial"/>
          <w:sz w:val="18"/>
          <w:szCs w:val="18"/>
          <w:color w:val="auto"/>
        </w:rPr>
        <w:t>— From time to time, new accounting pronouncements are issued by the Financial Accounting Standards Board</w:t>
      </w:r>
      <w:r>
        <w:rPr>
          <w:rFonts w:ascii="Arial" w:cs="Arial" w:eastAsia="Arial" w:hAnsi="Arial"/>
          <w:sz w:val="18"/>
          <w:szCs w:val="18"/>
          <w:i w:val="1"/>
          <w:iCs w:val="1"/>
          <w:color w:val="auto"/>
        </w:rPr>
        <w:t xml:space="preserve"> </w:t>
      </w:r>
      <w:r>
        <w:rPr>
          <w:rFonts w:ascii="Arial" w:cs="Arial" w:eastAsia="Arial" w:hAnsi="Arial"/>
          <w:sz w:val="18"/>
          <w:szCs w:val="18"/>
          <w:color w:val="auto"/>
        </w:rPr>
        <w:t>(FASB) or other standard setting bodies that are adopted by the Company as of the specified effective date. Unless otherwise discussed, the Company believes that the impact of recently issued standards that are not yet effective will not have a material impact on the Company’s condensed consolidated financial position or results of operations upon adoption.</w:t>
      </w:r>
    </w:p>
    <w:p>
      <w:pPr>
        <w:spacing w:after="0" w:line="18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w:t>
      </w:r>
      <w:r>
        <w:rPr>
          <w:rFonts w:ascii="Arial" w:cs="Arial" w:eastAsia="Arial" w:hAnsi="Arial"/>
          <w:sz w:val="16"/>
          <w:szCs w:val="16"/>
          <w:color w:val="auto"/>
        </w:rPr>
        <w:t xml:space="preserve"> to simplify and reduce the cost of accounting for income taxes. The pronouncement calls for removing exceptions to the incremental approach for intraperiod tax allocations, exceptions to the requirement to recognize a deferred tax liability for equity method investment when a foreign subsidiary becomes an equity method investment, exception to the ability to not recognize a deferred tax liability for a foreign subsidiary when a foreign equity method investment becomes a subsidiary and exception to the general methodology for calculating income taxes in an interim period when a year-to-date loss exceeds the anticipated loss for the year. ASU 2019-12 is effective for fiscal years beginning after December 15, 2021, and interim periods within fiscal years beginning after December 15, 2022. Early adoption is permitted. We are currently assessing the effect the adoption of this standard will have on the Company’s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6,738</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Wholesaler distribution fees and prompt pay discounts</w:t>
            </w:r>
          </w:p>
        </w:tc>
        <w:tc>
          <w:tcPr>
            <w:tcW w:w="24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(1,230)</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(1,767)</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Reserve for returns</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(2,142)</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(1,645)</w:t>
            </w: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3,366</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As of June 30, 2020 and December 31, 2019, the allowance for doubtful accounts was </w:t>
      </w:r>
      <w:r>
        <w:rPr>
          <w:rFonts w:ascii="Arial" w:cs="Arial" w:eastAsia="Arial" w:hAnsi="Arial"/>
          <w:sz w:val="18"/>
          <w:szCs w:val="18"/>
          <w:i w:val="1"/>
          <w:iCs w:val="1"/>
          <w:color w:val="auto"/>
        </w:rPr>
        <w:t>de minimis</w:t>
      </w:r>
      <w:r>
        <w:rPr>
          <w:rFonts w:ascii="Arial" w:cs="Arial" w:eastAsia="Arial" w:hAnsi="Arial"/>
          <w:sz w:val="18"/>
          <w:szCs w:val="18"/>
          <w:color w:val="auto"/>
        </w:rPr>
        <w:t>. The Company had three wholesale distributors representing approximately 88% of accounts receivable as of June 30, 2020 and approximately 85% and 89% of gross sales for the three and six months ended June 30, 2020, respectively.</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Work-in-process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1,683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1,432</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4,155</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Work-in-process and finished goods as of June 30, 2020 and December 31, 2019 include conversion costs and exclude the cost of insulin. All insulin inventory on hand was written off and the projected loss on the purchase commitment contract to purchase future insulin was accrued as of the end of 2015. Raw materials inventory included $0.8 million of pre-launch inventory as of June 30, 2020 and December 31, 2019, which consisted of FDKP received in November 2019 that will be used to manufacture Afrezza under an enhanced manufacturing process for FDKP. The Company expects to receive FDA approval of the new source of FDKP in mid-2021, after which the pre-launch raw materials inventory will be reclassified as raw materials inventory for use in the manufacturing of Afrezza.</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ind w:right="180"/>
        <w:spacing w:after="0" w:line="296" w:lineRule="auto"/>
        <w:rPr>
          <w:sz w:val="20"/>
          <w:szCs w:val="20"/>
          <w:color w:val="auto"/>
        </w:rPr>
      </w:pPr>
      <w:r>
        <w:rPr>
          <w:rFonts w:ascii="Arial" w:cs="Arial" w:eastAsia="Arial" w:hAnsi="Arial"/>
          <w:sz w:val="16"/>
          <w:szCs w:val="16"/>
          <w:color w:val="auto"/>
        </w:rPr>
        <w:t>The Company analyzed its inventory levels to identify inventory that may expire or has a cost basis in excess of its estimated realizable value. The Company also performed an assessment of projected sales and evaluated the lower of cost or net realizable value and the potential excess inventory on hand. Inventory that was forecasted to become obsolete due to expiration is recorded in costs of goods sold in the accompanying condensed consolidated statements of operations. For the six months ended June 30, 2020 there was an inventory write-off of $0.5 million as a result of this assessment. There were no inventory write-offs for the three months ended June 30, 2020 or the three and six months ended June 30,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Estimated Useful</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4"/>
        </w:trPr>
        <w:tc>
          <w:tcPr>
            <w:tcW w:w="578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24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December 31, 2019</w:t>
            </w:r>
          </w:p>
        </w:tc>
      </w:tr>
      <w:tr>
        <w:trPr>
          <w:trHeight w:val="223"/>
        </w:trPr>
        <w:tc>
          <w:tcPr>
            <w:tcW w:w="5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Buildings</w:t>
            </w:r>
          </w:p>
        </w:tc>
        <w:tc>
          <w:tcPr>
            <w:tcW w:w="1620" w:type="dxa"/>
            <w:vAlign w:val="bottom"/>
          </w:tcPr>
          <w:p>
            <w:pPr>
              <w:jc w:val="right"/>
              <w:spacing w:after="0"/>
              <w:rPr>
                <w:sz w:val="20"/>
                <w:szCs w:val="20"/>
                <w:color w:val="auto"/>
              </w:rPr>
            </w:pPr>
            <w:r>
              <w:rPr>
                <w:rFonts w:ascii="Arial" w:cs="Arial" w:eastAsia="Arial" w:hAnsi="Arial"/>
                <w:sz w:val="18"/>
                <w:szCs w:val="18"/>
                <w:color w:val="auto"/>
              </w:rPr>
              <w:t>39-40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17,389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17,389</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Building improvements</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37,543</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20" w:type="dxa"/>
            <w:vAlign w:val="bottom"/>
          </w:tcPr>
          <w:p>
            <w:pPr>
              <w:jc w:val="right"/>
              <w:spacing w:after="0"/>
              <w:rPr>
                <w:sz w:val="20"/>
                <w:szCs w:val="20"/>
                <w:color w:val="auto"/>
              </w:rPr>
            </w:pPr>
            <w:r>
              <w:rPr>
                <w:rFonts w:ascii="Arial" w:cs="Arial" w:eastAsia="Arial" w:hAnsi="Arial"/>
                <w:sz w:val="18"/>
                <w:szCs w:val="18"/>
                <w:color w:val="auto"/>
              </w:rPr>
              <w:t>3-15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55,055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54,982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6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8,234</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8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r>
      <w:tr>
        <w:trPr>
          <w:trHeight w:val="223"/>
        </w:trPr>
        <w:tc>
          <w:tcPr>
            <w:tcW w:w="57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122,355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122,142</w:t>
            </w:r>
          </w:p>
        </w:tc>
        <w:tc>
          <w:tcPr>
            <w:tcW w:w="100" w:type="dxa"/>
            <w:vAlign w:val="bottom"/>
          </w:tcPr>
          <w:p>
            <w:pPr>
              <w:spacing w:after="0"/>
              <w:rPr>
                <w:sz w:val="19"/>
                <w:szCs w:val="19"/>
                <w:color w:val="auto"/>
              </w:rPr>
            </w:pPr>
          </w:p>
        </w:tc>
      </w:tr>
      <w:tr>
        <w:trPr>
          <w:trHeight w:val="229"/>
        </w:trPr>
        <w:tc>
          <w:tcPr>
            <w:tcW w:w="57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(96,168)</w:t>
            </w:r>
          </w:p>
        </w:tc>
        <w:tc>
          <w:tcPr>
            <w:tcW w:w="1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(95,364)</w:t>
            </w:r>
          </w:p>
        </w:tc>
      </w:tr>
      <w:tr>
        <w:trPr>
          <w:trHeight w:val="223"/>
        </w:trPr>
        <w:tc>
          <w:tcPr>
            <w:tcW w:w="5780" w:type="dxa"/>
            <w:vAlign w:val="bottom"/>
          </w:tcPr>
          <w:p>
            <w:pPr>
              <w:ind w:left="260"/>
              <w:spacing w:after="0"/>
              <w:rPr>
                <w:sz w:val="20"/>
                <w:szCs w:val="20"/>
                <w:color w:val="auto"/>
              </w:rPr>
            </w:pPr>
            <w:r>
              <w:rPr>
                <w:rFonts w:ascii="Arial" w:cs="Arial" w:eastAsia="Arial" w:hAnsi="Arial"/>
                <w:sz w:val="18"/>
                <w:szCs w:val="18"/>
                <w:color w:val="auto"/>
              </w:rPr>
              <w:t>Total property and equipment, net</w:t>
            </w:r>
          </w:p>
        </w:tc>
        <w:tc>
          <w:tcPr>
            <w:tcW w:w="1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26,187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26,778</w:t>
            </w:r>
          </w:p>
        </w:tc>
        <w:tc>
          <w:tcPr>
            <w:tcW w:w="100" w:type="dxa"/>
            <w:vAlign w:val="bottom"/>
          </w:tcPr>
          <w:p>
            <w:pPr>
              <w:spacing w:after="0"/>
              <w:rPr>
                <w:sz w:val="19"/>
                <w:szCs w:val="19"/>
                <w:color w:val="auto"/>
              </w:rPr>
            </w:pPr>
          </w:p>
        </w:tc>
      </w:tr>
      <w:tr>
        <w:trPr>
          <w:trHeight w:val="20"/>
        </w:trPr>
        <w:tc>
          <w:tcPr>
            <w:tcW w:w="57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related to property and equipment for the three and six months ended June 30, 2020 and 2019 was as follows (in thousands):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40" w:type="dxa"/>
            <w:vAlign w:val="bottom"/>
            <w:gridSpan w:val="10"/>
          </w:tcPr>
          <w:p>
            <w:pPr>
              <w:ind w:left="4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2020</w:t>
            </w:r>
          </w:p>
        </w:tc>
        <w:tc>
          <w:tcPr>
            <w:tcW w:w="980" w:type="dxa"/>
            <w:vAlign w:val="bottom"/>
            <w:tcBorders>
              <w:top w:val="single" w:sz="8" w:color="auto"/>
            </w:tcBorders>
            <w:gridSpan w:val="3"/>
          </w:tcPr>
          <w:p>
            <w:pPr>
              <w:jc w:val="center"/>
              <w:ind w:left="368"/>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Borders>
              <w:top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448</w:t>
            </w:r>
          </w:p>
        </w:tc>
        <w:tc>
          <w:tcPr>
            <w:tcW w:w="14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93"/>
              </w:rPr>
              <w:t>371</w:t>
            </w:r>
          </w:p>
        </w:tc>
        <w:tc>
          <w:tcPr>
            <w:tcW w:w="24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494"/>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6"/>
              </w:rPr>
              <w:t>891</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739</w:t>
            </w:r>
          </w:p>
        </w:tc>
        <w:tc>
          <w:tcPr>
            <w:tcW w:w="100" w:type="dxa"/>
            <w:vAlign w:val="bottom"/>
            <w:tcBorders>
              <w:top w:val="single" w:sz="8" w:color="CFF0FC"/>
            </w:tcBorders>
            <w:shd w:val="clear" w:color="auto" w:fill="CFF0FC"/>
          </w:tcPr>
          <w:p>
            <w:pPr>
              <w:spacing w:after="0"/>
              <w:rPr>
                <w:sz w:val="19"/>
                <w:szCs w:val="19"/>
                <w:color w:val="auto"/>
              </w:rPr>
            </w:pPr>
          </w:p>
        </w:tc>
      </w:tr>
      <w:tr>
        <w:trPr>
          <w:trHeight w:val="621"/>
        </w:trPr>
        <w:tc>
          <w:tcPr>
            <w:tcW w:w="4920" w:type="dxa"/>
            <w:vAlign w:val="bottom"/>
          </w:tcPr>
          <w:p>
            <w:pPr>
              <w:spacing w:after="0"/>
              <w:rPr>
                <w:sz w:val="20"/>
                <w:szCs w:val="20"/>
                <w:color w:val="auto"/>
              </w:rPr>
            </w:pPr>
            <w:r>
              <w:rPr>
                <w:rFonts w:ascii="Arial" w:cs="Arial" w:eastAsia="Arial" w:hAnsi="Arial"/>
                <w:sz w:val="18"/>
                <w:szCs w:val="18"/>
                <w:b w:val="1"/>
                <w:bCs w:val="1"/>
                <w:color w:val="auto"/>
              </w:rPr>
              <w:t>5. Accrued Expenses and Other Current Liabilities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060" w:type="dxa"/>
            <w:vAlign w:val="bottom"/>
            <w:gridSpan w:val="4"/>
          </w:tcPr>
          <w:p>
            <w:pPr>
              <w:spacing w:after="0"/>
              <w:rPr>
                <w:sz w:val="20"/>
                <w:szCs w:val="20"/>
                <w:color w:val="auto"/>
              </w:rPr>
            </w:pPr>
            <w:r>
              <w:rPr>
                <w:rFonts w:ascii="Arial" w:cs="Arial" w:eastAsia="Arial" w:hAnsi="Arial"/>
                <w:sz w:val="18"/>
                <w:szCs w:val="18"/>
                <w:color w:val="auto"/>
                <w:w w:val="94"/>
              </w:rPr>
              <w:t>Accrued expenses and other current liabilities were comprised of the following (in thousands):</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4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gridSpan w:val="4"/>
          </w:tcPr>
          <w:p>
            <w:pPr>
              <w:ind w:left="40"/>
              <w:spacing w:after="0"/>
              <w:rPr>
                <w:sz w:val="20"/>
                <w:szCs w:val="20"/>
                <w:color w:val="auto"/>
              </w:rPr>
            </w:pPr>
            <w:r>
              <w:rPr>
                <w:rFonts w:ascii="Arial" w:cs="Arial" w:eastAsia="Arial" w:hAnsi="Arial"/>
                <w:sz w:val="14"/>
                <w:szCs w:val="14"/>
                <w:b w:val="1"/>
                <w:bCs w:val="1"/>
                <w:color w:val="auto"/>
              </w:rPr>
              <w:t>June 30, 2020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Salary and related expenses</w:t>
            </w:r>
          </w:p>
        </w:tc>
        <w:tc>
          <w:tcPr>
            <w:tcW w:w="9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CFF0FC"/>
            </w:tcBorders>
            <w:gridSpan w:val="2"/>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6,715</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8,835</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Discounts and allowances for commercial product sales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Deferred lease liability</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Milestone Rights liability — current</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Sales and marketing services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accrued expenses and other current liabilities</w:t>
            </w:r>
          </w:p>
        </w:tc>
        <w:tc>
          <w:tcPr>
            <w:tcW w:w="9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CFF0FC"/>
            </w:tcBorders>
            <w:gridSpan w:val="2"/>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center"/>
              <w:ind w:right="11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14,706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15,904</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Included in salary and related expenses is $0.3 million of deferred social security taxes as permitted under the CARES Act. The Company is permitted to defer the employer share of social security taxes otherwise owed on dates beginning March 27, 2020 and ending December 31, 2020. Half of the total deferred payments are payable on December 31, 2021 and the remaining half are payable on December 31, 2022. The amount of the deferral is based on wages paid from April through December 2020. This deferral option is no longer available once the Company receives forgiveness for its PPP Loan as discussed in Note 6 — Borrowings.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color w:val="auto"/>
        </w:rPr>
        <w:t>.</w:t>
      </w:r>
      <w:r>
        <w:rPr>
          <w:rFonts w:ascii="Arial" w:cs="Arial" w:eastAsia="Arial" w:hAnsi="Arial"/>
          <w:sz w:val="18"/>
          <w:szCs w:val="18"/>
          <w:b w:val="1"/>
          <w:bCs w:val="1"/>
          <w:color w:val="auto"/>
        </w:rPr>
        <w:t xml:space="preserve">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principal borrowings consist of the following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70,024</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Midcap Credit Facility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39,304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38,851</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Senior notes (December 2020 note and 2024 convertible notes)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10,028</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PPP Loan</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72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debt — net carrying amount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121,745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118,899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debt and key terms: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3300" w:type="dxa"/>
            <w:vAlign w:val="bottom"/>
            <w:tcBorders>
              <w:bottom w:val="single" w:sz="8" w:color="auto"/>
            </w:tcBorders>
            <w:gridSpan w:val="3"/>
          </w:tcPr>
          <w:p>
            <w:pPr>
              <w:jc w:val="right"/>
              <w:ind w:right="1171"/>
              <w:spacing w:after="0"/>
              <w:rPr>
                <w:sz w:val="20"/>
                <w:szCs w:val="20"/>
                <w:color w:val="auto"/>
              </w:rPr>
            </w:pPr>
            <w:r>
              <w:rPr>
                <w:rFonts w:ascii="Arial" w:cs="Arial" w:eastAsia="Arial" w:hAnsi="Arial"/>
                <w:sz w:val="14"/>
                <w:szCs w:val="14"/>
                <w:b w:val="1"/>
                <w:bCs w:val="1"/>
                <w:color w:val="auto"/>
              </w:rPr>
              <w:t>Amount Due</w:t>
            </w:r>
          </w:p>
        </w:tc>
        <w:tc>
          <w:tcPr>
            <w:tcW w:w="2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Terms</w:t>
            </w:r>
          </w:p>
        </w:tc>
        <w:tc>
          <w:tcPr>
            <w:tcW w:w="1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180" w:type="dxa"/>
            <w:vAlign w:val="bottom"/>
          </w:tcPr>
          <w:p>
            <w:pPr>
              <w:spacing w:after="0"/>
              <w:rPr>
                <w:sz w:val="11"/>
                <w:szCs w:val="11"/>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June 30, 2020</w:t>
            </w:r>
          </w:p>
        </w:tc>
        <w:tc>
          <w:tcPr>
            <w:tcW w:w="17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December 31, 2019</w:t>
            </w:r>
          </w:p>
        </w:tc>
        <w:tc>
          <w:tcPr>
            <w:tcW w:w="154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6"/>
              </w:rPr>
              <w:t>Annual</w:t>
            </w:r>
          </w:p>
        </w:tc>
        <w:tc>
          <w:tcPr>
            <w:tcW w:w="15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9"/>
              </w:rPr>
              <w:t>Maturity Date</w:t>
            </w:r>
          </w:p>
        </w:tc>
        <w:tc>
          <w:tcPr>
            <w:tcW w:w="14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Conversion Price</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Interest Rate</w:t>
            </w:r>
          </w:p>
        </w:tc>
        <w:tc>
          <w:tcPr>
            <w:tcW w:w="1560" w:type="dxa"/>
            <w:vAlign w:val="bottom"/>
            <w:gridSpan w:val="3"/>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Mann Group convertible</w:t>
            </w:r>
          </w:p>
        </w:tc>
        <w:tc>
          <w:tcPr>
            <w:tcW w:w="1620" w:type="dxa"/>
            <w:vAlign w:val="bottom"/>
            <w:tcBorders>
              <w:top w:val="single" w:sz="8" w:color="auto"/>
            </w:tcBorders>
            <w:shd w:val="clear" w:color="auto" w:fill="CFF0FC"/>
          </w:tcPr>
          <w:p>
            <w:pPr>
              <w:jc w:val="center"/>
              <w:ind w:right="32"/>
              <w:spacing w:after="0"/>
              <w:rPr>
                <w:sz w:val="20"/>
                <w:szCs w:val="20"/>
                <w:color w:val="auto"/>
              </w:rPr>
            </w:pPr>
            <w:r>
              <w:rPr>
                <w:rFonts w:ascii="Arial" w:cs="Arial" w:eastAsia="Arial" w:hAnsi="Arial"/>
                <w:sz w:val="18"/>
                <w:szCs w:val="18"/>
                <w:color w:val="auto"/>
                <w:w w:val="95"/>
              </w:rPr>
              <w:t>$35.0 million (plus</w:t>
            </w:r>
          </w:p>
        </w:tc>
        <w:tc>
          <w:tcPr>
            <w:tcW w:w="160" w:type="dxa"/>
            <w:vAlign w:val="bottom"/>
            <w:tcBorders>
              <w:top w:val="single" w:sz="8" w:color="CFF0FC"/>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$35.0 million (plus</w:t>
            </w:r>
          </w:p>
        </w:tc>
        <w:tc>
          <w:tcPr>
            <w:tcW w:w="260" w:type="dxa"/>
            <w:vAlign w:val="bottom"/>
            <w:tcBorders>
              <w:top w:val="single" w:sz="8" w:color="CFF0FC"/>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Borders>
              <w:top w:val="single" w:sz="8" w:color="CFF0FC"/>
            </w:tcBorders>
            <w:shd w:val="clear" w:color="auto" w:fill="CFF0FC"/>
          </w:tcPr>
          <w:p>
            <w:pPr>
              <w:spacing w:after="0"/>
              <w:rPr>
                <w:sz w:val="18"/>
                <w:szCs w:val="18"/>
                <w:color w:val="auto"/>
              </w:rPr>
            </w:pPr>
          </w:p>
        </w:tc>
        <w:tc>
          <w:tcPr>
            <w:tcW w:w="14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2"/>
              </w:rPr>
              <w:t>November 2024</w:t>
            </w:r>
          </w:p>
        </w:tc>
        <w:tc>
          <w:tcPr>
            <w:tcW w:w="160" w:type="dxa"/>
            <w:vAlign w:val="bottom"/>
            <w:tcBorders>
              <w:top w:val="single" w:sz="8" w:color="CFF0FC"/>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$2.50</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note</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$2.3 million accrued</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3"/>
              </w:rPr>
              <w:t>$1.0 million accrued</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kind)</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7"/>
              </w:rPr>
              <w:t>kind)</w:t>
            </w: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Mann Group non-</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$35.1 million (plus</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5"/>
              </w:rPr>
              <w:t>$35.1 million (plus</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7.00%</w:t>
            </w:r>
          </w:p>
        </w:tc>
        <w:tc>
          <w:tcPr>
            <w:tcW w:w="26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November 2024</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80" w:type="dxa"/>
            <w:vAlign w:val="bottom"/>
          </w:tcPr>
          <w:p>
            <w:pPr>
              <w:ind w:left="140"/>
              <w:spacing w:after="0"/>
              <w:rPr>
                <w:sz w:val="20"/>
                <w:szCs w:val="20"/>
                <w:color w:val="auto"/>
              </w:rPr>
            </w:pPr>
            <w:r>
              <w:rPr>
                <w:rFonts w:ascii="Arial" w:cs="Arial" w:eastAsia="Arial" w:hAnsi="Arial"/>
                <w:sz w:val="18"/>
                <w:szCs w:val="18"/>
                <w:color w:val="auto"/>
              </w:rPr>
              <w:t>convertible note</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$2.3 million accrued</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$1.0 million accrued</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interest paid-in-</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kind)</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7"/>
              </w:rPr>
              <w:t>kind)</w:t>
            </w: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MidCap Credit</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$40.0 million</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6"/>
              </w:rPr>
              <w:t>$40.0 million</w:t>
            </w: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0"/>
              </w:rPr>
              <w:t>one-month</w:t>
            </w:r>
          </w:p>
        </w:tc>
        <w:tc>
          <w:tcPr>
            <w:tcW w:w="1560" w:type="dxa"/>
            <w:vAlign w:val="bottom"/>
            <w:gridSpan w:val="3"/>
            <w:shd w:val="clear" w:color="auto" w:fill="CFF0FC"/>
          </w:tcPr>
          <w:p>
            <w:pPr>
              <w:jc w:val="center"/>
              <w:ind w:right="180"/>
              <w:spacing w:after="0"/>
              <w:rPr>
                <w:sz w:val="20"/>
                <w:szCs w:val="20"/>
                <w:color w:val="auto"/>
              </w:rPr>
            </w:pPr>
            <w:r>
              <w:rPr>
                <w:rFonts w:ascii="Arial" w:cs="Arial" w:eastAsia="Arial" w:hAnsi="Arial"/>
                <w:sz w:val="18"/>
                <w:szCs w:val="18"/>
                <w:color w:val="auto"/>
                <w:w w:val="92"/>
              </w:rPr>
              <w:t>August 2024</w:t>
            </w: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Facility</w:t>
            </w: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LIBOR (2%</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rPr>
              <w:t>floor)</w:t>
            </w:r>
          </w:p>
        </w:tc>
        <w:tc>
          <w:tcPr>
            <w:tcW w:w="9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2"/>
              </w:rPr>
              <w:t>plus 6.75%</w:t>
            </w:r>
          </w:p>
        </w:tc>
        <w:tc>
          <w:tcPr>
            <w:tcW w:w="98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180" w:type="dxa"/>
            <w:vAlign w:val="bottom"/>
          </w:tcPr>
          <w:p>
            <w:pPr>
              <w:spacing w:after="0"/>
              <w:rPr>
                <w:sz w:val="20"/>
                <w:szCs w:val="20"/>
                <w:color w:val="auto"/>
              </w:rPr>
            </w:pPr>
            <w:r>
              <w:rPr>
                <w:rFonts w:ascii="Arial" w:cs="Arial" w:eastAsia="Arial" w:hAnsi="Arial"/>
                <w:sz w:val="18"/>
                <w:szCs w:val="18"/>
                <w:color w:val="auto"/>
              </w:rPr>
              <w:t>2024 convertible notes</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$5.0 million</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$5.0 million</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5.75%</w:t>
            </w:r>
          </w:p>
        </w:tc>
        <w:tc>
          <w:tcPr>
            <w:tcW w:w="260" w:type="dxa"/>
            <w:vAlign w:val="bottom"/>
          </w:tcPr>
          <w:p>
            <w:pPr>
              <w:spacing w:after="0"/>
              <w:rPr>
                <w:sz w:val="18"/>
                <w:szCs w:val="18"/>
                <w:color w:val="auto"/>
              </w:rPr>
            </w:pPr>
          </w:p>
        </w:tc>
        <w:tc>
          <w:tcPr>
            <w:tcW w:w="156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November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86"/>
              </w:rPr>
              <w:t>per share</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June 2020 note</w:t>
            </w:r>
          </w:p>
        </w:tc>
        <w:tc>
          <w:tcPr>
            <w:tcW w:w="17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FF0FC"/>
          </w:tcPr>
          <w:p>
            <w:pPr>
              <w:jc w:val="center"/>
              <w:ind w:right="260"/>
              <w:spacing w:after="0"/>
              <w:rPr>
                <w:sz w:val="20"/>
                <w:szCs w:val="20"/>
                <w:color w:val="auto"/>
              </w:rPr>
            </w:pPr>
            <w:r>
              <w:rPr>
                <w:rFonts w:ascii="Arial" w:cs="Arial" w:eastAsia="Arial" w:hAnsi="Arial"/>
                <w:sz w:val="18"/>
                <w:szCs w:val="18"/>
                <w:color w:val="auto"/>
                <w:w w:val="96"/>
              </w:rPr>
              <w:t>$2.6 million</w:t>
            </w:r>
          </w:p>
        </w:tc>
        <w:tc>
          <w:tcPr>
            <w:tcW w:w="1540" w:type="dxa"/>
            <w:vAlign w:val="bottom"/>
            <w:gridSpan w:val="2"/>
            <w:shd w:val="clear" w:color="auto" w:fill="CFF0FC"/>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FF0FC"/>
          </w:tcPr>
          <w:p>
            <w:pPr>
              <w:jc w:val="center"/>
              <w:ind w:right="180"/>
              <w:spacing w:after="0"/>
              <w:rPr>
                <w:sz w:val="20"/>
                <w:szCs w:val="20"/>
                <w:color w:val="auto"/>
              </w:rPr>
            </w:pPr>
            <w:r>
              <w:rPr>
                <w:rFonts w:ascii="Arial" w:cs="Arial" w:eastAsia="Arial" w:hAnsi="Arial"/>
                <w:sz w:val="18"/>
                <w:szCs w:val="18"/>
                <w:color w:val="auto"/>
                <w:w w:val="87"/>
              </w:rPr>
              <w:t>June 2020</w:t>
            </w: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December 2020 note</w:t>
            </w:r>
          </w:p>
        </w:tc>
        <w:tc>
          <w:tcPr>
            <w:tcW w:w="17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$2.6 million</w:t>
            </w: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$2.6 million</w:t>
            </w:r>
          </w:p>
        </w:tc>
        <w:tc>
          <w:tcPr>
            <w:tcW w:w="15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right="180"/>
              <w:spacing w:after="0"/>
              <w:rPr>
                <w:sz w:val="20"/>
                <w:szCs w:val="20"/>
                <w:color w:val="auto"/>
              </w:rPr>
            </w:pPr>
            <w:r>
              <w:rPr>
                <w:rFonts w:ascii="Arial" w:cs="Arial" w:eastAsia="Arial" w:hAnsi="Arial"/>
                <w:sz w:val="18"/>
                <w:szCs w:val="18"/>
                <w:color w:val="auto"/>
                <w:w w:val="88"/>
              </w:rPr>
              <w:t>December 2020</w:t>
            </w:r>
          </w:p>
        </w:tc>
        <w:tc>
          <w:tcPr>
            <w:tcW w:w="14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29"/>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PPP Loan</w:t>
            </w:r>
          </w:p>
        </w:tc>
        <w:tc>
          <w:tcPr>
            <w:tcW w:w="1780" w:type="dxa"/>
            <w:vAlign w:val="bottom"/>
            <w:gridSpan w:val="2"/>
            <w:shd w:val="clear" w:color="auto" w:fill="CFF0FC"/>
          </w:tcPr>
          <w:p>
            <w:pPr>
              <w:jc w:val="center"/>
              <w:ind w:right="280"/>
              <w:spacing w:after="0"/>
              <w:rPr>
                <w:sz w:val="20"/>
                <w:szCs w:val="20"/>
                <w:color w:val="auto"/>
              </w:rPr>
            </w:pPr>
            <w:r>
              <w:rPr>
                <w:rFonts w:ascii="Arial" w:cs="Arial" w:eastAsia="Arial" w:hAnsi="Arial"/>
                <w:sz w:val="18"/>
                <w:szCs w:val="18"/>
                <w:color w:val="auto"/>
                <w:w w:val="94"/>
              </w:rPr>
              <w:t>$4.9 million</w:t>
            </w:r>
          </w:p>
        </w:tc>
        <w:tc>
          <w:tcPr>
            <w:tcW w:w="178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0.98%</w:t>
            </w:r>
          </w:p>
        </w:tc>
        <w:tc>
          <w:tcPr>
            <w:tcW w:w="260" w:type="dxa"/>
            <w:vAlign w:val="bottom"/>
            <w:shd w:val="clear" w:color="auto" w:fill="CFF0FC"/>
          </w:tcPr>
          <w:p>
            <w:pPr>
              <w:spacing w:after="0"/>
              <w:rPr>
                <w:sz w:val="19"/>
                <w:szCs w:val="19"/>
                <w:color w:val="auto"/>
              </w:rPr>
            </w:pPr>
          </w:p>
        </w:tc>
        <w:tc>
          <w:tcPr>
            <w:tcW w:w="1560" w:type="dxa"/>
            <w:vAlign w:val="bottom"/>
            <w:gridSpan w:val="3"/>
            <w:shd w:val="clear" w:color="auto" w:fill="CFF0FC"/>
          </w:tcPr>
          <w:p>
            <w:pPr>
              <w:jc w:val="center"/>
              <w:ind w:right="180"/>
              <w:spacing w:after="0"/>
              <w:rPr>
                <w:sz w:val="20"/>
                <w:szCs w:val="20"/>
                <w:color w:val="auto"/>
              </w:rPr>
            </w:pPr>
            <w:r>
              <w:rPr>
                <w:rFonts w:ascii="Arial" w:cs="Arial" w:eastAsia="Arial" w:hAnsi="Arial"/>
                <w:sz w:val="18"/>
                <w:szCs w:val="18"/>
                <w:color w:val="auto"/>
                <w:w w:val="96"/>
              </w:rPr>
              <w:t>April 2022</w:t>
            </w:r>
          </w:p>
        </w:tc>
        <w:tc>
          <w:tcPr>
            <w:tcW w:w="1400" w:type="dxa"/>
            <w:vAlign w:val="bottom"/>
            <w:gridSpan w:val="2"/>
            <w:shd w:val="clear" w:color="auto" w:fill="CFF0FC"/>
          </w:tcPr>
          <w:p>
            <w:pPr>
              <w:jc w:val="center"/>
              <w:ind w:right="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473"/>
        </w:trPr>
        <w:tc>
          <w:tcPr>
            <w:tcW w:w="6740" w:type="dxa"/>
            <w:vAlign w:val="bottom"/>
            <w:gridSpan w:val="5"/>
          </w:tcPr>
          <w:p>
            <w:pPr>
              <w:spacing w:after="0"/>
              <w:rPr>
                <w:sz w:val="20"/>
                <w:szCs w:val="20"/>
                <w:color w:val="auto"/>
              </w:rPr>
            </w:pPr>
            <w:r>
              <w:rPr>
                <w:rFonts w:ascii="Arial" w:cs="Arial" w:eastAsia="Arial" w:hAnsi="Arial"/>
                <w:sz w:val="18"/>
                <w:szCs w:val="18"/>
                <w:color w:val="auto"/>
              </w:rPr>
              <w:t>The maturities of our borrowings as of June 30, 2020 are as follows (in thousands):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3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8"/>
              </w:rPr>
              <w:t>Amounts</w:t>
            </w:r>
          </w:p>
        </w:tc>
        <w:tc>
          <w:tcPr>
            <w:tcW w:w="0" w:type="dxa"/>
            <w:vAlign w:val="bottom"/>
          </w:tcPr>
          <w:p>
            <w:pPr>
              <w:spacing w:after="0"/>
              <w:rPr>
                <w:sz w:val="1"/>
                <w:szCs w:val="1"/>
                <w:color w:val="auto"/>
              </w:rPr>
            </w:pPr>
          </w:p>
        </w:tc>
      </w:tr>
      <w:tr>
        <w:trPr>
          <w:trHeight w:val="25"/>
        </w:trPr>
        <w:tc>
          <w:tcPr>
            <w:tcW w:w="3180" w:type="dxa"/>
            <w:vAlign w:val="bottom"/>
            <w:tcBorders>
              <w:bottom w:val="single" w:sz="8" w:color="CFF0FC"/>
            </w:tcBorders>
          </w:tcPr>
          <w:p>
            <w:pPr>
              <w:spacing w:after="0"/>
              <w:rPr>
                <w:sz w:val="2"/>
                <w:szCs w:val="2"/>
                <w:color w:val="auto"/>
              </w:rPr>
            </w:pPr>
          </w:p>
        </w:tc>
        <w:tc>
          <w:tcPr>
            <w:tcW w:w="1620" w:type="dxa"/>
            <w:vAlign w:val="bottom"/>
            <w:tcBorders>
              <w:bottom w:val="single" w:sz="8" w:color="CFF0FC"/>
            </w:tcBorders>
          </w:tcPr>
          <w:p>
            <w:pPr>
              <w:spacing w:after="0"/>
              <w:rPr>
                <w:sz w:val="2"/>
                <w:szCs w:val="2"/>
                <w:color w:val="auto"/>
              </w:rPr>
            </w:pPr>
          </w:p>
        </w:tc>
        <w:tc>
          <w:tcPr>
            <w:tcW w:w="160" w:type="dxa"/>
            <w:vAlign w:val="bottom"/>
            <w:tcBorders>
              <w:bottom w:val="single" w:sz="8" w:color="CFF0FC"/>
            </w:tcBorders>
          </w:tcPr>
          <w:p>
            <w:pPr>
              <w:spacing w:after="0"/>
              <w:rPr>
                <w:sz w:val="2"/>
                <w:szCs w:val="2"/>
                <w:color w:val="auto"/>
              </w:rPr>
            </w:pPr>
          </w:p>
        </w:tc>
        <w:tc>
          <w:tcPr>
            <w:tcW w:w="152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1280" w:type="dxa"/>
            <w:vAlign w:val="bottom"/>
            <w:tcBorders>
              <w:bottom w:val="single" w:sz="8" w:color="CFF0FC"/>
            </w:tcBorders>
          </w:tcPr>
          <w:p>
            <w:pPr>
              <w:spacing w:after="0"/>
              <w:rPr>
                <w:sz w:val="2"/>
                <w:szCs w:val="2"/>
                <w:color w:val="auto"/>
              </w:rPr>
            </w:pPr>
          </w:p>
        </w:tc>
        <w:tc>
          <w:tcPr>
            <w:tcW w:w="260" w:type="dxa"/>
            <w:vAlign w:val="bottom"/>
            <w:tcBorders>
              <w:bottom w:val="single" w:sz="8" w:color="CFF0FC"/>
            </w:tcBorders>
          </w:tcPr>
          <w:p>
            <w:pPr>
              <w:spacing w:after="0"/>
              <w:rPr>
                <w:sz w:val="2"/>
                <w:szCs w:val="2"/>
                <w:color w:val="auto"/>
              </w:rPr>
            </w:pPr>
          </w:p>
        </w:tc>
        <w:tc>
          <w:tcPr>
            <w:tcW w:w="980" w:type="dxa"/>
            <w:vAlign w:val="bottom"/>
            <w:tcBorders>
              <w:bottom w:val="single" w:sz="8" w:color="CFF0FC"/>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2021</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2023</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80" w:type="dxa"/>
            <w:vAlign w:val="bottom"/>
          </w:tcPr>
          <w:p>
            <w:pPr>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principal payments</w:t>
            </w:r>
          </w:p>
        </w:tc>
        <w:tc>
          <w:tcPr>
            <w:tcW w:w="16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Unamortized discount</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3180" w:type="dxa"/>
            <w:vAlign w:val="bottom"/>
            <w:shd w:val="clear" w:color="auto" w:fill="CFF0FC"/>
          </w:tcPr>
          <w:p>
            <w:pPr>
              <w:spacing w:after="0"/>
              <w:rPr>
                <w:sz w:val="20"/>
                <w:szCs w:val="20"/>
                <w:color w:val="auto"/>
              </w:rPr>
            </w:pPr>
            <w:r>
              <w:rPr>
                <w:rFonts w:ascii="Arial" w:cs="Arial" w:eastAsia="Arial" w:hAnsi="Arial"/>
                <w:sz w:val="18"/>
                <w:szCs w:val="18"/>
                <w:color w:val="auto"/>
              </w:rPr>
              <w:t>Unamortized debt issuance costs</w:t>
            </w:r>
          </w:p>
        </w:tc>
        <w:tc>
          <w:tcPr>
            <w:tcW w:w="16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3"/>
        </w:trPr>
        <w:tc>
          <w:tcPr>
            <w:tcW w:w="3180" w:type="dxa"/>
            <w:vAlign w:val="bottom"/>
          </w:tcPr>
          <w:p>
            <w:pPr>
              <w:ind w:left="260"/>
              <w:spacing w:after="0"/>
              <w:rPr>
                <w:sz w:val="20"/>
                <w:szCs w:val="20"/>
                <w:color w:val="auto"/>
              </w:rPr>
            </w:pPr>
            <w:r>
              <w:rPr>
                <w:rFonts w:ascii="Arial" w:cs="Arial" w:eastAsia="Arial" w:hAnsi="Arial"/>
                <w:sz w:val="18"/>
                <w:szCs w:val="18"/>
                <w:color w:val="auto"/>
              </w:rPr>
              <w:t>Total debt — net carrying amount</w:t>
            </w:r>
          </w:p>
        </w:tc>
        <w:tc>
          <w:tcPr>
            <w:tcW w:w="1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vMerge w:val="restart"/>
          </w:tcPr>
          <w:p>
            <w:pPr>
              <w:jc w:val="right"/>
              <w:ind w:right="671"/>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8" w:name="page19"/>
    <w:bookmarkEnd w:id="18"/>
    <w:p>
      <w:pPr>
        <w:ind w:right="100"/>
        <w:spacing w:after="0" w:line="284" w:lineRule="auto"/>
        <w:rPr>
          <w:sz w:val="20"/>
          <w:szCs w:val="20"/>
          <w:color w:val="auto"/>
        </w:rPr>
      </w:pPr>
      <w:r>
        <w:rPr>
          <w:rFonts w:ascii="Arial" w:cs="Arial" w:eastAsia="Arial" w:hAnsi="Arial"/>
          <w:sz w:val="16"/>
          <w:szCs w:val="16"/>
          <w:i w:val="1"/>
          <w:iCs w:val="1"/>
          <w:color w:val="auto"/>
        </w:rPr>
        <w:t xml:space="preserve">MidCap Credit Facility </w:t>
      </w:r>
      <w:r>
        <w:rPr>
          <w:rFonts w:ascii="Arial" w:cs="Arial" w:eastAsia="Arial" w:hAnsi="Arial"/>
          <w:sz w:val="16"/>
          <w:szCs w:val="16"/>
          <w:color w:val="auto"/>
        </w:rPr>
        <w:t>— In August 2019, the Company closed the MidCap Credit Facility, which provides a secured term loan facility with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amount of up to $75.0 million. The Company borrowed the first advance of $40.0 million (“Tranche 1”) on August 6, 2019. Under the terms of the MidCap Credit Facility, the second advance of $10.0 million (“Tranche 2”) was available to the Company until April 15, 2020, provided that the Company had achieved Afrezza net revenue of at least $30.0 million on a trailing twelve month basis by that date (which was not achieved). The third advance of $25.0 million (“Tranche 3”) will be available to the Company until June 30, 2021, subject to the satisfaction of certain milestone conditions associated with Afrezza trailing net revenue and certain milestone conditions related to the Company’s collaboration with United Therapeutics (see Note 7</w:t>
      </w:r>
    </w:p>
    <w:p>
      <w:pPr>
        <w:spacing w:after="0" w:line="4"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and Licensing Arrangements</w:t>
      </w:r>
      <w:r>
        <w:rPr>
          <w:rFonts w:ascii="Arial" w:cs="Arial" w:eastAsia="Arial" w:hAnsi="Arial"/>
          <w:sz w:val="18"/>
          <w:szCs w:val="18"/>
          <w:color w:val="auto"/>
        </w:rPr>
        <w:t>). In August 2019, the Company recognized a $1.5 million commitment asset and a $0.4 million other asset for deferred debt issuance costs related to the future funding commitments of the MidCap Credit Facility. The Company determined that such milestone conditions related to Afrezza trailing net revenue were unlikely to be achieved. As a result, the Company recognized an asset impairment of $0.4 million and $1.9 million for the three and six months ended June 30, 2020, respectively.</w:t>
      </w:r>
    </w:p>
    <w:p>
      <w:pPr>
        <w:spacing w:after="0" w:line="19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December 2019, the Company entered into an amendment to the MidCap Credit Facility, pursuant to which the parties agreed to (i) amend the financial covenant relating to trailing twelve month minimum Afrezza Net Revenue (as defined in the MidCap Credit Facility) requirements, (ii) add a condition to the third advance of $25.0 million that requires the Company achieve certain amounts of Afrezza Net Revenue, and (iii) increase the exit fee from 6.00% to 7.00% of the principal amount of all term loans advanced to the Company under the MidCap Credit Facility.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Tranche 1 and, if borrowed, Tranche 3, each accrue interest at an annual rate equal to one-month LIBOR plus 6.75%, subject to a one-month LIBOR floor of 2.00%. Interest on each term loan advance is due and payable monthly in arrears. Principal on the term loan advance under Tranche 1 is payable in 36 equal monthly installments beginning September 1, 2021, until paid in full on August 1, 2024, and principal on any term loan advance under Tranche 3 is payable beginning on the later of (i) September 1, 2021, and (ii) the first day of the first full calendar month immediately following such term loan advance, in an amount equal to the outstanding term loan advance in respect of Tranche 3 divided by the number of full calendar months remaining before August 1, 2024. The Company has the option to prepay the term loans, in whole or in part, subject to early termination fees in an amount equal to 3.00% of principal prepaid if prepayment occurs on or prior to the first anniversary of the closing date, 2.00% of principal prepaid if prepayment occurs after the first anniversary of the closing date but on or prior to the second anniversary of the closing date, and 1.00% of principal prepaid if prepayment occurs after the second anniversary of the closing date and prior to or on the third anniversary of the closing date. In connection with execution of the MidCap Credit Facility, the Company paid MidCap a $0.4 million origination fee.</w:t>
      </w:r>
    </w:p>
    <w:p>
      <w:pPr>
        <w:spacing w:after="0" w:line="1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Company’s obligations under the MidCap Credit Facility are secured by a security interest on substantially all of its assets, including intellectual property.</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MidCap Credit Facility contains customary affirmative covenants and customary negative covenants limiting the Company’s ability and the ability of the Company’s subsidiary to, among other things, dispose of assets, undergo a change in control, merge or consolidate, make acquisitions, incur debt, incur liens, pay dividends, repurchase stock and make investments, in each case subject to certain exceptions. The Company must also comply with a financial covenant relating to trailing twelve month minimum Afrezza net revenue, tested on a monthly basis, and a minimum cash covenant of $15.0 million at all times, which will increase to $20.0 million following the funding of Tranche 3. As of June 30, 2020, the Company was in compliance with the financial and minimum cash covenants.</w:t>
      </w:r>
    </w:p>
    <w:p>
      <w:pPr>
        <w:spacing w:after="0" w:line="19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MidCap Credit Facility also contains customary events of default relating to, among other things, payment defaults, breaches of covenants, a material adverse change, listing of the Company’s common stock, bankruptcy and insolvency, cross defaults with certain material indebtedness and certain material contracts, judgments, and inaccuracies of representations and warranties. Upon an event of default, the agent and the lenders may declare all or a portion of the Company’s outstanding obligations to be immediately due and payable and exercise other rights and remedies provided for under the MidCap Credit Facility. During the existence of an event of default, interest on the term loans could be increased by 2.00%.</w:t>
      </w:r>
    </w:p>
    <w:p>
      <w:pPr>
        <w:spacing w:after="0" w:line="17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also agreed to issue warrants to purchase shares of the Company’s common stock (the “MidCap warrants”) upon the drawdown of each term loan advance under the MidCap Credit Facility in an aggregate amount equal to 3.25% of the amount drawn, divided by the exercise price per share for that tranche. The exercise price per share is equal to the volume-weighted average closing price of the Company’s common stock for the ten business days immediately preceding the second business day before the issue date. As a result of Tranche 1, the Company issued warrants to purchase an aggregate of 1,171,614 shares of the Company’s common stock, at an exercise price equal to $1.11 per share. The MidCap warrants are immediately exercisable and expire on the earlier to occur of the seventh anniversary of the respective issue date or, in certain circumstances, the closing of a merger, sale or other consolidation transactions in which the consideration is cash, stock of a publicly traded acquirer, or a combination thereof.</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determined that these warrants met the criteria for equity classification and accounted for such warrants in additional paid-in capital.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9" w:name="page20"/>
    <w:bookmarkEnd w:id="19"/>
    <w:p>
      <w:pPr>
        <w:ind w:right="240"/>
        <w:spacing w:after="0" w:line="277" w:lineRule="auto"/>
        <w:rPr>
          <w:sz w:val="20"/>
          <w:szCs w:val="20"/>
          <w:color w:val="auto"/>
        </w:rPr>
      </w:pPr>
      <w:r>
        <w:rPr>
          <w:rFonts w:ascii="Arial" w:cs="Arial" w:eastAsia="Arial" w:hAnsi="Arial"/>
          <w:sz w:val="18"/>
          <w:szCs w:val="18"/>
          <w:i w:val="1"/>
          <w:iCs w:val="1"/>
          <w:color w:val="auto"/>
        </w:rPr>
        <w:t xml:space="preserve">Senior Notes </w:t>
      </w:r>
      <w:r>
        <w:rPr>
          <w:rFonts w:ascii="Arial" w:cs="Arial" w:eastAsia="Arial" w:hAnsi="Arial"/>
          <w:sz w:val="18"/>
          <w:szCs w:val="18"/>
          <w:color w:val="auto"/>
        </w:rPr>
        <w:t>— As of June 30, 2020 and December 31, 2019, there was $7.6 million and $</w:t>
      </w:r>
      <w:r>
        <w:rPr>
          <w:rFonts w:ascii="Arial" w:cs="Arial" w:eastAsia="Arial" w:hAnsi="Arial"/>
          <w:sz w:val="18"/>
          <w:szCs w:val="18"/>
          <w:i w:val="1"/>
          <w:iCs w:val="1"/>
          <w:color w:val="auto"/>
        </w:rPr>
        <w:t xml:space="preserve">10.2 </w:t>
      </w:r>
      <w:r>
        <w:rPr>
          <w:rFonts w:ascii="Arial" w:cs="Arial" w:eastAsia="Arial" w:hAnsi="Arial"/>
          <w:sz w:val="18"/>
          <w:szCs w:val="18"/>
          <w:color w:val="auto"/>
        </w:rPr>
        <w:t>million, respectively, of principal amount of senior notes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w:t>
      </w:r>
    </w:p>
    <w:p>
      <w:pPr>
        <w:spacing w:after="0" w:line="2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August 2019, the Company entered into a privately-negotiated exchange agreement with the holder of the 5.75% Convertible Senior Subordinated Exchange Notes due 2021 (the “2021 notes”), pursuant to which, among other things, the Company (i) repaid $1.5 million in cash to such holder, (ii) issued 4,017,857 shares of the Company’s common stock to such holder (at a conversion price of $1.12 per share), (iii) issued 5.75% Convertible Senior Subordinated Exchange Notes due November 2024 (the “2024 convertible notes”) to such holder in the principal amount of $5.0 million and (iv) issued a $2.6 million note due June 2020 (the “June 2020 note”), a $2.6 million note due December 2020 (the “December 2020 note”, and together with the June 2020 note, the “2020 notes”), all in exchange for the cancellation of the $18.7 million in principal amount of the 2021 notes. The 2020 notes may be prepaid at any time on or prior to their respective maturity dates of June 30, 2020 and December 31, 2020 at the option of the Company. On June 24, 2020, the Company prepaid the June 2020 note with the issuance of 1,235,094 shares of the Company’s common stock, in accordance with the terms of the June 2020 note. The Company may elect to pay the December 2020 note at any time on or prior to their maturity date, if certain conditions are met, in shares of the Company’s common stock at a price per share equal to the last reported sale price on the trading day immediately prior to the payment date.</w:t>
      </w:r>
    </w:p>
    <w:p>
      <w:pPr>
        <w:spacing w:after="0" w:line="16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2024 convertible notes were issued pursuant to an indenture, dated as of August 6, 2019, between the Company and U.S. Bank National Association, as trustee (the “Indenture”). The 2024 convertible notes are the Company’s general, unsecured obligations, and are subordinated in right of payment to the indebtedness incurred pursuant to the MidCap Credit Facility. The 2024 convertible notes rank equally in right of payment with the Company’s other unsecured senior debt. The 2024 convertible notes accrue interest at the rate of 5.75% per year on the principal amount, payable semiannually in arrears on February 15 and August 15 of each year, beginning February 15, 2020, with interest accruing from August 6, 2019. Interest on the 2024 convertible notes will be payable in cash or, at the option of the Company if certain conditions are met, in shares of the Company’s common stock at a price per share equal to the last reported sale price on the trading day immediately prior to the interest payment date. The 2024 convertible notes will mature on the earlier of (i) November 4, 2024 or (ii) the 91</w:t>
      </w:r>
      <w:r>
        <w:rPr>
          <w:rFonts w:ascii="Arial" w:cs="Arial" w:eastAsia="Arial" w:hAnsi="Arial"/>
          <w:sz w:val="14"/>
          <w:szCs w:val="14"/>
          <w:color w:val="auto"/>
        </w:rPr>
        <w:t>st</w:t>
      </w:r>
      <w:r>
        <w:rPr>
          <w:rFonts w:ascii="Arial" w:cs="Arial" w:eastAsia="Arial" w:hAnsi="Arial"/>
          <w:sz w:val="17"/>
          <w:szCs w:val="17"/>
          <w:color w:val="auto"/>
        </w:rPr>
        <w:t xml:space="preserve"> day after the payment in full of, and termination and discharge of all obligations (other than contingent indemnity obligations) under the MidCap Credit Facility.</w:t>
      </w:r>
    </w:p>
    <w:p>
      <w:pPr>
        <w:spacing w:after="0" w:line="18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2024 convertible notes are convertible, at the option of the holder, at any time on or prior to the close of business on the business day immediately preceding the stated maturity date, into shares of the Company’s common stock at a conversion rate of 333.3333 shares per $1,000 principal amount of 2024 convertible notes, which is equal to a conversion price of approximately $3.00 per share.</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certain bankruptcy and insolvency-related events of default occur, the principal of, and accrued and unpaid interest on, all of the then outstanding 2024 convertible notes shall automatically become due and payable. If an event of default other than certain bankruptcy and insolvency-related events of defaults occurs and is continuing, the Trustee or the holders of at least 25% in aggregate principal amount of the then-outstanding 2024 convertible notes, by written notice to the Trustee, may declare the 2024 convertible notes due and payable at their principal amount plus any accrued and unpaid interest, and thereupon the Trustee may, at its discretion, proceed to protect and enforce the rights of the holders by the appropriate judicial proceedings. Notwithstanding the foregoing, the Indenture provides that, to the extent the Company elects, the sole remedy for an event of default relating to certain failures by the Company to comply with certain reporting covenants in the Indenture will, for the first 180 days after such event of default, consist exclusively of the right to receive additional interest on the 2024 convertible notes.</w:t>
      </w:r>
    </w:p>
    <w:p>
      <w:pPr>
        <w:spacing w:after="0" w:line="17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the Company undergoes certain fundamental changes, except in certain circumstances, each holder of 2024 convertible notes will have the option to require the Company to repurchase all or any portion of that holder’s 2024 convertible notes. The fundamental change repurchase price will be 100% of the principal amount of the 2024 convertible notes to be repurchased plus accrued and unpaid interest, if any.</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may elect at its option to cause all or any portion of the 2024 convertible notes to be mandatorily converted in whole or in part at any time prior to the close of business on the business day immediately preceding the maturity date, if the last reported sale price of its common stock equals or exceeds 120% of the conversion price then in effect for at least 10 trading days in any 20 trading day period, ending within five business days prior to the date of the mandatory conversion notice.</w:t>
      </w:r>
    </w:p>
    <w:p>
      <w:pPr>
        <w:spacing w:after="0" w:line="18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 xml:space="preserve">Mann Group promissory notes </w:t>
      </w:r>
      <w:r>
        <w:rPr>
          <w:rFonts w:ascii="Arial" w:cs="Arial" w:eastAsia="Arial" w:hAnsi="Arial"/>
          <w:sz w:val="18"/>
          <w:szCs w:val="18"/>
          <w:color w:val="auto"/>
        </w:rPr>
        <w:t>— In August 2019, the Company entered into a privately-negotiated exchange agreement with The Mann Group LLC (the</w:t>
      </w:r>
      <w:r>
        <w:rPr>
          <w:rFonts w:ascii="Arial" w:cs="Arial" w:eastAsia="Arial" w:hAnsi="Arial"/>
          <w:sz w:val="18"/>
          <w:szCs w:val="18"/>
          <w:i w:val="1"/>
          <w:iCs w:val="1"/>
          <w:color w:val="auto"/>
        </w:rPr>
        <w:t xml:space="preserve"> </w:t>
      </w:r>
      <w:r>
        <w:rPr>
          <w:rFonts w:ascii="Arial" w:cs="Arial" w:eastAsia="Arial" w:hAnsi="Arial"/>
          <w:sz w:val="18"/>
          <w:szCs w:val="18"/>
          <w:color w:val="auto"/>
        </w:rPr>
        <w:t>“Mann Group”), pursuant to which, among other things, the Company (i) repaid $3.0 million in cash to the Mann Group, (ii) issued 7,142,857 shares of the Company’s common stock to the Mann Group (at a conversion price of $1.12 per share), (iii) issued a $35.0 million note that is convertible into shares of the Company’s common stock at $2.50 per share (the “Mann Group convertible note”) and (iv) issued a non-convertible note to the Mann Group in an aggregate principal amount of $35.1 million (the “Mann Group non-convertible note” and, together with the Mann Group convertible note, the “Mann Group promissory notes”), all in exchange for the cancellation of the $71.5 million in principal and approximately $9.5 million in accrued interest paid-in-kind under the existing Mann Group loan arrangement.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The Mann Group promissory notes each accrue interest at the rate of 7.00% per year on the principal amount, payable quarterly in arrears on the first day of each calendar quarter beginning October 1, 2019.</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Mann Group convertible note will mature on November 3, 2024. The principal and any accrued and unpaid interest under the Mann Group convertible note may be converted, at the option of the Mann Group, at any time on or prior to the close of business on the business day immediately preceding the stated maturity date, into shares of the Company’s common stock at a conversion rate of 400 shares per $1,000 of principal and/or accrued and unpaid interest, which is equal to a conversion price of $2.50 per share. The conversion rate will be subject to adjustment under certain circumstances described in the Mann Group convertible note. Interest on the Mann Group convertible note will be payable in kind by adding the amount thereof to the principal amount; provided that with respect to interest accruing from and after January 1, 2021, the Company may, at its option, elect to pay any such interest on any interest payment date, if certain conditions are met, in shares of the Company’s common stock at a price per shall equal to the last reported sale price on the trading day immediately prior to the payment date.</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Mann Group non-convertible note will mature on the earlier of (i) November 3, 2024 or (ii) the 90th day after the repayment in full, and termination and discharge of all obligations (other than contingent indemnity obligations) under the MidCap Credit Facility. Interest on the Mann Group non-convertible note will be payable in kind by adding the amount thereof to the principal amount; provided that MannKind may, at its option, elect to pay any such interest on any interest payment date, if certain conditions are met, in shares of MannKind’s common stock at a price per shall equal to the last reported sale price on the trading day immediately prior to the interest payment date.</w:t>
      </w:r>
    </w:p>
    <w:p>
      <w:pPr>
        <w:spacing w:after="0" w:line="188" w:lineRule="exact"/>
        <w:rPr>
          <w:sz w:val="20"/>
          <w:szCs w:val="20"/>
          <w:color w:val="auto"/>
        </w:rPr>
      </w:pPr>
    </w:p>
    <w:p>
      <w:pPr>
        <w:ind w:right="40" w:firstLine="8"/>
        <w:spacing w:after="0" w:line="271" w:lineRule="auto"/>
        <w:tabs>
          <w:tab w:leader="none" w:pos="375"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Loan </w:t>
      </w:r>
      <w:r>
        <w:rPr>
          <w:rFonts w:ascii="Arial" w:cs="Arial" w:eastAsia="Arial" w:hAnsi="Arial"/>
          <w:sz w:val="17"/>
          <w:szCs w:val="17"/>
          <w:color w:val="auto"/>
        </w:rPr>
        <w:t>– On April 10, 2020, the Company received the proceeds from the PPP Loan from JPMorgan Chase Bank, N.A., as lender, in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$4.9 million pursuant to the PPP of the CARES Act. The PPP Loan matures on April 9, 2022 and bears interest at a rate of 0.98% per annum. On November 9, 2020, the Company may be required to pay the lender $1.4 million of principal and interest, including six months of payments deferred in accordance with the terms of the PPP Loan, and equal monthly payments of principal and interest thereafter as required to fully amortize the remaining principal amount by April 9, 2022. The PPP Loan is evidenced by a promissory note dated April 9, 2020, which contains customary events of default relating to, among other things, payment defaults and breaches of representations and warranties. The PPP Loan may be prepaid by the Company at any time prior to maturity with no prepayment penalties. As of June 30, 2020, $2.9 million is included in short-term notes payable and $2.0 million is included in Paycheck Protection Program loan — long term on our condensed consolidated balance sheets.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application to the lender by the Company beginning 60 days but not later than 120 days after loan approval and upon documentation of expenditures in accordance with the SBA requirements. Under the CARES Act, loan forgiveness is available for the sum of documented payroll costs, covered rent payments, covered interest and covered utilities during the 24-week period (or eight-week period at the Company’s option) beginning on the date of loan approval. For purposes of the CARES Act, payroll costs exclude compensation of an individual employee in excess of $100,000, prorated annually. Not more than 40% of the forgiven amount may be for non-payroll costs. Forgiveness is reduced if full-time headcount declines, or if salaries and wages for employees with salaries of $100,000 or less annually are reduced by more than 25%. In the event the PPP Loan, or any portion thereof, is forgiven pursuant to the PPP, the amount forgiven is applied to outstanding principal. Any unforgiven portion of the PPP Loan will be payable in accordance with the terms of the promissory note as described above.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used all proceeds from the PPP Loan to retain employees, maintain payroll and make lease, interest and utility payments.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Amortization of the premium and accretion of debt issuance costs related to all borrowings for the three and six months ended June 30, 2020 and 2019 are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0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0" w:type="dxa"/>
            <w:vAlign w:val="bottom"/>
            <w:tcBorders>
              <w:top w:val="single" w:sz="8" w:color="auto"/>
            </w:tcBorders>
          </w:tcPr>
          <w:p>
            <w:pPr>
              <w:jc w:val="right"/>
              <w:ind w:right="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18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22"/>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Amortization of debt issuance cost</w:t>
            </w:r>
          </w:p>
        </w:tc>
        <w:tc>
          <w:tcPr>
            <w:tcW w:w="1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(55)</w:t>
            </w: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r>
      <w:tr>
        <w:trPr>
          <w:trHeight w:val="22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premium</w:t>
            </w:r>
          </w:p>
        </w:tc>
        <w:tc>
          <w:tcPr>
            <w:tcW w:w="18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w:t>
            </w:r>
          </w:p>
        </w:tc>
      </w:tr>
      <w:tr>
        <w:trPr>
          <w:trHeight w:val="432"/>
        </w:trPr>
        <w:tc>
          <w:tcPr>
            <w:tcW w:w="402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ind w:right="60"/>
        <w:spacing w:after="0" w:line="271" w:lineRule="auto"/>
        <w:rPr>
          <w:sz w:val="20"/>
          <w:szCs w:val="20"/>
          <w:color w:val="auto"/>
        </w:rPr>
      </w:pPr>
      <w:r>
        <w:rPr>
          <w:rFonts w:ascii="Arial" w:cs="Arial" w:eastAsia="Arial" w:hAnsi="Arial"/>
          <w:sz w:val="17"/>
          <w:szCs w:val="17"/>
          <w:i w:val="1"/>
          <w:iCs w:val="1"/>
          <w:color w:val="auto"/>
        </w:rPr>
        <w:t xml:space="preserve">Milestone Rights </w:t>
      </w:r>
      <w:r>
        <w:rPr>
          <w:rFonts w:ascii="Arial" w:cs="Arial" w:eastAsia="Arial" w:hAnsi="Arial"/>
          <w:sz w:val="17"/>
          <w:szCs w:val="17"/>
          <w:color w:val="auto"/>
        </w:rPr>
        <w:t>— As of June 30, 2020 and December 31, 2019, the remaining Milestone Rights liability balance was $7.3 million, which was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fair value estimates calculated using the income approach and reduced by milestone achievement payments made. During the third quarter of 2019, the Company achieved the first Afrezza net sales milestone specified by the Milestone Rights. The Company currently estimates that it will reach the next milestone in the first quarter of 2021, at which point the Company will be required to make a $5.0 million payment in the following quarter. The carrying value of the Milestone Rights liability related to this $5.0 million payment is approximately $1.3 million, which represents the fair value related to this payment that was determined in 2013 (the most recent measurement date). Accordingly, approximately $1.3 million in value related to the next milestone payment was recorded in accrued expenses and other current liabilities and the remaining long-term portion of $5.9 million is included as Milestone Rights liability in the accompanying condensed consolidated balance sheets as of June 30, 2020.</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agreement with the Milestone Purchasers that provides for the Milestone Rights includes customary representations and warranties and covenants by the Company, including restrictions on transfers of intellectual property related to Afrezza. The Milestone Rights are subject to acceleration in the event the Company transfers its intellectual property related to Afrezza in violation of the terms of such agreement. The Company has initially recorded the Milestone Rights at their estimated fair value.</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Collaboration and Licensing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Revenue from collaborations and services for the three and six months ended June 30, 2020 and 2019 are as follows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500" w:type="dxa"/>
            <w:vAlign w:val="bottom"/>
            <w:gridSpan w:val="5"/>
          </w:tcPr>
          <w:p>
            <w:pPr>
              <w:jc w:val="right"/>
              <w:ind w:right="253"/>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820" w:type="dxa"/>
            <w:vAlign w:val="bottom"/>
            <w:tcBorders>
              <w:bottom w:val="single" w:sz="8" w:color="CFF0FC"/>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UT License Agreement</w:t>
            </w: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7,978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7,779</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15,394</w:t>
            </w:r>
          </w:p>
        </w:tc>
        <w:tc>
          <w:tcPr>
            <w:tcW w:w="120" w:type="dxa"/>
            <w:vAlign w:val="bottom"/>
            <w:shd w:val="clear" w:color="auto" w:fill="CFF0FC"/>
          </w:tcPr>
          <w:p>
            <w:pPr>
              <w:spacing w:after="0"/>
              <w:rPr>
                <w:sz w:val="19"/>
                <w:szCs w:val="19"/>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color w:val="auto"/>
              </w:rPr>
              <w:t>UT Research Agreement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1,058</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5,716</w:t>
            </w:r>
          </w:p>
        </w:tc>
        <w:tc>
          <w:tcPr>
            <w:tcW w:w="120" w:type="dxa"/>
            <w:vAlign w:val="bottom"/>
          </w:tcPr>
          <w:p>
            <w:pPr>
              <w:spacing w:after="0"/>
              <w:rPr>
                <w:sz w:val="19"/>
                <w:szCs w:val="19"/>
                <w:color w:val="auto"/>
              </w:rPr>
            </w:pPr>
          </w:p>
        </w:tc>
      </w:tr>
      <w:tr>
        <w:trPr>
          <w:trHeight w:val="229"/>
        </w:trPr>
        <w:tc>
          <w:tcPr>
            <w:tcW w:w="5820" w:type="dxa"/>
            <w:vAlign w:val="bottom"/>
            <w:shd w:val="clear" w:color="auto" w:fill="CFF0FC"/>
          </w:tcPr>
          <w:p>
            <w:pPr>
              <w:spacing w:after="0"/>
              <w:rPr>
                <w:sz w:val="20"/>
                <w:szCs w:val="20"/>
                <w:color w:val="auto"/>
              </w:rPr>
            </w:pPr>
            <w:r>
              <w:rPr>
                <w:rFonts w:ascii="Arial" w:cs="Arial" w:eastAsia="Arial" w:hAnsi="Arial"/>
                <w:sz w:val="18"/>
                <w:szCs w:val="18"/>
                <w:color w:val="auto"/>
              </w:rPr>
              <w:t>Receptor CLA</w:t>
            </w: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FF0FC"/>
          </w:tcPr>
          <w:p>
            <w:pPr>
              <w:spacing w:after="0"/>
              <w:rPr>
                <w:sz w:val="19"/>
                <w:szCs w:val="19"/>
                <w:color w:val="auto"/>
              </w:rPr>
            </w:pPr>
          </w:p>
        </w:tc>
      </w:tr>
      <w:tr>
        <w:trPr>
          <w:trHeight w:val="229"/>
        </w:trPr>
        <w:tc>
          <w:tcPr>
            <w:tcW w:w="5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Cipla distribution agreement</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FF0FC"/>
            </w:tcBorders>
          </w:tcPr>
          <w:p>
            <w:pPr>
              <w:spacing w:after="0"/>
              <w:rPr>
                <w:sz w:val="19"/>
                <w:szCs w:val="19"/>
                <w:color w:val="auto"/>
              </w:rPr>
            </w:pPr>
          </w:p>
        </w:tc>
      </w:tr>
      <w:tr>
        <w:trPr>
          <w:trHeight w:val="223"/>
        </w:trPr>
        <w:tc>
          <w:tcPr>
            <w:tcW w:w="58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 from collaborations and services</w:t>
            </w: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8,129</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2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United Therapeutics License Agreement </w:t>
      </w:r>
      <w:r>
        <w:rPr>
          <w:rFonts w:ascii="Arial" w:cs="Arial" w:eastAsia="Arial" w:hAnsi="Arial"/>
          <w:sz w:val="18"/>
          <w:szCs w:val="18"/>
          <w:color w:val="auto"/>
        </w:rPr>
        <w:t>— In September 2018, the Company and United Therapeutics Corporation (“United Therapeutics” or “UT”)</w:t>
      </w:r>
      <w:r>
        <w:rPr>
          <w:rFonts w:ascii="Arial" w:cs="Arial" w:eastAsia="Arial" w:hAnsi="Arial"/>
          <w:sz w:val="18"/>
          <w:szCs w:val="18"/>
          <w:i w:val="1"/>
          <w:iCs w:val="1"/>
          <w:color w:val="auto"/>
        </w:rPr>
        <w:t xml:space="preserve"> </w:t>
      </w:r>
      <w:r>
        <w:rPr>
          <w:rFonts w:ascii="Arial" w:cs="Arial" w:eastAsia="Arial" w:hAnsi="Arial"/>
          <w:sz w:val="18"/>
          <w:szCs w:val="18"/>
          <w:color w:val="auto"/>
        </w:rPr>
        <w:t>entered into an exclusive global license and collaboration agreement (the “UT License Agreement”) for the rights to the Company’s dry powder formulation of treprostinil (“TreT”) and associated inhalation delivery devices. Under the UT License Agreement, UT is responsible for global development, regulatory and commercial activities with respect to TreT. The Company is responsible for manufacturing clinical supplies and commercial supplies of TreT.</w:t>
      </w:r>
    </w:p>
    <w:p>
      <w:pPr>
        <w:spacing w:after="0" w:line="188" w:lineRule="exact"/>
        <w:rPr>
          <w:sz w:val="20"/>
          <w:szCs w:val="20"/>
          <w:color w:val="auto"/>
        </w:rPr>
      </w:pPr>
    </w:p>
    <w:p>
      <w:pPr>
        <w:ind w:right="260"/>
        <w:spacing w:after="0" w:line="271" w:lineRule="auto"/>
        <w:rPr>
          <w:sz w:val="20"/>
          <w:szCs w:val="20"/>
          <w:color w:val="auto"/>
        </w:rPr>
      </w:pPr>
      <w:r>
        <w:rPr>
          <w:rFonts w:ascii="Arial" w:cs="Arial" w:eastAsia="Arial" w:hAnsi="Arial"/>
          <w:sz w:val="17"/>
          <w:szCs w:val="17"/>
          <w:color w:val="auto"/>
        </w:rPr>
        <w:t>Under the terms of the UT License Agreement, the Company received an upfront payment of $45.0 million in October 2018 and three $12.5 million milestone payments through the second quarter of 2020. The Company may receive an additional milestone payment of $12.5 million upon the achievement of specified development targets. The Company will also be entitled to receive low double-digit royalties on net sales of TreT. UT, at its option, may expand the scope of the products covered by the UT License Agreement to include products with certain other active ingredients for the treatment of pulmonary arterial hypertension. Each such optioned product would be subject to UT’s payment to the Company of up to $40.0 million in additional option exercise and development milestone payments, as well as a low double-digit royalty on net sales of any such product. The Company recognizes revenue on a ratable basis from October 2018 through December 2021; the estimated date when its performance obligations for development activities under UT License Agreement will be substantially completed.</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At the inception of the agreement, the Company identified one distinct, performance obligation. The Company determined that the key deliverables include the license, supply of product to be used in clinical development, and certain research services upon achievement of specified development targets. Due to the specialized and unique nature of these services and their direct relationship with the license, the Company has determined that these deliverables represent one distinct bundle and thus, one performance obligation. The Company also determined that UT’s option to expand the scope of the products to include products with other active ingredients is not a material right, and thus, not a performance obligation at the onset of the agreement. The consideration for the option will be accounted for upon exercise of the option.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ind w:right="100"/>
        <w:spacing w:after="0" w:line="289" w:lineRule="auto"/>
        <w:rPr>
          <w:sz w:val="20"/>
          <w:szCs w:val="20"/>
          <w:color w:val="auto"/>
        </w:rPr>
      </w:pPr>
      <w:r>
        <w:rPr>
          <w:rFonts w:ascii="Arial" w:cs="Arial" w:eastAsia="Arial" w:hAnsi="Arial"/>
          <w:sz w:val="16"/>
          <w:szCs w:val="16"/>
          <w:color w:val="auto"/>
        </w:rPr>
        <w:t>The Company expects to complete the activities specified in the development plan and to achieve the remaining milestone events for total consideration of approximately $101.4 million, which includes an upfront payment, four milestone payments and various pass-through costs. Future commercial supply remains at UT’s option and is valued at a stand-alone selling price and, therefore, is not accounted for under the current arrangement. The Company believes that this method best reflects the measure of progress toward complete satisfaction of the performance obligation. Deferred revenue related to the UT License Agreement is being recognized in net revenue — collaborations over a 13-quarter period ending December 31, 2021, which represents the estimated period to satisfy the performance obligation. As of June 30, 2020, the deferred revenue for the UT License Agreement consisted of $35.0 million, of which $31.9 million was classified as a current liability and $3.1 million was classified as long-term. Deferred revenue is classified as part of current or long-term liability in the accompanying condensed consolidated balance sheets based on the Company’s estimate of the portion of the performance obligation that will be completed within the next 12 months, and includes payments received as well as payments receivable.</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United Therapeutics Research Agreement — </w:t>
      </w:r>
      <w:r>
        <w:rPr>
          <w:rFonts w:ascii="Arial" w:cs="Arial" w:eastAsia="Arial" w:hAnsi="Arial"/>
          <w:sz w:val="17"/>
          <w:szCs w:val="17"/>
          <w:color w:val="auto"/>
        </w:rPr>
        <w:t>In September 2018, the Company and UT also entered into a research agreement (“UT Research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conduct of research and consulting services in connection with multiple potential products, including evaluating the feasibility of preparing a dry powder formulation of a compound for the treatment of pulmonary hypertension outside the scope of the UT License Agreement. In addition, UT, at its option, may obtain a license to develop, manufacture and commercialize products based on specified compounds within the drug classes covered by the UT Research Agreement. Each specified compound advanced into development and commercialization under such a license would be subject to the payment to the Company of additional milestone payments of up to $30.0 million and a low double-digit royalty on net sales of such products. In connection with the UT Research Agreement, the Company received an upfront payment of $10.0 million in September 2018.</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the inception of the UT Research Agreement, the Company identified two distinct performance obligations. The Company determined that the key deliverables of each performance obligation include (i) the development of a product prototype (including a technical feasibility report) and; (ii) engineering consulting services. Due to the separately identifiable nature of these obligations, the Company has determined that these deliverables represent two distinct performance obligations. The Company also determined that UT’s option to expand the scope to include specific drug classes covered by the agreement is not a material right, and thus, not a performance obligation at the onset of the agreement. The consideration for the option will be accounted for upon exercise of the option.</w:t>
      </w:r>
    </w:p>
    <w:p>
      <w:pPr>
        <w:spacing w:after="0" w:line="192"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allocated the total $10.0 million transaction price to its two distinct performance obligations based on available observable market inputs. A transaction price of $9.0 million was allocated to the product prototype and a transaction price of $1.0 million was allocated to engineering consulting services. The revenue for the product prototype was recognized using an output method (based on project milestones achieved and surveys of performance completed to date). The Company believed that this method best reflected the measure of progress toward complete satisfaction of the performance obligation. The revenue for the engineering consulting services was recognized using a ratable method until the obligation was satisfied. The Company believed that this method best reflected the measure of progress toward complete satisfaction of the performance obligation. The performance obligations for engineering consulting services and the product prototype were completed in April 2020 and June 2019, respectively.</w:t>
      </w:r>
    </w:p>
    <w:p>
      <w:pPr>
        <w:spacing w:after="0" w:line="18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i w:val="1"/>
          <w:iCs w:val="1"/>
          <w:color w:val="auto"/>
        </w:rPr>
        <w:t xml:space="preserve">Receptor Collaboration and License Agreement </w:t>
      </w:r>
      <w:r>
        <w:rPr>
          <w:rFonts w:ascii="Arial" w:cs="Arial" w:eastAsia="Arial" w:hAnsi="Arial"/>
          <w:sz w:val="18"/>
          <w:szCs w:val="18"/>
          <w:color w:val="auto"/>
        </w:rPr>
        <w:t>— In 2016, the Company entered into a collaboration and license agreement (the “CLA”) with Receptor</w:t>
      </w:r>
      <w:r>
        <w:rPr>
          <w:rFonts w:ascii="Arial" w:cs="Arial" w:eastAsia="Arial" w:hAnsi="Arial"/>
          <w:sz w:val="18"/>
          <w:szCs w:val="18"/>
          <w:i w:val="1"/>
          <w:iCs w:val="1"/>
          <w:color w:val="auto"/>
        </w:rPr>
        <w:t xml:space="preserve"> </w:t>
      </w:r>
      <w:r>
        <w:rPr>
          <w:rFonts w:ascii="Arial" w:cs="Arial" w:eastAsia="Arial" w:hAnsi="Arial"/>
          <w:sz w:val="18"/>
          <w:szCs w:val="18"/>
          <w:color w:val="auto"/>
        </w:rPr>
        <w:t>Life Sciences, Inc. (“Receptor”) pursuant to which Receptor subsequently acquired an exclusive license to develop, manufacture and commercialize products that use the Company’s technology to deliver certain compounds via oral inhalation in exchange for upfront license fees, milestone payments upon the completion of certain technology transfer activities and the achievement of specified sales targets as well as royalties upon Receptor’s and its sublicensees’ sale of products.</w:t>
      </w:r>
    </w:p>
    <w:p>
      <w:pPr>
        <w:spacing w:after="0" w:line="20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$1.0 million license fee received in 2016 was recorded in deferred revenue from collaborations as of December 31, 2016 and is being recognized in net revenue — collaborations over four years, the estimated period over which the Company is required to satisfy the remaining performance obligations. The remaining performance obligations are to provide certain technology transfer activities. As of June 30, 2020, the deferred revenue balance was $0.1 million, which was classified as a current liability in the accompanying condensed consolidated balance sheets.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The additional payments referred to above represent variable consideration for which the Company has not recognized any revenue because it is uncertain that Receptor will be able to successfully develop, manufacture or sell product related to this license. There was no change to the accounting for this contract as a result of the initial application of the new revenue guidance since (i) the receipt of such payments is highly susceptible to factors outside of the Company’s influence, (ii) the uncertainty regarding the receipt of these payments is not expected to be resolved for years, and (iii) the Company has limited experience with similar contracts. See Note 1 – </w:t>
      </w:r>
      <w:r>
        <w:rPr>
          <w:rFonts w:ascii="Arial" w:cs="Arial" w:eastAsia="Arial" w:hAnsi="Arial"/>
          <w:sz w:val="18"/>
          <w:szCs w:val="18"/>
          <w:i w:val="1"/>
          <w:iCs w:val="1"/>
          <w:color w:val="auto"/>
        </w:rPr>
        <w:t>Description of Business and Significant Accounting Policies</w:t>
      </w:r>
      <w:r>
        <w:rPr>
          <w:rFonts w:ascii="Arial" w:cs="Arial" w:eastAsia="Arial" w:hAnsi="Arial"/>
          <w:sz w:val="18"/>
          <w:szCs w:val="18"/>
          <w:color w:val="auto"/>
        </w:rPr>
        <w:t xml:space="preserve"> for additional information on the Company’s revenue recognition accounting policy.</w:t>
      </w:r>
    </w:p>
    <w:p>
      <w:pPr>
        <w:spacing w:after="0" w:line="19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In 2017, the Company entered into a manufacturing and supply agreement with Receptor pursuant to which the Company agreed to provide certain raw materials and certain additional research and formulation consulting services to Receptor. For the three and six months ended June 30, 2020 and 2019, the additional research and formulation services provided to Receptor were </w:t>
      </w:r>
      <w:r>
        <w:rPr>
          <w:rFonts w:ascii="Arial" w:cs="Arial" w:eastAsia="Arial" w:hAnsi="Arial"/>
          <w:sz w:val="18"/>
          <w:szCs w:val="18"/>
          <w:i w:val="1"/>
          <w:iCs w:val="1"/>
          <w:color w:val="auto"/>
        </w:rPr>
        <w:t>de minimis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3" w:name="page24"/>
    <w:bookmarkEnd w:id="23"/>
    <w:p>
      <w:pPr>
        <w:ind w:right="40"/>
        <w:spacing w:after="0" w:line="255" w:lineRule="auto"/>
        <w:rPr>
          <w:sz w:val="20"/>
          <w:szCs w:val="20"/>
          <w:color w:val="auto"/>
        </w:rPr>
      </w:pPr>
      <w:r>
        <w:rPr>
          <w:rFonts w:ascii="Arial" w:cs="Arial" w:eastAsia="Arial" w:hAnsi="Arial"/>
          <w:sz w:val="18"/>
          <w:szCs w:val="18"/>
          <w:i w:val="1"/>
          <w:iCs w:val="1"/>
          <w:color w:val="auto"/>
        </w:rPr>
        <w:t xml:space="preserve">Biomm Supply and Distribution Agreement </w:t>
      </w:r>
      <w:r>
        <w:rPr>
          <w:rFonts w:ascii="Arial" w:cs="Arial" w:eastAsia="Arial" w:hAnsi="Arial"/>
          <w:sz w:val="18"/>
          <w:szCs w:val="18"/>
          <w:color w:val="auto"/>
        </w:rPr>
        <w:t>— In May 2017, the Company and Biomm entered into a supply and distribution agreement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commercialization of Afrezza in Brazil. Under this agreement, Biomm was responsible for pursuing regulatory approvals of Afrezza in Brazil, including from the Agência Nacional de Vigilância Sanitária (“ANVISA”) and, with respect to pricing matters, from the Camara de Regulação de Mercado de Medicamentos (“CMED”), both of which have now been received. Biomm commenced product sales in January 2020. The Company sold $0.2 million of product to Biomm during the three and six months ended June 30, 2020, which was recognized as net revenue — commercial product sales. There were no such product sales during the three and six months ended June 30, 2019.</w:t>
      </w:r>
    </w:p>
    <w:p>
      <w:pPr>
        <w:spacing w:after="0" w:line="192"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i w:val="1"/>
          <w:iCs w:val="1"/>
          <w:color w:val="auto"/>
        </w:rPr>
        <w:t xml:space="preserve">Cipla License and Distribution Agreement </w:t>
      </w:r>
      <w:r>
        <w:rPr>
          <w:rFonts w:ascii="Arial" w:cs="Arial" w:eastAsia="Arial" w:hAnsi="Arial"/>
          <w:sz w:val="16"/>
          <w:szCs w:val="16"/>
          <w:color w:val="auto"/>
        </w:rPr>
        <w:t>— In May 2018, the Company and Cipla Ltd. (“Cipla”) entered into an exclusive agreement for the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distribution of Afrezza in India and the Company received a $2.2 million nonrefundable license fee. Under the terms of the agreement, Cipla will be responsible for obtaining regulatory approvals to distribute Afrezza in India and for all marketing and sales activities of Afrezza in India. The Company is responsible for supplying Afrezza to Cipla. The Company has the potential to receive certain additional regulatory milestone payments, minimum purchase commitment revenue and royalties on Afrezza sales in India once cumulative gross sales have reached a specified threshold.</w:t>
      </w:r>
    </w:p>
    <w:p>
      <w:pPr>
        <w:spacing w:after="0" w:line="14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nonrefundable licensing fee was recorded in deferred revenue and is being recognized in net revenue – collaborations over 15 years, representing the estimated period to satisfy the performance obligation. The additional milestone payments represent variable consideration for which the Company has not recognized any revenue because of the uncertainty of obtaining marketing approval. The Company also recognized $0.2 million as income tax expense for a payment made to the India tax authority in 2018. As of June 30, 2020, the deferred revenue balance was $1.9 million, of which $0.2 million is classified as current and $1.7 million is classified as long term in the accompanying condensed consolidated balance sheets.</w:t>
      </w:r>
    </w:p>
    <w:p>
      <w:pPr>
        <w:spacing w:after="0" w:line="16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 xml:space="preserve">AMSL Distribution Agreement </w:t>
      </w:r>
      <w:r>
        <w:rPr>
          <w:rFonts w:ascii="Arial" w:cs="Arial" w:eastAsia="Arial" w:hAnsi="Arial"/>
          <w:sz w:val="18"/>
          <w:szCs w:val="18"/>
          <w:color w:val="auto"/>
        </w:rPr>
        <w:t>— In May 2019, the Company entered into an exclusive marketing and distribution agreement with the AMSL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division of Australasian Medical &amp; Scientific Ltd. (“AMSL Diabetes”) for the commercialization of Afrezza in Australia. Under the terms of this agreement, AMSL Diabetes is responsible for obtaining regulatory and reimbursement approvals to distribute Afrezza in Australia. Upon regulatory approval, AMSL Diabetes will conduct sales, marketing, and customer support and distribution activities whereas the Company will be responsible for the supply and manufacturing of Afrezza.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Fair Value of Financial Instruments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availability of observable inputs can vary among the various types of financial assets and liabilities. To the extent that the valuation is based on models or inputs that are less observable or unobservable in the market, the determination of fair value requires more judgment. In certain cases, the inputs used to measure fair value may fall into different levels of the fair value hierarchy. In such cases, for financial statement disclosure purposes, the level in the fair value hierarchy within which the fair value measurement is categorized is based on the lowest level input that is significant to the overall fair value measurement. The Company uses the exit price method for estimating the fair value of loans for disclosure purposes.</w:t>
      </w:r>
    </w:p>
    <w:p>
      <w:pPr>
        <w:spacing w:after="0" w:line="16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carrying amounts reported in the accompanying condensed consolidated financial statements for cash, accounts receivable, accounts payable, and accrued expenses and other current liabilities (excluding the Milestone Rights liability) approximate their fair value due to their relatively short maturities. The fair value of the cash equivalents, MidCap Credit Facility, Mann Group promissory notes, 2024 convertible notes, June 2020 note, December 2020 note and Milestone Rights liabilities are disclosed below.</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i w:val="1"/>
          <w:iCs w:val="1"/>
          <w:color w:val="auto"/>
        </w:rPr>
        <w:t>Cash Equivalents and Restricted Cash</w:t>
      </w:r>
      <w:r>
        <w:rPr>
          <w:rFonts w:ascii="Arial" w:cs="Arial" w:eastAsia="Arial" w:hAnsi="Arial"/>
          <w:sz w:val="17"/>
          <w:szCs w:val="17"/>
          <w:color w:val="auto"/>
        </w:rPr>
        <w:t>— Cash equivalents consist of highly liquid investments with original or remaining maturities of 90 days or less at</w:t>
      </w:r>
      <w:r>
        <w:rPr>
          <w:rFonts w:ascii="Arial" w:cs="Arial" w:eastAsia="Arial" w:hAnsi="Arial"/>
          <w:sz w:val="17"/>
          <w:szCs w:val="17"/>
          <w:i w:val="1"/>
          <w:iCs w:val="1"/>
          <w:color w:val="auto"/>
        </w:rPr>
        <w:t xml:space="preserve"> </w:t>
      </w:r>
      <w:r>
        <w:rPr>
          <w:rFonts w:ascii="Arial" w:cs="Arial" w:eastAsia="Arial" w:hAnsi="Arial"/>
          <w:sz w:val="17"/>
          <w:szCs w:val="17"/>
          <w:color w:val="auto"/>
        </w:rPr>
        <w:t>the time of purchase that are readily convertible into cash. As of June 30, 2020 and December 31, 2019, the Company held $63.2 million and $29.9 million, respectively, of cash and cash equivalents. The Company held $0.3 million in restricted cash as of June 30, 2020 and December 31, 2019, which was comprised of money market funds. Restricted cash is used to collateralize a letter of credit. The fair value of these money market funds was determined by using quoted prices for identical investments in an active market (Level 1 in the fair value hierarchy).</w:t>
      </w:r>
    </w:p>
    <w:p>
      <w:pPr>
        <w:spacing w:after="0" w:line="176"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Short-term investments</w:t>
      </w:r>
      <w:r>
        <w:rPr>
          <w:rFonts w:ascii="Arial" w:cs="Arial" w:eastAsia="Arial" w:hAnsi="Arial"/>
          <w:sz w:val="17"/>
          <w:szCs w:val="17"/>
          <w:color w:val="auto"/>
        </w:rPr>
        <w:t>— Short-term investments consist of highly liquid investments that are intended to facilitate liquidity and capital preservation.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short-term investments approximate their carrying value. The measurement of which is based on a market approach using quoted market values (Level 1 in the fair value hierarchy). As of June 30, 2020, the Company did not hold any short-term investments.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4" w:name="page25"/>
    <w:bookmarkEnd w:id="24"/>
    <w:p>
      <w:pPr>
        <w:ind w:right="180"/>
        <w:spacing w:after="0" w:line="277" w:lineRule="auto"/>
        <w:rPr>
          <w:sz w:val="20"/>
          <w:szCs w:val="20"/>
          <w:color w:val="auto"/>
        </w:rPr>
      </w:pPr>
      <w:r>
        <w:rPr>
          <w:rFonts w:ascii="Arial" w:cs="Arial" w:eastAsia="Arial" w:hAnsi="Arial"/>
          <w:sz w:val="18"/>
          <w:szCs w:val="18"/>
          <w:color w:val="auto"/>
        </w:rPr>
        <w:t>The fair value measurement of debt instruments is based on a discounted cash flow model and is sensitive to the change in yield (Level 3 in the fair value hierarchy):</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4"/>
                <w:szCs w:val="14"/>
                <w:b w:val="1"/>
                <w:bCs w:val="1"/>
                <w:color w:val="auto"/>
              </w:rPr>
              <w:t>Hypothetical Change in Yield</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5"/>
          </w:tcPr>
          <w:p>
            <w:pPr>
              <w:jc w:val="right"/>
              <w:ind w:right="351"/>
              <w:spacing w:after="0"/>
              <w:rPr>
                <w:sz w:val="20"/>
                <w:szCs w:val="20"/>
                <w:color w:val="auto"/>
              </w:rPr>
            </w:pPr>
            <w:r>
              <w:rPr>
                <w:rFonts w:ascii="Arial" w:cs="Arial" w:eastAsia="Arial" w:hAnsi="Arial"/>
                <w:sz w:val="14"/>
                <w:szCs w:val="14"/>
                <w:b w:val="1"/>
                <w:bCs w:val="1"/>
                <w:color w:val="auto"/>
              </w:rPr>
              <w:t>Hypothetical Change in Notes Payable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20" w:type="dxa"/>
            <w:vAlign w:val="bottom"/>
          </w:tcPr>
          <w:p>
            <w:pPr>
              <w:spacing w:after="0"/>
              <w:rPr>
                <w:sz w:val="11"/>
                <w:szCs w:val="11"/>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Yield</w:t>
            </w:r>
          </w:p>
        </w:tc>
        <w:tc>
          <w:tcPr>
            <w:tcW w:w="12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Change</w:t>
            </w:r>
          </w:p>
        </w:tc>
        <w:tc>
          <w:tcPr>
            <w:tcW w:w="90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7"/>
              </w:rPr>
              <w:t>Hypothetical</w:t>
            </w:r>
          </w:p>
        </w:tc>
        <w:tc>
          <w:tcPr>
            <w:tcW w:w="440" w:type="dxa"/>
            <w:vAlign w:val="bottom"/>
          </w:tcPr>
          <w:p>
            <w:pPr>
              <w:spacing w:after="0"/>
              <w:rPr>
                <w:sz w:val="11"/>
                <w:szCs w:val="11"/>
                <w:color w:val="auto"/>
              </w:rPr>
            </w:pPr>
          </w:p>
        </w:tc>
        <w:tc>
          <w:tcPr>
            <w:tcW w:w="1040" w:type="dxa"/>
            <w:vAlign w:val="bottom"/>
            <w:gridSpan w:val="2"/>
            <w:vMerge w:val="restart"/>
          </w:tcPr>
          <w:p>
            <w:pPr>
              <w:jc w:val="right"/>
              <w:ind w:right="130"/>
              <w:spacing w:after="0"/>
              <w:rPr>
                <w:sz w:val="20"/>
                <w:szCs w:val="20"/>
                <w:color w:val="auto"/>
              </w:rPr>
            </w:pPr>
            <w:r>
              <w:rPr>
                <w:rFonts w:ascii="Arial" w:cs="Arial" w:eastAsia="Arial" w:hAnsi="Arial"/>
                <w:sz w:val="14"/>
                <w:szCs w:val="14"/>
                <w:b w:val="1"/>
                <w:bCs w:val="1"/>
                <w:color w:val="auto"/>
              </w:rPr>
              <w:t>FV of Notes</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FV</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1"/>
              </w:rPr>
              <w:t>$ 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28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Yield</w:t>
            </w: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82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ind w:right="132"/>
              <w:spacing w:after="0" w:line="155" w:lineRule="exact"/>
              <w:rPr>
                <w:sz w:val="20"/>
                <w:szCs w:val="20"/>
                <w:color w:val="auto"/>
              </w:rPr>
            </w:pPr>
            <w:r>
              <w:rPr>
                <w:rFonts w:ascii="Arial" w:cs="Arial" w:eastAsia="Arial" w:hAnsi="Arial"/>
                <w:sz w:val="14"/>
                <w:szCs w:val="14"/>
                <w:b w:val="1"/>
                <w:bCs w:val="1"/>
                <w:color w:val="auto"/>
              </w:rPr>
              <w:t>(in millions)</w:t>
            </w: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Mann Group promissory notes:</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32.5%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53.5</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52.5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30.5%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54.6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33.5%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53.5</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51.6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29.5%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53.5</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55.6</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Senior notes:</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(with conversion feature)</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32.5%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30.5%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33.5%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6.4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31.5%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20"/>
                <w:szCs w:val="20"/>
                <w:color w:val="auto"/>
              </w:rPr>
            </w:pPr>
            <w:r>
              <w:rPr>
                <w:rFonts w:ascii="Arial" w:cs="Arial" w:eastAsia="Arial" w:hAnsi="Arial"/>
                <w:sz w:val="18"/>
                <w:szCs w:val="18"/>
                <w:color w:val="auto"/>
              </w:rPr>
              <w:t>MidCap Credit Facility</w:t>
            </w: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(0.8)</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12.5%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15.5%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39.0</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37.5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39.0</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40.7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PPP Loan</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28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30"/>
        </w:trPr>
        <w:tc>
          <w:tcPr>
            <w:tcW w:w="28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4.4</w:t>
            </w:r>
          </w:p>
        </w:tc>
        <w:tc>
          <w:tcPr>
            <w:tcW w:w="3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11.5%</w:t>
            </w:r>
          </w:p>
        </w:tc>
        <w:tc>
          <w:tcPr>
            <w:tcW w:w="340" w:type="dxa"/>
            <w:vAlign w:val="bottom"/>
          </w:tcPr>
          <w:p>
            <w:pPr>
              <w:jc w:val="right"/>
              <w:ind w:right="151"/>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4.4</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0.1</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Financial Liabilities </w:t>
      </w:r>
      <w:r>
        <w:rPr>
          <w:rFonts w:ascii="Arial" w:cs="Arial" w:eastAsia="Arial" w:hAnsi="Arial"/>
          <w:sz w:val="18"/>
          <w:szCs w:val="18"/>
          <w:color w:val="auto"/>
        </w:rPr>
        <w:t>— The following tables set forth the fair value of the Company’s financial instruments (in millions):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90"/>
              </w:rPr>
              <w:t>June 30, 2020</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39.3</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PPP Loan</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92"/>
              </w:rPr>
              <w:t>Significant</w:t>
            </w:r>
          </w:p>
        </w:tc>
        <w:tc>
          <w:tcPr>
            <w:tcW w:w="2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Carrying Value</w:t>
            </w:r>
          </w:p>
        </w:tc>
        <w:tc>
          <w:tcPr>
            <w:tcW w:w="160" w:type="dxa"/>
            <w:vAlign w:val="bottom"/>
          </w:tcPr>
          <w:p>
            <w:pPr>
              <w:spacing w:after="0"/>
              <w:rPr>
                <w:sz w:val="12"/>
                <w:szCs w:val="12"/>
                <w:color w:val="auto"/>
              </w:rPr>
            </w:pPr>
          </w:p>
        </w:tc>
        <w:tc>
          <w:tcPr>
            <w:tcW w:w="17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80" w:type="dxa"/>
            <w:vAlign w:val="bottom"/>
          </w:tcPr>
          <w:p>
            <w:pPr>
              <w:spacing w:after="0"/>
              <w:rPr>
                <w:sz w:val="12"/>
                <w:szCs w:val="12"/>
                <w:color w:val="auto"/>
              </w:rPr>
            </w:pPr>
          </w:p>
        </w:tc>
        <w:tc>
          <w:tcPr>
            <w:tcW w:w="14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Inputs (Level 3)</w:t>
            </w:r>
          </w:p>
        </w:tc>
        <w:tc>
          <w:tcPr>
            <w:tcW w:w="28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Financial liabilities:</w:t>
            </w:r>
          </w:p>
        </w:tc>
        <w:tc>
          <w:tcPr>
            <w:tcW w:w="17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MidCap Credit Facility</w:t>
            </w:r>
          </w:p>
        </w:tc>
        <w:tc>
          <w:tcPr>
            <w:tcW w:w="20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38.9</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2024 convertible notes</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June 2020 note</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2020 note</w:t>
            </w:r>
          </w:p>
        </w:tc>
        <w:tc>
          <w:tcPr>
            <w:tcW w:w="1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Mann Group promissory notes</w:t>
            </w: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46.2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Milestone rights</w:t>
            </w:r>
          </w:p>
        </w:tc>
        <w:tc>
          <w:tcPr>
            <w:tcW w:w="17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financial liabilities</w:t>
            </w:r>
          </w:p>
        </w:tc>
        <w:tc>
          <w:tcPr>
            <w:tcW w:w="17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00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ind w:right="40"/>
        <w:spacing w:after="0" w:line="311" w:lineRule="auto"/>
        <w:rPr>
          <w:sz w:val="20"/>
          <w:szCs w:val="20"/>
          <w:color w:val="auto"/>
        </w:rPr>
      </w:pPr>
      <w:r>
        <w:rPr>
          <w:rFonts w:ascii="Arial" w:cs="Arial" w:eastAsia="Arial" w:hAnsi="Arial"/>
          <w:sz w:val="16"/>
          <w:szCs w:val="16"/>
          <w:i w:val="1"/>
          <w:iCs w:val="1"/>
          <w:color w:val="auto"/>
        </w:rPr>
        <w:t xml:space="preserve">Milestone Rights Liability </w:t>
      </w:r>
      <w:r>
        <w:rPr>
          <w:rFonts w:ascii="Arial" w:cs="Arial" w:eastAsia="Arial" w:hAnsi="Arial"/>
          <w:sz w:val="16"/>
          <w:szCs w:val="16"/>
          <w:color w:val="auto"/>
        </w:rPr>
        <w:t>— The fair value measurement of the Milestone Rights liability is sensitive to the discount rate and the timing of achievement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milestones. The Company utilized Monte-Carlo Simulation Method to simulate the Net Sales under a neutral framework to estimate the payment. The Company then discounted the future expected payments at cost of debt with a term equal to the simulated time to payout based on cumulative sales.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May 21, 2020, the Company filed with the Secretary of State of the State of Delaware a Certificate of Amendment of its Amended and Restated Certificate of Incorporation to increase the authorized number of shares of the Company’s common stock from 280,000,000 to 400,000,000 shares. As of June 30, 2020 and December 31, 2019, 228,927,505 and 211,787,573 shares of common stock, respectively, were issued and outstanding and no shares of preferred stock were outstanding.</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2018, the Company entered into a controlled equity offering sales agreement (the “CF Sales Agreement”) with Cantor Fitzgerald &amp; Co. (“Cantor Fitzgerald”), as sales agent, pursuant to which the Company may offer and sell, from time to time, through Cantor Fitzgerald, shares of the Company’s common stock having an aggregate offering price of up to $50.0 million or such other amount as may be permitted by the CF Sales Agreement. Under the CF Sales Agreement, Cantor Fitzgerald may sell shares by any method deemed to be an “at the market offering” as defined in Rule 415 under the Securities Act of 1933, as amended. For the six months ended June 30, 2020, the Company sold an aggregate of 7,871,461 shares of the Company’s common stock at a weighted average purchase price of $1.64 per share for an aggregate gross proceeds of approximately $12.9 million pursuant to the CF Sales Agreement.</w:t>
      </w:r>
    </w:p>
    <w:p>
      <w:pPr>
        <w:spacing w:after="0" w:line="19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December 2018, the Company entered into an underwriting agreement with Leerink Partners LLC relating to the issuance and sale in a public offering of 26,666,667 shares of the Company’s common stock and warrants to purchase up to an aggregate of 26,666,667 shares of the Company’s common stock (the “December warrants”) at a combined purchase price of $1.50 per share and accompanying warrant. The shares of common stock and the December warrants were immediately separable. The December warrants were immediately exercisable at issuance at a price of $1.60 per share and had an expiry date of December 26, 2019. On December 26, 2019, 11,583,333 December warrants expired unexercised and 7,250,000 remained available for purchase at a price of $1.60 per share, which were subsequently exercised in June 2020.</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On June 24, 2020, the Company prepaid the June 2020 note with the issuance of 1,235,094 shares of the Company’s common stock, in accordance with the terms of the June 2020 note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 Expense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Total stock-based compensation expense recognized in the accompanying condensed consolidated statements of operations for the three and six months ended June 30, 2020 and 2019 was as follows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78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4280" w:type="dxa"/>
            <w:vAlign w:val="bottom"/>
            <w:tcBorders>
              <w:bottom w:val="single" w:sz="8" w:color="CFF0FC"/>
            </w:tcBorders>
          </w:tcPr>
          <w:p>
            <w:pPr>
              <w:spacing w:after="0"/>
              <w:rPr>
                <w:sz w:val="13"/>
                <w:szCs w:val="13"/>
                <w:color w:val="auto"/>
              </w:rPr>
            </w:pPr>
          </w:p>
        </w:tc>
        <w:tc>
          <w:tcPr>
            <w:tcW w:w="15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RSUs and options</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2,122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2,527</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FF0FC"/>
          </w:tcPr>
          <w:p>
            <w:pPr>
              <w:spacing w:after="0"/>
              <w:rPr>
                <w:sz w:val="19"/>
                <w:szCs w:val="19"/>
                <w:color w:val="auto"/>
              </w:rPr>
            </w:pPr>
          </w:p>
        </w:tc>
      </w:tr>
      <w:tr>
        <w:trPr>
          <w:trHeight w:val="230"/>
        </w:trPr>
        <w:tc>
          <w:tcPr>
            <w:tcW w:w="4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FF0FC"/>
            </w:tcBorders>
          </w:tcPr>
          <w:p>
            <w:pPr>
              <w:spacing w:after="0"/>
              <w:rPr>
                <w:sz w:val="19"/>
                <w:szCs w:val="19"/>
                <w:color w:val="auto"/>
              </w:rPr>
            </w:pPr>
          </w:p>
        </w:tc>
      </w:tr>
      <w:tr>
        <w:trPr>
          <w:trHeight w:val="223"/>
        </w:trPr>
        <w:tc>
          <w:tcPr>
            <w:tcW w:w="4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 compensation expense</w:t>
            </w:r>
          </w:p>
        </w:tc>
        <w:tc>
          <w:tcPr>
            <w:tcW w:w="154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2,185</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During 2020, the Company granted the following awards: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660" w:type="dxa"/>
            <w:vAlign w:val="bottom"/>
          </w:tcPr>
          <w:p>
            <w:pPr>
              <w:jc w:val="right"/>
              <w:ind w:right="9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660" w:type="dxa"/>
            <w:vAlign w:val="bottom"/>
          </w:tcPr>
          <w:p>
            <w:pPr>
              <w:jc w:val="right"/>
              <w:ind w:right="275"/>
              <w:spacing w:after="0"/>
              <w:rPr>
                <w:sz w:val="20"/>
                <w:szCs w:val="20"/>
                <w:color w:val="auto"/>
              </w:rPr>
            </w:pPr>
            <w:r>
              <w:rPr>
                <w:rFonts w:ascii="Arial" w:cs="Arial" w:eastAsia="Arial" w:hAnsi="Arial"/>
                <w:sz w:val="14"/>
                <w:szCs w:val="14"/>
                <w:b w:val="1"/>
                <w:bCs w:val="1"/>
                <w:color w:val="auto"/>
              </w:rPr>
              <w:t>March 31, 2020</w:t>
            </w:r>
          </w:p>
        </w:tc>
        <w:tc>
          <w:tcPr>
            <w:tcW w:w="360" w:type="dxa"/>
            <w:vAlign w:val="bottom"/>
          </w:tcPr>
          <w:p>
            <w:pPr>
              <w:spacing w:after="0"/>
              <w:rPr>
                <w:sz w:val="14"/>
                <w:szCs w:val="14"/>
                <w:color w:val="auto"/>
              </w:rPr>
            </w:pPr>
          </w:p>
        </w:tc>
        <w:tc>
          <w:tcPr>
            <w:tcW w:w="1660" w:type="dxa"/>
            <w:vAlign w:val="bottom"/>
          </w:tcPr>
          <w:p>
            <w:pPr>
              <w:jc w:val="right"/>
              <w:ind w:right="335"/>
              <w:spacing w:after="0"/>
              <w:rPr>
                <w:sz w:val="20"/>
                <w:szCs w:val="20"/>
                <w:color w:val="auto"/>
              </w:rPr>
            </w:pPr>
            <w:r>
              <w:rPr>
                <w:rFonts w:ascii="Arial" w:cs="Arial" w:eastAsia="Arial" w:hAnsi="Arial"/>
                <w:sz w:val="14"/>
                <w:szCs w:val="14"/>
                <w:b w:val="1"/>
                <w:bCs w:val="1"/>
                <w:color w:val="auto"/>
              </w:rPr>
              <w:t>June 30, 2020</w:t>
            </w:r>
          </w:p>
        </w:tc>
        <w:tc>
          <w:tcPr>
            <w:tcW w:w="36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 2020</w:t>
            </w: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Employee awards:</w:t>
            </w:r>
          </w:p>
        </w:tc>
        <w:tc>
          <w:tcPr>
            <w:tcW w:w="16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ind w:left="260"/>
              <w:spacing w:after="0"/>
              <w:rPr>
                <w:sz w:val="20"/>
                <w:szCs w:val="20"/>
                <w:color w:val="auto"/>
              </w:rPr>
            </w:pPr>
            <w:r>
              <w:rPr>
                <w:rFonts w:ascii="Arial" w:cs="Arial" w:eastAsia="Arial" w:hAnsi="Arial"/>
                <w:sz w:val="18"/>
                <w:szCs w:val="18"/>
                <w:color w:val="auto"/>
              </w:rPr>
              <w:t>RSUs</w:t>
            </w:r>
          </w:p>
        </w:tc>
        <w:tc>
          <w:tcPr>
            <w:tcW w:w="1660" w:type="dxa"/>
            <w:vAlign w:val="bottom"/>
          </w:tcPr>
          <w:p>
            <w:pPr>
              <w:jc w:val="right"/>
              <w:spacing w:after="0"/>
              <w:rPr>
                <w:sz w:val="20"/>
                <w:szCs w:val="20"/>
                <w:color w:val="auto"/>
              </w:rPr>
            </w:pPr>
            <w:r>
              <w:rPr>
                <w:rFonts w:ascii="Arial" w:cs="Arial" w:eastAsia="Arial" w:hAnsi="Arial"/>
                <w:sz w:val="18"/>
                <w:szCs w:val="18"/>
                <w:color w:val="auto"/>
              </w:rPr>
              <w:t>230,000</w:t>
            </w:r>
          </w:p>
        </w:tc>
        <w:tc>
          <w:tcPr>
            <w:tcW w:w="360" w:type="dxa"/>
            <w:vAlign w:val="bottom"/>
          </w:tcPr>
          <w:p>
            <w:pPr>
              <w:jc w:val="right"/>
              <w:ind w:right="4"/>
              <w:spacing w:after="0"/>
              <w:rPr>
                <w:sz w:val="20"/>
                <w:szCs w:val="20"/>
                <w:color w:val="auto"/>
              </w:rPr>
            </w:pPr>
            <w:r>
              <w:rPr>
                <w:rFonts w:ascii="Arial" w:cs="Arial" w:eastAsia="Arial" w:hAnsi="Arial"/>
                <w:sz w:val="15"/>
                <w:szCs w:val="15"/>
                <w:color w:val="auto"/>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2,109,228</w:t>
            </w:r>
          </w:p>
        </w:tc>
        <w:tc>
          <w:tcPr>
            <w:tcW w:w="360" w:type="dxa"/>
            <w:vAlign w:val="bottom"/>
          </w:tcPr>
          <w:p>
            <w:pPr>
              <w:jc w:val="right"/>
              <w:ind w:right="4"/>
              <w:spacing w:after="0"/>
              <w:rPr>
                <w:sz w:val="20"/>
                <w:szCs w:val="20"/>
                <w:color w:val="auto"/>
              </w:rPr>
            </w:pPr>
            <w:r>
              <w:rPr>
                <w:rFonts w:ascii="Arial" w:cs="Arial" w:eastAsia="Arial" w:hAnsi="Arial"/>
                <w:sz w:val="15"/>
                <w:szCs w:val="15"/>
                <w:color w:val="auto"/>
              </w:rPr>
              <w:t>(2)</w:t>
            </w:r>
          </w:p>
        </w:tc>
        <w:tc>
          <w:tcPr>
            <w:tcW w:w="1680" w:type="dxa"/>
            <w:vAlign w:val="bottom"/>
          </w:tcPr>
          <w:p>
            <w:pPr>
              <w:jc w:val="right"/>
              <w:spacing w:after="0"/>
              <w:rPr>
                <w:sz w:val="20"/>
                <w:szCs w:val="20"/>
                <w:color w:val="auto"/>
              </w:rPr>
            </w:pPr>
            <w:r>
              <w:rPr>
                <w:rFonts w:ascii="Arial" w:cs="Arial" w:eastAsia="Arial" w:hAnsi="Arial"/>
                <w:sz w:val="18"/>
                <w:szCs w:val="18"/>
                <w:color w:val="auto"/>
              </w:rPr>
              <w:t>2,339,228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Options</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78,500</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(3)</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117,900</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(4)</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Non-employee director awards: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42,067</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(5)</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772,685</w:t>
            </w:r>
          </w:p>
        </w:tc>
        <w:tc>
          <w:tcPr>
            <w:tcW w:w="3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(6)</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814,752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awards:</w:t>
            </w: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RSUs</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272,067</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2,881,913</w:t>
            </w:r>
          </w:p>
        </w:tc>
        <w:tc>
          <w:tcPr>
            <w:tcW w:w="36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3,153,980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60"/>
              <w:spacing w:after="0"/>
              <w:rPr>
                <w:sz w:val="20"/>
                <w:szCs w:val="20"/>
                <w:color w:val="auto"/>
              </w:rPr>
            </w:pPr>
            <w:r>
              <w:rPr>
                <w:rFonts w:ascii="Arial" w:cs="Arial" w:eastAsia="Arial" w:hAnsi="Arial"/>
                <w:sz w:val="18"/>
                <w:szCs w:val="18"/>
                <w:color w:val="auto"/>
              </w:rPr>
              <w:t>Options</w:t>
            </w: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gridSpan w:val="2"/>
            <w:vMerge w:val="continue"/>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3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117,900</w:t>
            </w:r>
          </w:p>
        </w:tc>
        <w:tc>
          <w:tcPr>
            <w:tcW w:w="36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00" w:type="dxa"/>
            <w:vAlign w:val="bottom"/>
            <w:tcBorders>
              <w:bottom w:val="single" w:sz="8" w:color="auto"/>
            </w:tcBorders>
          </w:tcPr>
          <w:p>
            <w:pPr>
              <w:spacing w:after="0"/>
              <w:rPr>
                <w:sz w:val="10"/>
                <w:szCs w:val="10"/>
                <w:color w:val="auto"/>
              </w:rPr>
            </w:pPr>
          </w:p>
        </w:tc>
        <w:tc>
          <w:tcPr>
            <w:tcW w:w="240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380" w:hanging="372"/>
        <w:spacing w:after="0" w:line="183" w:lineRule="auto"/>
        <w:tabs>
          <w:tab w:leader="none" w:pos="380" w:val="left"/>
        </w:tabs>
        <w:numPr>
          <w:ilvl w:val="0"/>
          <w:numId w:val="5"/>
        </w:numPr>
        <w:rPr>
          <w:rFonts w:ascii="Arial" w:cs="Arial" w:eastAsia="Arial" w:hAnsi="Arial"/>
          <w:sz w:val="27"/>
          <w:szCs w:val="27"/>
          <w:color w:val="auto"/>
          <w:vertAlign w:val="superscript"/>
        </w:rPr>
      </w:pPr>
      <w:r>
        <w:rPr>
          <w:rFonts w:ascii="Arial" w:cs="Arial" w:eastAsia="Arial" w:hAnsi="Arial"/>
          <w:sz w:val="15"/>
          <w:szCs w:val="15"/>
          <w:color w:val="auto"/>
        </w:rPr>
        <w:t>RSUs had a weighted average grant date fair value of $1.25 per share and a primary vesting period of four years.</w:t>
      </w:r>
    </w:p>
    <w:p>
      <w:pPr>
        <w:spacing w:after="0" w:line="10" w:lineRule="exact"/>
        <w:rPr>
          <w:rFonts w:ascii="Arial" w:cs="Arial" w:eastAsia="Arial" w:hAnsi="Arial"/>
          <w:sz w:val="27"/>
          <w:szCs w:val="27"/>
          <w:color w:val="auto"/>
          <w:vertAlign w:val="superscript"/>
        </w:rPr>
      </w:pPr>
    </w:p>
    <w:p>
      <w:pPr>
        <w:ind w:left="380" w:hanging="372"/>
        <w:spacing w:after="0" w:line="182" w:lineRule="auto"/>
        <w:tabs>
          <w:tab w:leader="none" w:pos="380" w:val="left"/>
        </w:tabs>
        <w:numPr>
          <w:ilvl w:val="0"/>
          <w:numId w:val="5"/>
        </w:numPr>
        <w:rPr>
          <w:rFonts w:ascii="Arial" w:cs="Arial" w:eastAsia="Arial" w:hAnsi="Arial"/>
          <w:sz w:val="22"/>
          <w:szCs w:val="22"/>
          <w:color w:val="auto"/>
          <w:vertAlign w:val="superscript"/>
        </w:rPr>
      </w:pPr>
      <w:r>
        <w:rPr>
          <w:rFonts w:ascii="Arial" w:cs="Arial" w:eastAsia="Arial" w:hAnsi="Arial"/>
          <w:sz w:val="13"/>
          <w:szCs w:val="13"/>
          <w:color w:val="auto"/>
        </w:rPr>
        <w:t>RSUs had a weighted average grant date fair value of $1.34 per share and a primary vesting period of four years.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ind w:left="380" w:right="140" w:hanging="372"/>
        <w:spacing w:after="0" w:line="209"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Options had a weighted average exercise price of $1.25 per share and vest over a four year period. The weighted average grant date fair value was $0.93 per share, as determined using a Black-Scholes option pricing model, with the following key assumptions: risk-free interest rate of 0.79%; expected life of approximately 5.67 years; volatility of 93.83%, and dividend yield of zero.</w:t>
      </w:r>
    </w:p>
    <w:p>
      <w:pPr>
        <w:ind w:left="380" w:right="140" w:hanging="372"/>
        <w:spacing w:after="0" w:line="20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Options had a weighted average exercise price of $1.34 per share and vest over a four year period. The weighted average grant date fair value was $0.99 per share, as determined using a Black-Scholes option pricing model, with the following key assumptions: risk-free interest rate of 0.39%; expected life of approximately 5.67 years; volatility of 93.83%, and dividend yield of zero.</w:t>
      </w:r>
    </w:p>
    <w:p>
      <w:pPr>
        <w:spacing w:after="0" w:line="2" w:lineRule="exact"/>
        <w:rPr>
          <w:rFonts w:ascii="Arial" w:cs="Arial" w:eastAsia="Arial" w:hAnsi="Arial"/>
          <w:sz w:val="29"/>
          <w:szCs w:val="29"/>
          <w:color w:val="auto"/>
          <w:vertAlign w:val="superscript"/>
        </w:rPr>
      </w:pPr>
    </w:p>
    <w:p>
      <w:pPr>
        <w:ind w:left="380" w:right="440" w:hanging="372"/>
        <w:spacing w:after="0" w:line="18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RSUs had a weighted average grant date fair value of $1.17 per share and vested immediately upon grant, but the underlying shares of common stock will not be delivered until there is a separation of service, such as resignation, retirement or death.</w:t>
      </w:r>
    </w:p>
    <w:p>
      <w:pPr>
        <w:spacing w:after="0" w:line="1" w:lineRule="exact"/>
        <w:rPr>
          <w:rFonts w:ascii="Arial" w:cs="Arial" w:eastAsia="Arial" w:hAnsi="Arial"/>
          <w:sz w:val="29"/>
          <w:szCs w:val="29"/>
          <w:color w:val="auto"/>
          <w:vertAlign w:val="superscript"/>
        </w:rPr>
      </w:pPr>
    </w:p>
    <w:p>
      <w:pPr>
        <w:ind w:left="380" w:right="440" w:hanging="372"/>
        <w:spacing w:after="0" w:line="187" w:lineRule="auto"/>
        <w:tabs>
          <w:tab w:leader="none" w:pos="380" w:val="left"/>
        </w:tabs>
        <w:numPr>
          <w:ilvl w:val="0"/>
          <w:numId w:val="6"/>
        </w:numPr>
        <w:rPr>
          <w:rFonts w:ascii="Arial" w:cs="Arial" w:eastAsia="Arial" w:hAnsi="Arial"/>
          <w:sz w:val="29"/>
          <w:szCs w:val="29"/>
          <w:color w:val="auto"/>
          <w:vertAlign w:val="superscript"/>
        </w:rPr>
      </w:pPr>
      <w:r>
        <w:rPr>
          <w:rFonts w:ascii="Arial" w:cs="Arial" w:eastAsia="Arial" w:hAnsi="Arial"/>
          <w:sz w:val="16"/>
          <w:szCs w:val="16"/>
          <w:color w:val="auto"/>
        </w:rPr>
        <w:t>RSUs had a weighted average grant date fair value of $1.34 per share and vested immediately upon grant, but the underlying shares of common stock will not be delivered until there is a separation of service, such as resignation, retirement or death.</w:t>
      </w:r>
    </w:p>
    <w:p>
      <w:pPr>
        <w:spacing w:after="0" w:line="20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As of June 30, 2020, there was $6.8 million of unrecognized compensation expense related to options and performance options and $3.2 million of unrecognized compensation expense related to RSUs. For the options that are subject to performance conditions, the Company evaluates the probability that the performance conditions will be met and estimates the service period for recognition of the associated expense.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Guarantees and Indemnifications </w:t>
      </w:r>
      <w:r>
        <w:rPr>
          <w:rFonts w:ascii="Arial" w:cs="Arial" w:eastAsia="Arial" w:hAnsi="Arial"/>
          <w:sz w:val="17"/>
          <w:szCs w:val="17"/>
          <w:color w:val="auto"/>
        </w:rPr>
        <w:t>— In the ordinary course of its business, the Company makes certain indemnities, commitments and guarantees under</w:t>
      </w:r>
      <w:r>
        <w:rPr>
          <w:rFonts w:ascii="Arial" w:cs="Arial" w:eastAsia="Arial" w:hAnsi="Arial"/>
          <w:sz w:val="17"/>
          <w:szCs w:val="17"/>
          <w:i w:val="1"/>
          <w:iCs w:val="1"/>
          <w:color w:val="auto"/>
        </w:rPr>
        <w:t xml:space="preserve"> </w:t>
      </w:r>
      <w:r>
        <w:rPr>
          <w:rFonts w:ascii="Arial" w:cs="Arial" w:eastAsia="Arial" w:hAnsi="Arial"/>
          <w:sz w:val="17"/>
          <w:szCs w:val="17"/>
          <w:color w:val="auto"/>
        </w:rPr>
        <w:t>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condensed consolidated balance sheets. However, the Company accrues for losses for any known contingent liability, including those that may arise from indemnification provisions, when future payment is probable and the amount can be reasonably estimated. No such losses have been recorded to date.</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Litigation </w:t>
      </w:r>
      <w:r>
        <w:rPr>
          <w:rFonts w:ascii="Arial" w:cs="Arial" w:eastAsia="Arial" w:hAnsi="Arial"/>
          <w:sz w:val="17"/>
          <w:szCs w:val="17"/>
          <w:color w:val="auto"/>
        </w:rPr>
        <w:t>— The Company is subject to legal proceedings and claims which arise in the ordinary course of its business. As of June 30, 2020,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believes that the final disposition of such matters will not have a material adverse effect on the financial position, results of operations or cash flows of the Company and no accrual has been recorded. The Company maintains liability insurance coverage to protect the Company’s assets from losses arising out of or involving activities associated with ongoing and normal business operations. The Company records a provision for a liability when it is both probable that a liability has been incurred and the amount of the loss can be reasonably estimated. The Company’s policy is to accrue for legal expenses in connection with legal proceedings and claims as they are incurred.</w:t>
      </w:r>
    </w:p>
    <w:p>
      <w:pPr>
        <w:spacing w:after="0" w:line="17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Following the public announcement in January 2016 of the election by sanofi-aventis U.S. LLC (“Sanofi”) to terminate a license and collaboration agreement (the “Sanofi License Agreement”) between the Company and Sanofi and the subsequent decline in the Company’s stock price, two motions were submitted to the district court at Tel Aviv, Economic Department for the certification of a class action against the Company and certain of its officers and directors. In general, the complaints allege that the Company and certain of its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the Company filed a motion to dismiss the certification motion. In September 2019, the plaintiff brought a motion to amend his claim, which the court denied in January 2020. The plaintiff has appealed this denial to the Supreme Court of Israel. The Company will continue to vigorously defend against the claims advanced.</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July 2013, the Company entered into an agreement with the Milestone Purchasers, pursuant to which the Company granted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Milestone Rights to receive payments up to $90.0 million upon the occurrence of specified strategic and sales milestones, $70.0 million of which remains payable upon achievement of such milestones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Commitments </w:t>
      </w:r>
      <w:r>
        <w:rPr>
          <w:rFonts w:ascii="Arial" w:cs="Arial" w:eastAsia="Arial" w:hAnsi="Arial"/>
          <w:sz w:val="18"/>
          <w:szCs w:val="18"/>
          <w:color w:val="auto"/>
        </w:rPr>
        <w:t>— In July 2014, the Company entered into an Insulin Supply Agreement (the “Insulin Supply Agreement”) with Amphastar Pharmaceuticals,</w:t>
      </w:r>
      <w:r>
        <w:rPr>
          <w:rFonts w:ascii="Arial" w:cs="Arial" w:eastAsia="Arial" w:hAnsi="Arial"/>
          <w:sz w:val="18"/>
          <w:szCs w:val="18"/>
          <w:i w:val="1"/>
          <w:iCs w:val="1"/>
          <w:color w:val="auto"/>
        </w:rPr>
        <w:t xml:space="preserve"> </w:t>
      </w:r>
      <w:r>
        <w:rPr>
          <w:rFonts w:ascii="Arial" w:cs="Arial" w:eastAsia="Arial" w:hAnsi="Arial"/>
          <w:sz w:val="18"/>
          <w:szCs w:val="18"/>
          <w:color w:val="auto"/>
        </w:rPr>
        <w:t>Inc. (“Amphastar”) pursuant to which Amphastar manufactures for and supplies to the Company certain quantities of recombinant human insulin for use in Afrezza. Under the terms of the Insulin Supply Agreement, Amphastar is responsible for manufacturing the insulin in accordance with the Company’s specifications and agreed-upon quality standards.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27" w:name="page28"/>
    <w:bookmarkEnd w:id="27"/>
    <w:p>
      <w:pPr>
        <w:ind w:right="300"/>
        <w:spacing w:after="0" w:line="277" w:lineRule="auto"/>
        <w:rPr>
          <w:sz w:val="20"/>
          <w:szCs w:val="20"/>
          <w:color w:val="auto"/>
        </w:rPr>
      </w:pPr>
      <w:r>
        <w:rPr>
          <w:rFonts w:ascii="Arial" w:cs="Arial" w:eastAsia="Arial" w:hAnsi="Arial"/>
          <w:sz w:val="18"/>
          <w:szCs w:val="18"/>
          <w:color w:val="auto"/>
        </w:rPr>
        <w:t>In August 2019, the Company and Amphastar amended the Insulin Supply Agreement to extend the term to 2026 and to restructure the annual purchase commitments. As of June 30, 2020, the annual purchase requirements under the amended contract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Pr>
          <w:p>
            <w:pPr>
              <w:jc w:val="right"/>
              <w:ind w:right="734"/>
              <w:spacing w:after="0"/>
              <w:rPr>
                <w:sz w:val="20"/>
                <w:szCs w:val="20"/>
                <w:color w:val="auto"/>
              </w:rPr>
            </w:pPr>
            <w:r>
              <w:rPr>
                <w:rFonts w:ascii="Arial" w:cs="Arial" w:eastAsia="Arial" w:hAnsi="Arial"/>
                <w:sz w:val="14"/>
                <w:szCs w:val="14"/>
                <w:b w:val="1"/>
                <w:bCs w:val="1"/>
                <w:color w:val="auto"/>
              </w:rPr>
              <w:t>Minimum</w:t>
            </w:r>
          </w:p>
        </w:tc>
      </w:tr>
      <w:tr>
        <w:trPr>
          <w:trHeight w:val="171"/>
        </w:trPr>
        <w:tc>
          <w:tcPr>
            <w:tcW w:w="900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Commitment</w:t>
            </w:r>
          </w:p>
        </w:tc>
      </w:tr>
      <w:tr>
        <w:trPr>
          <w:trHeight w:val="223"/>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2020</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 million</w:t>
            </w:r>
          </w:p>
        </w:tc>
      </w:tr>
      <w:tr>
        <w:trPr>
          <w:trHeight w:val="230"/>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6.6 million</w:t>
            </w:r>
          </w:p>
        </w:tc>
      </w:tr>
      <w:tr>
        <w:trPr>
          <w:trHeight w:val="229"/>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2022</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 million</w:t>
            </w:r>
          </w:p>
        </w:tc>
      </w:tr>
      <w:tr>
        <w:trPr>
          <w:trHeight w:val="230"/>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2023</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10.8 million</w:t>
            </w:r>
          </w:p>
        </w:tc>
      </w:tr>
      <w:tr>
        <w:trPr>
          <w:trHeight w:val="229"/>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2024</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 million</w:t>
            </w:r>
          </w:p>
        </w:tc>
      </w:tr>
      <w:tr>
        <w:trPr>
          <w:trHeight w:val="229"/>
        </w:trPr>
        <w:tc>
          <w:tcPr>
            <w:tcW w:w="9000" w:type="dxa"/>
            <w:vAlign w:val="bottom"/>
          </w:tcPr>
          <w:p>
            <w:pPr>
              <w:jc w:val="right"/>
              <w:ind w:right="8550"/>
              <w:spacing w:after="0"/>
              <w:rPr>
                <w:sz w:val="20"/>
                <w:szCs w:val="20"/>
                <w:color w:val="auto"/>
              </w:rPr>
            </w:pPr>
            <w:r>
              <w:rPr>
                <w:rFonts w:ascii="Arial" w:cs="Arial" w:eastAsia="Arial" w:hAnsi="Arial"/>
                <w:sz w:val="18"/>
                <w:szCs w:val="18"/>
                <w:color w:val="auto"/>
                <w:w w:val="84"/>
              </w:rPr>
              <w:t>2025</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15.5 million</w:t>
            </w:r>
          </w:p>
        </w:tc>
      </w:tr>
      <w:tr>
        <w:trPr>
          <w:trHeight w:val="230"/>
        </w:trPr>
        <w:tc>
          <w:tcPr>
            <w:tcW w:w="9000" w:type="dxa"/>
            <w:vAlign w:val="bottom"/>
            <w:shd w:val="clear" w:color="auto" w:fill="CFF0FC"/>
          </w:tcPr>
          <w:p>
            <w:pPr>
              <w:jc w:val="right"/>
              <w:ind w:right="8550"/>
              <w:spacing w:after="0"/>
              <w:rPr>
                <w:sz w:val="20"/>
                <w:szCs w:val="20"/>
                <w:color w:val="auto"/>
              </w:rPr>
            </w:pPr>
            <w:r>
              <w:rPr>
                <w:rFonts w:ascii="Arial" w:cs="Arial" w:eastAsia="Arial" w:hAnsi="Arial"/>
                <w:sz w:val="18"/>
                <w:szCs w:val="18"/>
                <w:color w:val="auto"/>
                <w:w w:val="84"/>
              </w:rPr>
              <w:t>2026</w:t>
            </w:r>
          </w:p>
        </w:tc>
        <w:tc>
          <w:tcPr>
            <w:tcW w:w="4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 million</w:t>
            </w:r>
          </w:p>
        </w:tc>
      </w:tr>
    </w:tbl>
    <w:p>
      <w:pPr>
        <w:spacing w:after="0" w:line="2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Unless terminated earlier, the term of the Insulin Supply Agreement expires on December 31, 2026 and can be renewed for additional, successive two year terms upon 12 months’ written notice given prior to the end of the initial term or any additional two year term. The Company and Amphastar each have normal and customary termination rights, including termination for a material breach that is not cured within a specific time frame or in the event of liquidation, bankruptcy or insolvency of the other party. In addition, the Company may terminate the Insulin Supply Agreement upon two years’ prior written notice to Amphastar without cause or upon 30 days’ prior written notice to Amphastar if a controlling regulatory authority withdraws approval for Afrezza, provided, however, in the event of a termination pursuant to either of the latter two scenarios, the provisions of the Insulin Supply Agreement require the Company to pay the full amount of all unpaid purchase commitments due over the initial term within 60 calendar days of the effective date of such termination.</w:t>
      </w:r>
    </w:p>
    <w:p>
      <w:pPr>
        <w:spacing w:after="0" w:line="21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i w:val="1"/>
          <w:iCs w:val="1"/>
          <w:color w:val="auto"/>
        </w:rPr>
        <w:t xml:space="preserve">Warrants – </w:t>
      </w:r>
      <w:r>
        <w:rPr>
          <w:rFonts w:ascii="Arial" w:cs="Arial" w:eastAsia="Arial" w:hAnsi="Arial"/>
          <w:sz w:val="18"/>
          <w:szCs w:val="18"/>
          <w:color w:val="auto"/>
        </w:rPr>
        <w:t>In August 2019, in connection with the MidCap Credit Facility, the Company issued warrants to purchase an aggregate of 1,171,614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Company’s common stock, at an exercise price equal to $1.11 per share, to the lenders. Additional MidCap warrants will be issued if the Company accesses additional tranches under the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Vehicle Leases – </w:t>
      </w:r>
      <w:r>
        <w:rPr>
          <w:rFonts w:ascii="Arial" w:cs="Arial" w:eastAsia="Arial" w:hAnsi="Arial"/>
          <w:sz w:val="18"/>
          <w:szCs w:val="18"/>
          <w:color w:val="auto"/>
        </w:rPr>
        <w:t>During the second quarter of 2018, the Company entered into a lease agreement with Enterprise Fleet Management Inc. for the lease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119 vehicles. The lease requires monthly payments of approximately $83,000 per month including the cost of maintaining the vehicles, taxes and insurance. The lease commenced when the Company took possession of the majority of the vehicles in the second quarter of 2018 and expires 48 months after the delivery date. During 2019, 29 vehicles were removed from the fleet, resulting in a fleet size of 90 vehicles. The revised monthly payment inclusive of maintenance fees, insurance and taxes is $65,000. The lease expense is included in selling, general and administrative expenses in the accompanying condensed consolidated statement of operations.</w:t>
      </w:r>
    </w:p>
    <w:p>
      <w:pPr>
        <w:spacing w:after="0" w:line="19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Upon adoption of ASC 842, the agreement was classified as an operating lease which resulted in recording right-of-use assets and lease liabilities of approximately $1.6 million and $1.9 million, respectively, as of January 1, 2019. These amounts included approximately $1.6 million of non-current other assets and approximately $0.6 million and $1.3 million of other current liabilities and operating lease liabilities, respectively.</w:t>
      </w:r>
    </w:p>
    <w:p>
      <w:pPr>
        <w:spacing w:after="0" w:line="19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Office Lease </w:t>
      </w:r>
      <w:r>
        <w:rPr>
          <w:rFonts w:ascii="Arial" w:cs="Arial" w:eastAsia="Arial" w:hAnsi="Arial"/>
          <w:sz w:val="18"/>
          <w:szCs w:val="18"/>
          <w:color w:val="auto"/>
        </w:rPr>
        <w:t>— In May 2017, the Company executed an office lease with Russell Ranch Road II LLC for the Company’s corporate headquarters in</w:t>
      </w:r>
      <w:r>
        <w:rPr>
          <w:rFonts w:ascii="Arial" w:cs="Arial" w:eastAsia="Arial" w:hAnsi="Arial"/>
          <w:sz w:val="18"/>
          <w:szCs w:val="18"/>
          <w:i w:val="1"/>
          <w:iCs w:val="1"/>
          <w:color w:val="auto"/>
        </w:rPr>
        <w:t xml:space="preserve"> </w:t>
      </w:r>
      <w:r>
        <w:rPr>
          <w:rFonts w:ascii="Arial" w:cs="Arial" w:eastAsia="Arial" w:hAnsi="Arial"/>
          <w:sz w:val="18"/>
          <w:szCs w:val="18"/>
          <w:color w:val="auto"/>
        </w:rPr>
        <w:t>Westlake Village, California. The office lease commenced in August 2017. The Company agreed to pay initial monthly lease payments of $40,951, subject to 3% annual increases, plus the estimated cost of maintaining the property and common areas by the landlord, with a five month concession from October 2017 through February 2018. The lease also provides for allowances for tenant alterations and maintenance. The lease expires in January 2023 and provides the Company with a five year renewal option. The lease expense is included in selling, general and administrative expenses in the accompanying condensed consolidated statement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8" w:name="page29"/>
    <w:bookmarkEnd w:id="28"/>
    <w:p>
      <w:pPr>
        <w:spacing w:after="0" w:line="296" w:lineRule="auto"/>
        <w:rPr>
          <w:sz w:val="20"/>
          <w:szCs w:val="20"/>
          <w:color w:val="auto"/>
        </w:rPr>
      </w:pPr>
      <w:r>
        <w:rPr>
          <w:rFonts w:ascii="Arial" w:cs="Arial" w:eastAsia="Arial" w:hAnsi="Arial"/>
          <w:sz w:val="16"/>
          <w:szCs w:val="16"/>
          <w:color w:val="auto"/>
        </w:rPr>
        <w:t>In November 2017, the Company executed an office lease with Russell Ranch Road II LLC to expand the office space for the Company’s corporate headquarters in Westlake Village, California. The office lease commenced in October 2018. The Company agreed to pay initial monthly lease payments of $35,969, subject to a 3% annual increase, plus the estimated operating cost of maintaining the property by the landlord, which are allocable based an annual assessment made by the landlord. In addition, the Company received reimbursement from the landlord of $56,325 for tenant improvements and was not required to pay a first-year common area maintenance fee. The lease expires in January 2023 and provides the Company with a five year renewal option.</w:t>
      </w:r>
    </w:p>
    <w:p>
      <w:pPr>
        <w:spacing w:after="0" w:line="16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Upon adoption of ASC 842, this lease was classified as an operating lease, which resulted in recording right-of-use assets and lease liabilities of approximately $3.2 million and $3.5 million, respectively, as of January 1, 2019. These amounts included approximately $0.9 million and $2.6 million of other current liabilities and operating lease liabilities, respectively.</w:t>
      </w:r>
    </w:p>
    <w:p>
      <w:pPr>
        <w:spacing w:after="0" w:line="184"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For the three and six months ended June 30, 2020, operating lease costs under all operating leases, including office space and equipment, was approximately $0.4 million and $0.7 million, respectively. Cash paid for all operating leases for the three and six months ended June 30, 2020 was $0.4 million and $0.9 million, respectively. Variable lease costs were approximately $0.1 million and $0.2 million for the three and six months ended June 30, 2020, respectively.</w:t>
      </w:r>
    </w:p>
    <w:p>
      <w:pPr>
        <w:spacing w:after="0" w:line="179" w:lineRule="exact"/>
        <w:rPr>
          <w:sz w:val="20"/>
          <w:szCs w:val="20"/>
          <w:color w:val="auto"/>
        </w:rPr>
      </w:pPr>
    </w:p>
    <w:p>
      <w:pPr>
        <w:ind w:right="220"/>
        <w:spacing w:after="0" w:line="269" w:lineRule="auto"/>
        <w:rPr>
          <w:sz w:val="20"/>
          <w:szCs w:val="20"/>
          <w:color w:val="auto"/>
        </w:rPr>
      </w:pPr>
      <w:r>
        <w:rPr>
          <w:rFonts w:ascii="Arial" w:cs="Arial" w:eastAsia="Arial" w:hAnsi="Arial"/>
          <w:sz w:val="18"/>
          <w:szCs w:val="18"/>
          <w:color w:val="auto"/>
        </w:rPr>
        <w:t>For the three and six months ended June 30, 2019, operating lease costs under all operating leases, including office space and equipment, was approximately $0.3 million and $0.8 million, respectively. Cash paid for all operating leases for the three and six months ended June 30, 2019 was $0.2 million and $0.7 million, respectively. Variable lease costs were approximately $0.1 million and $0.2 million for the three and six months ended June 30, 2019,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ind w:left="6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remaining lease term (in years)</w:t>
            </w: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ind w:left="1020"/>
              <w:spacing w:after="0"/>
              <w:rPr>
                <w:sz w:val="20"/>
                <w:szCs w:val="20"/>
                <w:color w:val="auto"/>
              </w:rPr>
            </w:pPr>
            <w:r>
              <w:rPr>
                <w:rFonts w:ascii="Arial" w:cs="Arial" w:eastAsia="Arial" w:hAnsi="Arial"/>
                <w:sz w:val="18"/>
                <w:szCs w:val="18"/>
                <w:color w:val="auto"/>
                <w:w w:val="87"/>
              </w:rPr>
              <w:t>2.4</w:t>
            </w:r>
          </w:p>
        </w:tc>
        <w:tc>
          <w:tcPr>
            <w:tcW w:w="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ind w:left="1140"/>
              <w:spacing w:after="0"/>
              <w:rPr>
                <w:sz w:val="20"/>
                <w:szCs w:val="20"/>
                <w:color w:val="auto"/>
              </w:rPr>
            </w:pPr>
            <w:r>
              <w:rPr>
                <w:rFonts w:ascii="Arial" w:cs="Arial" w:eastAsia="Arial" w:hAnsi="Arial"/>
                <w:sz w:val="18"/>
                <w:szCs w:val="18"/>
                <w:color w:val="auto"/>
                <w:w w:val="87"/>
              </w:rPr>
              <w:t>3.0</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3"/>
          </w:tcPr>
          <w:p>
            <w:pPr>
              <w:ind w:left="1020"/>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ind w:left="1140"/>
              <w:spacing w:after="0"/>
              <w:rPr>
                <w:sz w:val="20"/>
                <w:szCs w:val="20"/>
                <w:color w:val="auto"/>
              </w:rPr>
            </w:pPr>
            <w:r>
              <w:rPr>
                <w:rFonts w:ascii="Arial" w:cs="Arial" w:eastAsia="Arial" w:hAnsi="Arial"/>
                <w:sz w:val="18"/>
                <w:szCs w:val="18"/>
                <w:color w:val="auto"/>
                <w:w w:val="97"/>
              </w:rPr>
              <w:t>7.5%</w:t>
            </w:r>
          </w:p>
        </w:tc>
      </w:tr>
      <w:tr>
        <w:trPr>
          <w:trHeight w:val="431"/>
        </w:trPr>
        <w:tc>
          <w:tcPr>
            <w:tcW w:w="9520" w:type="dxa"/>
            <w:vAlign w:val="bottom"/>
            <w:gridSpan w:val="6"/>
          </w:tcPr>
          <w:p>
            <w:pPr>
              <w:spacing w:after="0"/>
              <w:rPr>
                <w:sz w:val="20"/>
                <w:szCs w:val="20"/>
                <w:color w:val="auto"/>
              </w:rPr>
            </w:pPr>
            <w:r>
              <w:rPr>
                <w:rFonts w:ascii="Arial" w:cs="Arial" w:eastAsia="Arial" w:hAnsi="Arial"/>
                <w:sz w:val="18"/>
                <w:szCs w:val="18"/>
                <w:color w:val="auto"/>
                <w:w w:val="94"/>
              </w:rPr>
              <w:t>Future minimum office and vehicle lease payments as of June 30, 2020 and December 31, 2019, are as follows (in thousands):</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7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3"/>
          </w:tcPr>
          <w:p>
            <w:pPr>
              <w:ind w:left="200"/>
              <w:spacing w:after="0"/>
              <w:rPr>
                <w:sz w:val="20"/>
                <w:szCs w:val="20"/>
                <w:color w:val="auto"/>
              </w:rPr>
            </w:pPr>
            <w:r>
              <w:rPr>
                <w:rFonts w:ascii="Arial" w:cs="Arial" w:eastAsia="Arial" w:hAnsi="Arial"/>
                <w:sz w:val="14"/>
                <w:szCs w:val="14"/>
                <w:b w:val="1"/>
                <w:bCs w:val="1"/>
                <w:color w:val="auto"/>
              </w:rPr>
              <w:t>June 30, 2020</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7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w:t>
            </w:r>
          </w:p>
        </w:tc>
        <w:tc>
          <w:tcPr>
            <w:tcW w:w="2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1,470</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FF0FC"/>
          </w:tcPr>
          <w:p>
            <w:pPr>
              <w:spacing w:after="0"/>
              <w:rPr>
                <w:sz w:val="19"/>
                <w:szCs w:val="19"/>
                <w:color w:val="auto"/>
              </w:rPr>
            </w:pPr>
          </w:p>
        </w:tc>
      </w:tr>
      <w:tr>
        <w:trPr>
          <w:trHeight w:val="229"/>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FF0FC"/>
            </w:tcBorders>
          </w:tcPr>
          <w:p>
            <w:pPr>
              <w:spacing w:after="0"/>
              <w:rPr>
                <w:sz w:val="19"/>
                <w:szCs w:val="19"/>
                <w:color w:val="auto"/>
              </w:rPr>
            </w:pPr>
          </w:p>
        </w:tc>
      </w:tr>
      <w:tr>
        <w:trPr>
          <w:trHeight w:val="223"/>
        </w:trPr>
        <w:tc>
          <w:tcPr>
            <w:tcW w:w="76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3,568</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4,298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and concluded, in accordance with the applicable accounting standards, that net deferred tax assets should be fully reserved.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assessed its position with regards to uncertainty in tax positions and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this guidance. The Company’s tax years since 2015 remain subject to examination by federal, state and foreign tax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i w:val="1"/>
          <w:iCs w:val="1"/>
          <w:color w:val="auto"/>
        </w:rPr>
        <w:t>Statements in this report that are not strictly historical in nature are “forward-looking statements” within the meaning of the federal securities laws made pursuant to the safe harbor provisions of the Private Securities Litigation Reform Act of 1995. In some cases, you can identify forward-looking statements by terms such as “anticipate,” “believe,” “could,” “estimate,” “expect,” “goal,” “intend,” “may,” “plan,” “potential,” “predict,” “project,” “should,” “will,” “would,” and similar expressions intended to identify forward-looking statements, though not all forward-looking statements contain these identifying words. Our actual results could differ materially from those anticipated in these forward-looking statements as a result of various factors, including those set forth below in Part II, Item 1A Risk Factors and elsewhere in this quarterly report on Form 10-Q. The preceding interim condensed consolidated financial statements and this Management’s Discussion and Analysis of Financial Condition and Results of Operations should be read in conjunction with the financial statements and related notes for the year ended December 31, 2019 and Management’s Discussion and Analysis of Financial Condition and Results of Operations contained in the Annual Report. Readers are cautioned not to place undue reliance on forward-looking statements. The forward-looking statements speak only as of the date on which they are made, and we undertake no obligation to update such statements to reflect events that occur or circumstances that exist after the date on which they are made.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are a biopharmaceutical company focused on the development and commercialization of inhaled therapeutic products for endocrinology and orphan lung diseases. Our only approved product, Afrezza, is an ultra rapid-acting inhaled insulin that was approved by the FDA in June 2014 to improve glycemic control in adult patients with diabetes. Afrezza became available by prescription in United States retail pharmacies in February 2015.</w:t>
      </w:r>
    </w:p>
    <w:p>
      <w:pPr>
        <w:spacing w:after="0" w:line="14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Our business is subject to significant risks, including but not limited to our need to raise additional capital to fund our operations, our ability to successfully commercialize Afrezza, our ability to manufacture sufficient quantities of Afrezza and competition from other products and technologies. Other significant risks also include the risks inherent in clinical trials and the regulatory approval process for our product candidates, which in some cases depends upon the efforts of our partners.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continue to manage the risk to our business posed by the global COVID-19 pandemic. For much of the second quarter of 2020, our entire workforce worked from home except for 65 employees in our Connecticut facility who were essential for the commercial production of Afrezza and the clinical production of TreT. As various stay-at-home orders were lifted by individual states and counties during May and June, our sales representatives were able to resume in-person sales calls on a limited scale. Our offices in California and Connecticut have reopened, although many employees continue to work from home for a portion of each work week. Although our productivity has been impacted by the global pandemic, we have suitably adapted to the changed business environment that now exists.</w:t>
      </w:r>
    </w:p>
    <w:p>
      <w:pPr>
        <w:spacing w:after="0" w:line="192"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COVID-19 pandemic continues to evolve rapidly and its ultimate impact remains highly uncertain. We do not yet know the full extent of potential delays or impacts on our business, our collaboration arrangements, commercialization efforts, healthcare systems or to the global economy as a whole. We continue to expect the COVID-19 pandemic to negatively impact our near-term revenues from Afrezza and believe it has the potential to have additional adverse impacts on our operations. We will continue to monitor the COVID-19 situation closely.</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June 30, 2020, we had an accumulated deficit of $3.0 billion and a stockholders’ deficit of $179.7 million. We had net loss of $10.3 million and $19.6 million for the three and six months ended June 30, 2020, respectively. To date, we have funded our operations through the sale of equity and convertible debt securities, from the receipt of upfront and milestone payments from certain collaborations, and from borrowings under certain loan arrangements. As discussed below in “Liquidity and Capital Resources,” if we are unable to obtain additional funding, there will continue to be substantial doubt about our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 xml:space="preserve">Our critical accounting policies can be found in Item 7. Management’s Discussion and Analysis of Financial Condition and Results of Operations in our Form 10-K for the year ended December 31, 2019. See Note 1 – </w:t>
      </w:r>
      <w:r>
        <w:rPr>
          <w:rFonts w:ascii="Arial" w:cs="Arial" w:eastAsia="Arial" w:hAnsi="Arial"/>
          <w:sz w:val="16"/>
          <w:szCs w:val="16"/>
          <w:i w:val="1"/>
          <w:iCs w:val="1"/>
          <w:color w:val="auto"/>
        </w:rPr>
        <w:t>Description of Business and Significant Accounting Policies</w:t>
      </w:r>
      <w:r>
        <w:rPr>
          <w:rFonts w:ascii="Arial" w:cs="Arial" w:eastAsia="Arial" w:hAnsi="Arial"/>
          <w:sz w:val="16"/>
          <w:szCs w:val="16"/>
          <w:color w:val="auto"/>
        </w:rPr>
        <w:t xml:space="preserve"> in the condensed consolidated financial statements included in Part I – Financial Statements (Unaudited) for descriptions of the new accounting policies and impact of adoption.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2020 and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revenue categories for the three and six months ended June 30, 2020 and 2019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11,900</w:t>
            </w:r>
          </w:p>
        </w:tc>
        <w:tc>
          <w:tcPr>
            <w:tcW w:w="24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10,339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(4,915)</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(4,274)</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6,065</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8,937</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(808)</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5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6"/>
        </w:trPr>
        <w:tc>
          <w:tcPr>
            <w:tcW w:w="50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Gross revenue from product sales</w:t>
            </w:r>
          </w:p>
        </w:tc>
        <w:tc>
          <w:tcPr>
            <w:tcW w:w="9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25,832</w:t>
            </w:r>
          </w:p>
        </w:tc>
        <w:tc>
          <w:tcPr>
            <w:tcW w:w="240" w:type="dxa"/>
            <w:vAlign w:val="bottom"/>
          </w:tcPr>
          <w:p>
            <w:pPr>
              <w:spacing w:after="0"/>
              <w:rPr>
                <w:sz w:val="19"/>
                <w:szCs w:val="19"/>
                <w:color w:val="auto"/>
              </w:rPr>
            </w:pP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18,546</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7,286</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r>
      <w:tr>
        <w:trPr>
          <w:trHeight w:val="215"/>
        </w:trPr>
        <w:tc>
          <w:tcPr>
            <w:tcW w:w="50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Wholesaler distribution fees, rebates and chargebacks,</w:t>
            </w:r>
          </w:p>
        </w:tc>
        <w:tc>
          <w:tcPr>
            <w:tcW w:w="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30"/>
        </w:trPr>
        <w:tc>
          <w:tcPr>
            <w:tcW w:w="50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product returns and other discounts</w:t>
            </w:r>
          </w:p>
        </w:tc>
        <w:tc>
          <w:tcPr>
            <w:tcW w:w="6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(10,847)</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(7,405)</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24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46%</w:t>
            </w: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revenue — commercial product sales</w:t>
            </w:r>
          </w:p>
        </w:tc>
        <w:tc>
          <w:tcPr>
            <w:tcW w:w="6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14,985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11,141</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3,844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Revenue — collaborations and services</w:t>
            </w:r>
          </w:p>
        </w:tc>
        <w:tc>
          <w:tcPr>
            <w:tcW w:w="6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21,309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(4,945)</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r>
      <w:tr>
        <w:trPr>
          <w:trHeight w:val="223"/>
        </w:trPr>
        <w:tc>
          <w:tcPr>
            <w:tcW w:w="5080" w:type="dxa"/>
            <w:vAlign w:val="bottom"/>
          </w:tcPr>
          <w:p>
            <w:pPr>
              <w:ind w:left="260"/>
              <w:spacing w:after="0"/>
              <w:rPr>
                <w:sz w:val="20"/>
                <w:szCs w:val="20"/>
                <w:color w:val="auto"/>
              </w:rPr>
            </w:pPr>
            <w:r>
              <w:rPr>
                <w:rFonts w:ascii="Arial" w:cs="Arial" w:eastAsia="Arial" w:hAnsi="Arial"/>
                <w:sz w:val="18"/>
                <w:szCs w:val="18"/>
                <w:color w:val="auto"/>
              </w:rPr>
              <w:t>Total revenues</w:t>
            </w:r>
          </w:p>
        </w:tc>
        <w:tc>
          <w:tcPr>
            <w:tcW w:w="6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31,349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32,450</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(1,101)</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5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Gross revenue from the sales of Afrezza increased by $1.6 million, or 15%, for the three months ended June 30, 2020 compared to the same period in the prior year. The increase was primarily driven by higher product demand, a price increase, a more favorable mix of Afrezza cartridges, and a shipment of $0.2 million to Biomm (Brazil). The gross-to-net adjustment was $4.9 million (or 41% of gross revenue) for the three months ended June 30, 2020, compared to $4.3 million (or 41% of gross revenue) for the same period in the prior year. The increase of $0.6 million was primarily driven by an increase in commercial product sales. As a result, net revenue from the sales of Afrezza increased by $0.9 million, or 15%, for the three months ended June 30, 2020 compared to the prior year period. During the second quarter of 2020, our sales force had very limited access to physicians as a result of the stay-at-home orders implemented around the country in response to the COVID-19 pandemic. This limited access, in addition to the stockpiling of extra refills that we believe took place in the first quarter of 2020, had an unfavorable impact on our commercial sales during the three months ended June 30, 2020. The ultimate impact of the COVID-19 pandemic on our operations is highly uncertain; therefore, the results of revenue from our commercial sales for the second quarter of 2020 should not be used as an indication of likely sales trends for the remainder of 2020.</w:t>
      </w:r>
    </w:p>
    <w:p>
      <w:pPr>
        <w:spacing w:after="0" w:line="16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 xml:space="preserve">Net revenue from collaborations and services decreased by $0.8 million, or 9%, for the three months ended June 30, 2020 compared to the same period in the prior year. This was primarily driven by a $1.0 million decrease in revenue recognized from the UT Research Agreement, which was substantially completed in the second quarter of 2019 (see Note 7 – </w:t>
      </w:r>
      <w:r>
        <w:rPr>
          <w:rFonts w:ascii="Arial" w:cs="Arial" w:eastAsia="Arial" w:hAnsi="Arial"/>
          <w:sz w:val="18"/>
          <w:szCs w:val="18"/>
          <w:i w:val="1"/>
          <w:iCs w:val="1"/>
          <w:color w:val="auto"/>
        </w:rPr>
        <w:t>Collaboration and Licensing Agreements</w:t>
      </w:r>
      <w:r>
        <w:rPr>
          <w:rFonts w:ascii="Arial" w:cs="Arial" w:eastAsia="Arial" w:hAnsi="Arial"/>
          <w:sz w:val="18"/>
          <w:szCs w:val="18"/>
          <w:color w:val="auto"/>
        </w:rPr>
        <w: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31" w:name="page32"/>
    <w:bookmarkEnd w:id="31"/>
    <w:p>
      <w:pPr>
        <w:ind w:right="40"/>
        <w:spacing w:after="0" w:line="287" w:lineRule="auto"/>
        <w:rPr>
          <w:sz w:val="20"/>
          <w:szCs w:val="20"/>
          <w:color w:val="auto"/>
        </w:rPr>
      </w:pPr>
      <w:r>
        <w:rPr>
          <w:rFonts w:ascii="Arial" w:cs="Arial" w:eastAsia="Arial" w:hAnsi="Arial"/>
          <w:sz w:val="16"/>
          <w:szCs w:val="16"/>
          <w:color w:val="auto"/>
        </w:rPr>
        <w:t>Gross revenue from the sales of Afrezza increased by $7.3 million, or 39%, for the six months ended June 30, 2020 compared to the same period in the prior year. The increase was primarily driven by higher product demand, a price increase, a more favorable mix of Afrezza cartridges, and $0.7 million related to a reduction in wholesaler channel inventory in the six months ended June 30, 2019. The gross-to-net adjustment was $10.8 million (or 42% of gross revenue) for the six months ended June 30, 2020, compared to $7.4 million (or 40% of gross revenue) for the same period in the prior year. The increase of $3.4 million was primarily due to an increase in the utilization of our patient co-pay assistance programs and accounting estimates for rebates, partially offset by a decrease in accounting estimates for product returns. As a result, net revenue from the sales of Afrezza increased by $3.8 million, or 35%, for the six months ended June 30, 2020 compared to the prior year period. The stay-at-home orders implemented around the country in response to the COVID-19 pandemic negatively impacted the sales of Afrezza in the second quarter of 2020 as our sales force had very limited access to physicians. These reduced sales were partially offset by the increased demand for Afrezza in the first quarter of 2020 due to patients stockpiling extra refills of their prescriptions. The ultimate impact of the pandemic on our operations remains highly uncertain; therefore, the results of revenue from our commercial sales for the first half of 2020 should not be used as an indication of likely sales trends for the remainder of 2020.</w:t>
      </w:r>
    </w:p>
    <w:p>
      <w:pPr>
        <w:spacing w:after="0" w:line="17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 xml:space="preserve">Net revenue from collaborations and services decreased by $4.9 million, or 23%, for the six months ended June 30, 2020 compared to the same period in the prior year. This was primarily driven by a $5.5 million decrease in revenue recognized from the UT Research Agreement, which was substantially completed in the second quarter of 2019, partially offset by a $0.6 million increase in revenue from the UT License Agreement (see Note 7 – </w:t>
      </w:r>
      <w:r>
        <w:rPr>
          <w:rFonts w:ascii="Arial" w:cs="Arial" w:eastAsia="Arial" w:hAnsi="Arial"/>
          <w:sz w:val="18"/>
          <w:szCs w:val="18"/>
          <w:i w:val="1"/>
          <w:iCs w:val="1"/>
          <w:color w:val="auto"/>
        </w:rPr>
        <w:t>Collaboration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Licensing Agreements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product gross profit</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tables provide a comparison of the commercial product gross profit categories for the three and six months ended June 30,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right"/>
              <w:ind w:right="620"/>
              <w:spacing w:after="0"/>
              <w:rPr>
                <w:sz w:val="20"/>
                <w:szCs w:val="20"/>
                <w:color w:val="auto"/>
              </w:rPr>
            </w:pPr>
            <w:r>
              <w:rPr>
                <w:rFonts w:ascii="Arial" w:cs="Arial" w:eastAsia="Arial" w:hAnsi="Arial"/>
                <w:sz w:val="14"/>
                <w:szCs w:val="14"/>
                <w:b w:val="1"/>
                <w:bCs w:val="1"/>
                <w:color w:val="auto"/>
                <w:w w:val="97"/>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1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4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6,985</w:t>
            </w:r>
          </w:p>
        </w:tc>
        <w:tc>
          <w:tcPr>
            <w:tcW w:w="220" w:type="dxa"/>
            <w:vAlign w:val="bottom"/>
          </w:tcPr>
          <w:p>
            <w:pPr>
              <w:spacing w:after="0"/>
              <w:rPr>
                <w:sz w:val="19"/>
                <w:szCs w:val="19"/>
                <w:color w:val="auto"/>
              </w:rPr>
            </w:pPr>
          </w:p>
        </w:tc>
        <w:tc>
          <w:tcPr>
            <w:tcW w:w="300" w:type="dxa"/>
            <w:vAlign w:val="bottom"/>
            <w:gridSpan w:val="3"/>
          </w:tcPr>
          <w:p>
            <w:pPr>
              <w:jc w:val="right"/>
              <w:ind w:right="4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6,065</w:t>
            </w: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920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r>
      <w:tr>
        <w:trPr>
          <w:trHeight w:val="230"/>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3,677</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4,327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(650)</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r>
      <w:tr>
        <w:trPr>
          <w:trHeight w:val="26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3,308</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1,738</w:t>
            </w: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1,570</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90%</w:t>
            </w:r>
          </w:p>
        </w:tc>
      </w:tr>
      <w:tr>
        <w:trPr>
          <w:trHeight w:val="21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446"/>
        </w:trPr>
        <w:tc>
          <w:tcPr>
            <w:tcW w:w="4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4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jc w:val="right"/>
              <w:ind w:right="336"/>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right"/>
              <w:ind w:right="52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440" w:type="dxa"/>
            <w:vAlign w:val="bottom"/>
          </w:tcPr>
          <w:p>
            <w:pPr>
              <w:ind w:left="260"/>
              <w:spacing w:after="0"/>
              <w:rPr>
                <w:sz w:val="20"/>
                <w:szCs w:val="20"/>
                <w:color w:val="auto"/>
              </w:rPr>
            </w:pPr>
            <w:r>
              <w:rPr>
                <w:rFonts w:ascii="Arial" w:cs="Arial" w:eastAsia="Arial" w:hAnsi="Arial"/>
                <w:sz w:val="18"/>
                <w:szCs w:val="18"/>
                <w:color w:val="auto"/>
              </w:rPr>
              <w:t>Net revenue — commercial product sales</w:t>
            </w:r>
          </w:p>
        </w:tc>
        <w:tc>
          <w:tcPr>
            <w:tcW w:w="1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14,985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11,141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3,844</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r>
      <w:tr>
        <w:trPr>
          <w:trHeight w:val="229"/>
        </w:trPr>
        <w:tc>
          <w:tcPr>
            <w:tcW w:w="4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cost of goods sold</w:t>
            </w:r>
          </w:p>
        </w:tc>
        <w:tc>
          <w:tcPr>
            <w:tcW w:w="12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8,347</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(506)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63"/>
        </w:trPr>
        <w:tc>
          <w:tcPr>
            <w:tcW w:w="44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Commercial product gross profit</w:t>
            </w:r>
          </w:p>
        </w:tc>
        <w:tc>
          <w:tcPr>
            <w:tcW w:w="120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20" w:type="dxa"/>
            <w:vAlign w:val="bottom"/>
            <w:tcBorders>
              <w:bottom w:val="single" w:sz="8" w:color="CFF0FC"/>
            </w:tcBorders>
          </w:tcPr>
          <w:p>
            <w:pPr>
              <w:spacing w:after="0"/>
              <w:rPr>
                <w:sz w:val="22"/>
                <w:szCs w:val="22"/>
                <w:color w:val="auto"/>
              </w:rPr>
            </w:pPr>
          </w:p>
        </w:tc>
        <w:tc>
          <w:tcPr>
            <w:tcW w:w="300" w:type="dxa"/>
            <w:vAlign w:val="bottom"/>
            <w:tcBorders>
              <w:bottom w:val="single" w:sz="8" w:color="CFF0FC"/>
            </w:tcBorders>
          </w:tcPr>
          <w:p>
            <w:pPr>
              <w:spacing w:after="0"/>
              <w:rPr>
                <w:sz w:val="22"/>
                <w:szCs w:val="22"/>
                <w:color w:val="auto"/>
              </w:rPr>
            </w:pPr>
          </w:p>
        </w:tc>
        <w:tc>
          <w:tcPr>
            <w:tcW w:w="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4,350</w:t>
            </w:r>
          </w:p>
        </w:tc>
        <w:tc>
          <w:tcPr>
            <w:tcW w:w="240" w:type="dxa"/>
            <w:vAlign w:val="bottom"/>
            <w:tcBorders>
              <w:bottom w:val="single" w:sz="8" w:color="CFF0FC"/>
            </w:tcBorders>
          </w:tcPr>
          <w:p>
            <w:pPr>
              <w:spacing w:after="0"/>
              <w:rPr>
                <w:sz w:val="22"/>
                <w:szCs w:val="22"/>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156%</w:t>
            </w:r>
          </w:p>
        </w:tc>
      </w:tr>
      <w:tr>
        <w:trPr>
          <w:trHeight w:val="210"/>
        </w:trPr>
        <w:tc>
          <w:tcPr>
            <w:tcW w:w="44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Gross margin</w:t>
            </w:r>
          </w:p>
        </w:tc>
        <w:tc>
          <w:tcPr>
            <w:tcW w:w="1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bl>
    <w:p>
      <w:pPr>
        <w:spacing w:after="0" w:line="24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Commercial product gross profit for the three months ended June 30, 2020 increased by $1.6 million, or 90%, compared to the same period in the prior year. Gross margin for the three months ended June 30, 2020 increased to 47% from 29% for the same period in the prior year. The increase in gross profit and gross margin was attributable to higher commercial product sales combined with a reduction in cost of goods sold. Cost of goods sold decreased by $0.7 million, or 15%, for the three months ended June 30, 2020 compared to the same period in the prior year, primarily attributable to $0.6 million in reduced spending.</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Commercial product gross profit for the six months ended June 30, 2020 increased by $4.4 million, or 156%, compared to the same period in the prior year. Gross margin for the six months ended June 30, 2020 increased to 48% from 25% for the same period in the prior year. The increase in gross profit and gross margin was primarily attributable to higher commercial product sales. While cost of goods sold decreased by $0.5 million, or 6%, for the six months ended June 30, 2020 compared to the same period in the prior year. The reduction in cost of goods sold was primarily attributable to $1.2 million of increased manufacturing activities which resulted in a greater amount of costs capitalized to inventory and $0.6 million in reduced spending, partially offset by $0.9 million in costs associated with higher commercial product sales and $0.5 million of inventory write-offs.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comparison of the expense categories for the three and six months ended June 30, 2020 and 2019 (dollars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3,677</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4,327</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(650)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(156)</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1,632</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(2,109)</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7,229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(830)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29"/>
        </w:trPr>
        <w:tc>
          <w:tcPr>
            <w:tcW w:w="46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Loss on foreign currency translation</w:t>
            </w: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620</w:t>
            </w:r>
          </w:p>
        </w:tc>
        <w:tc>
          <w:tcPr>
            <w:tcW w:w="24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50%</w:t>
            </w:r>
          </w:p>
        </w:tc>
      </w:tr>
      <w:tr>
        <w:trPr>
          <w:trHeight w:val="223"/>
        </w:trPr>
        <w:tc>
          <w:tcPr>
            <w:tcW w:w="468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23,029</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25,954</w:t>
            </w:r>
          </w:p>
        </w:tc>
        <w:tc>
          <w:tcPr>
            <w:tcW w:w="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(2,925)</w:t>
            </w:r>
          </w:p>
        </w:tc>
        <w:tc>
          <w:tcPr>
            <w:tcW w:w="13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26"/>
        </w:trPr>
        <w:tc>
          <w:tcPr>
            <w:tcW w:w="4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6"/>
        </w:trPr>
        <w:tc>
          <w:tcPr>
            <w:tcW w:w="4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right"/>
              <w:ind w:right="354"/>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540"/>
              <w:spacing w:after="0" w:line="155" w:lineRule="exact"/>
              <w:rPr>
                <w:sz w:val="20"/>
                <w:szCs w:val="20"/>
                <w:color w:val="auto"/>
              </w:rPr>
            </w:pPr>
            <w:r>
              <w:rPr>
                <w:rFonts w:ascii="Arial" w:cs="Arial" w:eastAsia="Arial" w:hAnsi="Arial"/>
                <w:sz w:val="14"/>
                <w:szCs w:val="14"/>
                <w:b w:val="1"/>
                <w:bCs w:val="1"/>
                <w:color w:val="auto"/>
              </w:rPr>
              <w:t>$ Change</w:t>
            </w:r>
          </w:p>
        </w:tc>
        <w:tc>
          <w:tcPr>
            <w:tcW w:w="114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3"/>
                <w:szCs w:val="13"/>
                <w:color w:val="auto"/>
              </w:rPr>
            </w:pPr>
          </w:p>
        </w:tc>
      </w:tr>
      <w:tr>
        <w:trPr>
          <w:trHeight w:val="223"/>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Expenses:</w:t>
            </w:r>
          </w:p>
        </w:tc>
        <w:tc>
          <w:tcPr>
            <w:tcW w:w="10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r>
      <w:tr>
        <w:trPr>
          <w:trHeight w:val="230"/>
        </w:trPr>
        <w:tc>
          <w:tcPr>
            <w:tcW w:w="4680" w:type="dxa"/>
            <w:vAlign w:val="bottom"/>
          </w:tcPr>
          <w:p>
            <w:pPr>
              <w:ind w:left="260"/>
              <w:spacing w:after="0"/>
              <w:rPr>
                <w:sz w:val="20"/>
                <w:szCs w:val="20"/>
                <w:color w:val="auto"/>
              </w:rPr>
            </w:pPr>
            <w:r>
              <w:rPr>
                <w:rFonts w:ascii="Arial" w:cs="Arial" w:eastAsia="Arial" w:hAnsi="Arial"/>
                <w:sz w:val="18"/>
                <w:szCs w:val="18"/>
                <w:color w:val="auto"/>
              </w:rPr>
              <w:t>Cost of goods sold</w:t>
            </w:r>
          </w:p>
        </w:tc>
        <w:tc>
          <w:tcPr>
            <w:tcW w:w="1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8,347</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(506)</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revenue — collaborations and services</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3,676</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3,299</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Selling</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15,417</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28,029</w:t>
            </w:r>
          </w:p>
        </w:tc>
        <w:tc>
          <w:tcPr>
            <w:tcW w:w="14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(12,612)</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14,253</w:t>
            </w:r>
          </w:p>
        </w:tc>
        <w:tc>
          <w:tcPr>
            <w:tcW w:w="140" w:type="dxa"/>
            <w:vAlign w:val="bottom"/>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(1,650)</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30"/>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w:t>
            </w: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1,889</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w:t>
            </w:r>
          </w:p>
        </w:tc>
      </w:tr>
      <w:tr>
        <w:trPr>
          <w:trHeight w:val="229"/>
        </w:trPr>
        <w:tc>
          <w:tcPr>
            <w:tcW w:w="4680" w:type="dxa"/>
            <w:vAlign w:val="bottom"/>
          </w:tcPr>
          <w:p>
            <w:pPr>
              <w:ind w:left="260"/>
              <w:spacing w:after="0"/>
              <w:rPr>
                <w:sz w:val="20"/>
                <w:szCs w:val="20"/>
                <w:color w:val="auto"/>
              </w:rPr>
            </w:pPr>
            <w:r>
              <w:rPr>
                <w:rFonts w:ascii="Arial" w:cs="Arial" w:eastAsia="Arial" w:hAnsi="Arial"/>
                <w:sz w:val="18"/>
                <w:szCs w:val="18"/>
                <w:color w:val="auto"/>
              </w:rPr>
              <w:t>Loss (gain) on foreign currency translation</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(688)</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759</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110%</w:t>
            </w:r>
          </w:p>
        </w:tc>
      </w:tr>
      <w:tr>
        <w:trPr>
          <w:trHeight w:val="223"/>
        </w:trPr>
        <w:tc>
          <w:tcPr>
            <w:tcW w:w="46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46,385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56,916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FF0FC"/>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(10,531)</w:t>
            </w:r>
          </w:p>
        </w:tc>
        <w:tc>
          <w:tcPr>
            <w:tcW w:w="1360" w:type="dxa"/>
            <w:vAlign w:val="bottom"/>
            <w:tcBorders>
              <w:top w:val="single" w:sz="8" w:color="CFF0FC"/>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4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Cost of revenue — collaborations and services decreased by $0.2 million, or 7%, for the three months ended June 30, 2020 compared to the same period in the prior year. The decrease was attributable to lower resource costs related to conducting activities for our collaboration partner, UT.</w:t>
      </w:r>
    </w:p>
    <w:p>
      <w:pPr>
        <w:spacing w:after="0" w:line="14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Cost of revenue — collaborations and services increased by $1.7 million, or 45%, for the six months ended June 30, 2020 compared to the same period in the prior year. The increase was attributable to resource costs related to conducting activities for our collaboration partners, Cipla and UT.</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Research and development expenses decreased by $0.2 million, or 10%, for the three months ended June 30, 2020 compared to the same period in the prior year. The decrease was attributable to lower clinical trial spending.</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Research and development expenses decreased by $0.1 million, or 2%, for the six months ended June 30, 2020 compared to the same period in the prior year.</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Selling expenses decreased by $2.1 million, or 22%, for the three months ended June 30, 2020 compared to the same period in the prior year. The decrease was primarily attributable to a $1.9 million reduction in promotional and marketing activities.</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Selling expenses decreased by $12.6 million, or 45%, for the six months ended June 30, 2020 compared to the same period in the prior year. The decrease was primarily attributable to a $9.3 million decrease in costs for television advertising for Afrezza and a $3.1 million decrease from a reduction in promotional and marketing activities.</w:t>
      </w:r>
    </w:p>
    <w:p>
      <w:pPr>
        <w:spacing w:after="0" w:line="18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General and administrative expenses decreased by $0.8 million, or 11%, for the three months ended June 30, 2020 compared to the same period in the prior year. This decrease was primarily attributable to a $0.5 million decrease in personnel related costs as well as a $0.2 million decrease in professional costs.</w:t>
      </w:r>
    </w:p>
    <w:p>
      <w:pPr>
        <w:spacing w:after="0" w:line="12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General and administrative expenses decreased by $1.7 million, or 12%, for the six months ended June 30, 2020 compared to the same period in the prior year. This decrease was primarily attributable to a $1.2 million decrease in personnel and employee related costs and a $0.5 million decrease in consulting costs.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ind w:right="100"/>
        <w:spacing w:after="0" w:line="263" w:lineRule="auto"/>
        <w:rPr>
          <w:sz w:val="20"/>
          <w:szCs w:val="20"/>
          <w:color w:val="auto"/>
        </w:rPr>
      </w:pPr>
      <w:r>
        <w:rPr>
          <w:rFonts w:ascii="Arial" w:cs="Arial" w:eastAsia="Arial" w:hAnsi="Arial"/>
          <w:sz w:val="18"/>
          <w:szCs w:val="18"/>
          <w:color w:val="auto"/>
        </w:rPr>
        <w:t xml:space="preserve">During the three months ended June 30, 2020, an impairment of $0.4 million was recognized for the write-off of debt issuance costs associated with future funding commitments of the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in the condensed consolidated financial statements included in Part I – Financial Statements (Unaudited).</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 xml:space="preserve">During the six months ended June 30, 2020, an impairment of $1.9 million was recognized for a commitment asset and debt issuance costs related to the future funding commitments of the MidCap Credit Facility (see Note 1 – </w:t>
      </w:r>
      <w:r>
        <w:rPr>
          <w:rFonts w:ascii="Arial" w:cs="Arial" w:eastAsia="Arial" w:hAnsi="Arial"/>
          <w:sz w:val="17"/>
          <w:szCs w:val="17"/>
          <w:i w:val="1"/>
          <w:iCs w:val="1"/>
          <w:color w:val="auto"/>
        </w:rPr>
        <w:t>Description of Business and Significant Accounting Policies</w:t>
      </w:r>
      <w:r>
        <w:rPr>
          <w:rFonts w:ascii="Arial" w:cs="Arial" w:eastAsia="Arial" w:hAnsi="Arial"/>
          <w:sz w:val="17"/>
          <w:szCs w:val="17"/>
          <w:color w:val="auto"/>
        </w:rPr>
        <w:t xml:space="preserve"> and Note 6 – </w:t>
      </w:r>
      <w:r>
        <w:rPr>
          <w:rFonts w:ascii="Arial" w:cs="Arial" w:eastAsia="Arial" w:hAnsi="Arial"/>
          <w:sz w:val="17"/>
          <w:szCs w:val="17"/>
          <w:i w:val="1"/>
          <w:iCs w:val="1"/>
          <w:color w:val="auto"/>
        </w:rPr>
        <w:t xml:space="preserve">Borrowings </w:t>
      </w:r>
      <w:r>
        <w:rPr>
          <w:rFonts w:ascii="Arial" w:cs="Arial" w:eastAsia="Arial" w:hAnsi="Arial"/>
          <w:sz w:val="17"/>
          <w:szCs w:val="17"/>
          <w:color w:val="auto"/>
        </w:rPr>
        <w:t>in the condensed consolidated financial statements included in Part I – Financial Statements (Unaudited).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asset impairments for the three or six months ended June 30,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provide a comparison of the other income (expense) categories for the three and six months ended June 30, 2020 and 2019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3"/>
              </w:rPr>
              <w:t>Three Months Ended June 30,</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(564)</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(1,281)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(1,109)</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r>
      <w:tr>
        <w:trPr>
          <w:trHeight w:val="223"/>
        </w:trPr>
        <w:tc>
          <w:tcPr>
            <w:tcW w:w="5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72"/>
        </w:trPr>
        <w:tc>
          <w:tcPr>
            <w:tcW w:w="57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3"/>
              </w:rPr>
              <w:t>Six Months Ended June 30,</w:t>
            </w:r>
          </w:p>
        </w:tc>
        <w:tc>
          <w:tcPr>
            <w:tcW w:w="11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155"/>
        </w:trPr>
        <w:tc>
          <w:tcPr>
            <w:tcW w:w="57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 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w:t>
            </w: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Interest expense on notes</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(2,155)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(1,157)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998</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86%</w:t>
            </w: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on promissory notes</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(2,540)</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(2,189)</w:t>
            </w:r>
          </w:p>
        </w:tc>
        <w:tc>
          <w:tcPr>
            <w:tcW w:w="2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132%</w:t>
            </w:r>
          </w:p>
        </w:tc>
      </w:tr>
      <w:tr>
        <w:trPr>
          <w:trHeight w:val="223"/>
        </w:trPr>
        <w:tc>
          <w:tcPr>
            <w:tcW w:w="57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other expense</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CFF0FC"/>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r>
      <w:tr>
        <w:trPr>
          <w:trHeight w:val="20"/>
        </w:trPr>
        <w:tc>
          <w:tcPr>
            <w:tcW w:w="5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Interest income decreased by $0.2 million and $0.4 million, or 95% and 74%, for the three and six months ended June 30, 2020, respectively, compared to the same period in the prior year, which was primarily attributable to a lower interest rate on our U.S. Treasury money market investments as well as lower cash balances.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Interest expense on notes increased by $0.5 million and $1.0 million, or 92% and 86%, for the three and six months ended June 30, 2020, respectively, compared to the same period in the prior year. The increase was primarily attributable to the new MidCap Credit Facility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in the condensed consolidated financial statements included in Part I –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we have funded our operations through the sale of equity and convertible debt securities, from the receipt of upfront and milestone payments from certain collaborations, and from borrowings under certain loan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had $122.6 million principal amount of outstanding debt consisting of:</w:t>
      </w:r>
    </w:p>
    <w:p>
      <w:pPr>
        <w:spacing w:after="0" w:line="117" w:lineRule="exact"/>
        <w:rPr>
          <w:sz w:val="20"/>
          <w:szCs w:val="20"/>
          <w:color w:val="auto"/>
        </w:rPr>
      </w:pPr>
    </w:p>
    <w:p>
      <w:pPr>
        <w:ind w:left="1000" w:right="24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8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$5.0 million principal amount of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 million principal amount of the December 2020 note, which matures in December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jc w:val="both"/>
        <w:ind w:left="1000" w:right="120" w:hanging="493"/>
        <w:spacing w:after="0" w:line="259"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 in-kind or in shares; and</w:t>
      </w:r>
    </w:p>
    <w:p>
      <w:pPr>
        <w:spacing w:after="0" w:line="78" w:lineRule="exact"/>
        <w:rPr>
          <w:rFonts w:ascii="Arial" w:cs="Arial" w:eastAsia="Arial" w:hAnsi="Arial"/>
          <w:sz w:val="18"/>
          <w:szCs w:val="18"/>
          <w:color w:val="auto"/>
        </w:rPr>
      </w:pPr>
    </w:p>
    <w:p>
      <w:pPr>
        <w:jc w:val="both"/>
        <w:ind w:left="1000" w:right="300" w:hanging="493"/>
        <w:spacing w:after="0" w:line="301" w:lineRule="auto"/>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$4.9 million from a loan under the Paycheck Protection Program of the CARES Act, all or a portion of which may be forgiven. The PPP Loan matures in April 2022 and bears interest at a rate of 0.98% per annum. On November 9, 2020, we may be required to pay the lender $1.4 million of principal and interest, which includes six months of payments deferred in accordance with the terms of the PPP Loan, and equal monthly payments of principal and interest thereafter as required to fully amortize the remaining principal amount by April 9, 2022.</w:t>
      </w:r>
    </w:p>
    <w:p>
      <w:pPr>
        <w:spacing w:after="0" w:line="15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There can be no assurance that we will have sufficient resources to make any required repayments of principal under the MidCap Credit Facility, the 2024 convertible notes, the December 2020 note, the Mann Group promissory notes or unforgiven amounts of the PPP Loan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The 2024 convertible notes and the Mann Group convertible note are fully convertible at any time prior to maturity as further disclosed in Note 6 – </w:t>
      </w:r>
      <w:r>
        <w:rPr>
          <w:rFonts w:ascii="Arial" w:cs="Arial" w:eastAsia="Arial" w:hAnsi="Arial"/>
          <w:sz w:val="17"/>
          <w:szCs w:val="17"/>
          <w:i w:val="1"/>
          <w:iCs w:val="1"/>
          <w:color w:val="auto"/>
        </w:rPr>
        <w:t>Borrowings</w:t>
      </w:r>
      <w:r>
        <w:rPr>
          <w:rFonts w:ascii="Arial" w:cs="Arial" w:eastAsia="Arial" w:hAnsi="Arial"/>
          <w:sz w:val="17"/>
          <w:szCs w:val="17"/>
          <w:color w:val="auto"/>
        </w:rPr>
        <w:t>.</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date, we have been able to timely make our required interest payments, but we cannot guarantee that we will be able to do so in the future. If we fail to pay interest on the 2024 convertible notes or under the MidCap Credit Facility, or if we fail to repay or repurchase the 2024 convertible notes, the December 2020 note, Mann Group promissory notes, borrowings under the MidCap Credit Facility or unforgiven amounts of the PPP Loan, we will be in default under the applicable instrument for such indebtedness, and may also suffer an event of default under the terms of other borrowing arrangements that we may enter into from time to time. Any of these events could have a material adverse effect on our business, results of operations and financial condition, up to and including the noteholders initiating bankruptcy proceedings or causing us to cease operations altogether.</w:t>
      </w:r>
    </w:p>
    <w:p>
      <w:pPr>
        <w:spacing w:after="0" w:line="16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 xml:space="preserve">In July 2013, we issued Milestone Rights to the Milestone Purchasers. The Milestone Rights provide the Milestone Purchasers certain rights to receive payments of up to $90.0 million upon the occurrence of specified strategic and sales milestones, $70.0 million of which remains payable upon achievement of such milestones. See Note 11 –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and Note 6 – </w:t>
      </w:r>
      <w:r>
        <w:rPr>
          <w:rFonts w:ascii="Arial" w:cs="Arial" w:eastAsia="Arial" w:hAnsi="Arial"/>
          <w:sz w:val="16"/>
          <w:szCs w:val="16"/>
          <w:i w:val="1"/>
          <w:iCs w:val="1"/>
          <w:color w:val="auto"/>
        </w:rPr>
        <w:t>Borrowings</w:t>
      </w:r>
      <w:r>
        <w:rPr>
          <w:rFonts w:ascii="Arial" w:cs="Arial" w:eastAsia="Arial" w:hAnsi="Arial"/>
          <w:sz w:val="16"/>
          <w:szCs w:val="16"/>
          <w:color w:val="auto"/>
        </w:rPr>
        <w:t xml:space="preserve"> for further information related to the Milestone Rights.</w:t>
      </w:r>
    </w:p>
    <w:p>
      <w:pPr>
        <w:spacing w:after="0" w:line="1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These and other factors raise substantial doubt about our ability to continue as a going concern. Our financial statements and related notes thereto included elsewhere in this report do not include adjustments that might result from any unfavorable outcome of this uncertainty.</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six months ended June 30, 2020, we used $14.9 million of cash for our operating activities as a result of our net loss of $19.6 million, in addition to a net cash outflow from changes in balances of operating assets and liabilities of $5.3 million, partially offset by non-cash charges of $10.0 million. The change in operating asset and liabilities was primarily a result of deferred revenue amortization of $16.4 million, partially offset by a milestone payment from UT of $12.5 million.</w:t>
      </w:r>
    </w:p>
    <w:p>
      <w:pPr>
        <w:spacing w:after="0" w:line="18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the six months ended June 30, 2019, we used $31.3 million of cash for our operating activities as a result of our net loss of $27.3 million, offset by a net cash inflow from changes in balances of operating assets and liabilities of $10.7 million and non-cash charges of $6.6 million. The change in operating asset and liabilities was primarily a result of deferred revenue amortization of $21.3 million, recognized loss on purchase commitments of $4.0 million, partially offset by a milestone payment from UT of $12.5 million and an increase accounts payable of $2.2 million. The non-cash charges included $3.7 million of stock-based compensation and $2.3 million of interest accrued through promissory notes.</w:t>
      </w:r>
    </w:p>
    <w:p>
      <w:pPr>
        <w:spacing w:after="0" w:line="17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provided by investing activities of $19.7 million for the six months ended June 30, 2020 was primarily due to the proceeds from the sale of treasury bills.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Cash used in investing activities of $26.4 million for the six months ended June 30, 2019, was primarily due to a purchase of short-term treasury bills.</w:t>
      </w:r>
    </w:p>
    <w:p>
      <w:pPr>
        <w:spacing w:after="0" w:line="237"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Cash provided by financing activities of $28.5 million for the six months ended June 30, 2020 was primarily due to the receipt of $12.6 million in gross proceeds from at the market offerings for an aggregate of 7,871,461 shares of our common stock under the CF Sales Agreement, the exercise of outstanding warrants to purchase shares of our common stock of $11.6 million, and proceeds from the PPP Loan of $4.9 million.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ind w:right="40"/>
        <w:spacing w:after="0" w:line="342" w:lineRule="auto"/>
        <w:rPr>
          <w:sz w:val="20"/>
          <w:szCs w:val="20"/>
          <w:color w:val="auto"/>
        </w:rPr>
      </w:pPr>
      <w:r>
        <w:rPr>
          <w:rFonts w:ascii="Arial" w:cs="Arial" w:eastAsia="Arial" w:hAnsi="Arial"/>
          <w:sz w:val="16"/>
          <w:szCs w:val="16"/>
          <w:color w:val="auto"/>
        </w:rPr>
        <w:t>Cash used in financing activities of $0.7 million for the six months ended June 30, 2019 was primarily due to a principal payment of the Facility Financing Obligation of $2.5 million, offset by $1.9 million in proceeds from at the market offerings of our common stock under our CF Sales Agreement.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Liquidity Needs</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not currently profitable and have rarely generated positive net cash flows from operations. In addition, we expect to continue to incur significant expenditures for the foreseeable future in support of our manufacturing operations, sales and marketing costs for Afrezza, and collaboration and development costs for product candidates in our pipeline. As of June 30, 2020, we had an accumulated deficit of $3.0 billion and $122.6 million of total principal amount of outstanding borrowings, with limited capital resources of $63.2 million in cash and cash equivalents. These financial conditions raise substantial doubt about our ability to continue as a going concern.</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capital resources may not be sufficient to continue to meet our current and anticipated obligations over the next twelve months if we cannot increase our operating cash inflows by growing our prescription and revenue base and by obtaining access to the remaining $25.0 million borrowings that may become available under the MidCap Credit Facility (which, in turn, requires us to grow Afrezza revenue before we can access such funds). The stay-at-home orders implemented around the country in response to the COVID-19 pandemic negatively impacted the sales of Afrezza in the second quarter of 2020 as our sales force had very limited access to physicians, and the COVID-19 pandemic is expected to continue to negatively impact our near-term revenues from Afrezza, which potentially shortens our cash runway and increases the risk of non-compliance with the minimum revenue covenant in the MidCap Credit Facility described below. In response, during the second quarter of 2020, we took measures to counteract an anticipated decline in sales, including the implementation of cost saving measures to reduce payroll costs, professional fees, supplier and other vendor costs. In addition, in April 2020 we received proceeds of $4.9 million from a loan under the Paycheck Protection Program of the CARES Act, at least 75% of which we used to maintain payroll and retain employees, particularly those employees who were responsible for growing Afrezza prescriptions and revenue.</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ability to draw the $25.0 million Tranche 3 of the MidCap Credit Facility depends on our ability to achieve certain trailing 12-month Afrezza net revenue targets, which we are unlikely to achieve. The availability of Tranche 3 also depends on TreT achieving certain development milestones, which is likely to be negatively impacted by the COVID-19 pandemic. In the event our capital resources are not sufficient, we may need to raise additional capital by selling equity or debt securities, entering into strategic business collaboration agreements with other companies, seeking other funding facilities or licensing arrangements, selling assets or by other means. However, we cannot provide assurances that additional capital will be available on acceptable terms or at all. In addition, the COVID-19 pandemic is currently causing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6" w:name="page37"/>
    <w:bookmarkEnd w:id="36"/>
    <w:p>
      <w:pPr>
        <w:spacing w:after="0" w:line="254" w:lineRule="auto"/>
        <w:rPr>
          <w:sz w:val="20"/>
          <w:szCs w:val="20"/>
          <w:color w:val="auto"/>
        </w:rPr>
      </w:pPr>
      <w:r>
        <w:rPr>
          <w:rFonts w:ascii="Arial" w:cs="Arial" w:eastAsia="Arial" w:hAnsi="Arial"/>
          <w:sz w:val="18"/>
          <w:szCs w:val="18"/>
          <w:color w:val="auto"/>
        </w:rPr>
        <w:t>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w:t>
      </w:r>
    </w:p>
    <w:p>
      <w:pPr>
        <w:spacing w:after="0" w:line="19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may not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December 2020 note,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5"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If we are unable to meet our current and anticipated obligations over the next twelve months through our existing capital resources, or obtain new sources of capital when needed, we may have to delay or reduce the scope of our manufacturing operations, reduce or eliminate one or more of our development programs, or make significant changes to our operating plan. These factors raise substantial doubt about our ability to continue as a going concern.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and December 31, 2019, we did not have any off-balance sheet arrangements.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3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and Note 11 –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for a discussion of material changes outside of the ordinary course of business in our contractual obligations from those disclosed within “Management’s Discussion and Analysis of Financial Condition and Results of Operations,” as contained in the Annual Report.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7" w:name="page38"/>
    <w:bookmarkEnd w:id="37"/>
    <w:p>
      <w:pPr>
        <w:ind w:right="408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20"/>
        <w:spacing w:after="0" w:line="255" w:lineRule="auto"/>
        <w:rPr>
          <w:sz w:val="20"/>
          <w:szCs w:val="20"/>
          <w:color w:val="auto"/>
        </w:rPr>
      </w:pPr>
      <w:r>
        <w:rPr>
          <w:rFonts w:ascii="Arial" w:cs="Arial" w:eastAsia="Arial" w:hAnsi="Arial"/>
          <w:sz w:val="18"/>
          <w:szCs w:val="18"/>
          <w:color w:val="auto"/>
        </w:rPr>
        <w:t xml:space="preserve">Interest on borrowings under the MidCap Credit Facility is determined, for any one-month period, on the basis of one-month LIBOR in effect at the beginning of such period plus 6.75%, subject to a one-month LIBOR floor of 2.00%. Accordingly, our interest expense under the MidCap Credit Facility is subject to changes in the one-month LIBOR rate. All other debt has fixed interest rates, so the interest expense associated with such debt is not exposed to changes in market interest rates. Specifically, the interest rate on amounts borrowed under the Mann Group promissory notes is fixed at 7.00%, the interest rate under the 2024 convertible notes is fixed at 5.75%, and the interest rate under the PPP Loan is fixed at 0.98%. See Note 6 – </w:t>
      </w:r>
      <w:r>
        <w:rPr>
          <w:rFonts w:ascii="Arial" w:cs="Arial" w:eastAsia="Arial" w:hAnsi="Arial"/>
          <w:sz w:val="18"/>
          <w:szCs w:val="18"/>
          <w:i w:val="1"/>
          <w:iCs w:val="1"/>
          <w:color w:val="auto"/>
        </w:rPr>
        <w:t>Borrowings</w:t>
      </w:r>
      <w:r>
        <w:rPr>
          <w:rFonts w:ascii="Arial" w:cs="Arial" w:eastAsia="Arial" w:hAnsi="Arial"/>
          <w:sz w:val="18"/>
          <w:szCs w:val="18"/>
          <w:color w:val="auto"/>
        </w:rPr>
        <w:t xml:space="preserve"> for information about the principal amount of outstanding debt.</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 a change in the one-month LIBOR interest rate equal to 10% of the one-month LIBOR interest rate on June 30, 2020 were to have occurred, this change would not have a material effect on our interest payment obligation.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incur and will continue to incur significant expenditures for insulin supply obligations under our Insulin Supply Agreement with Amphastar. Such obligations are denominated in Euros. At the end of each reporting period, the recognized gain or loss on purchase commitment is converted to U.S. dollars at the then-applicable foreign exchange rate. As a result, our business is affected by fluctuations in exchange rates between the U.S. dollar and the</w:t>
      </w:r>
    </w:p>
    <w:p>
      <w:pPr>
        <w:spacing w:after="0" w:line="2" w:lineRule="exact"/>
        <w:rPr>
          <w:sz w:val="20"/>
          <w:szCs w:val="20"/>
          <w:color w:val="auto"/>
        </w:rPr>
      </w:pPr>
    </w:p>
    <w:p>
      <w:pPr>
        <w:ind w:right="20"/>
        <w:spacing w:after="0" w:line="295" w:lineRule="auto"/>
        <w:rPr>
          <w:sz w:val="20"/>
          <w:szCs w:val="20"/>
          <w:color w:val="auto"/>
        </w:rPr>
      </w:pPr>
      <w:r>
        <w:rPr>
          <w:rFonts w:ascii="Arial" w:cs="Arial" w:eastAsia="Arial" w:hAnsi="Arial"/>
          <w:sz w:val="16"/>
          <w:szCs w:val="16"/>
          <w:color w:val="auto"/>
        </w:rPr>
        <w:t>Euro. For the three months ended June 30, 2020, we realized a $1.9 million currency loss, which was included in loss on foreign currency translation in the accompanying condensed consolidated statements of operations. Exchange rate fluctuations may adversely affect our expenses, results of operations, financial position and cash flows. If a change in the U.S. dollar to Euro exchange rate equal to 10% of the U.S. dollar to Euro exchange rate on June 30, 2020 were to have occurred, this change would have resulted in a foreign currency impact to our pre-tax loss of approximately $9.1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defined in Rules 13a-15(e) and 15d-15(e) under the Securities Exchange Act of 1934, as amended, or the Exchange Act, as of June 30, 2020.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Based on the evaluation of our disclosure controls and procedures as of June 30, 2020, our Chief Executive Officer and our Chief Financial Officer have concluded, as of such date, that our disclosure controls and procedures were effective.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of the Exchange Act. An evaluation was also performed under the supervision and with the participation of our management, including our Chief Executive Officer and our Chief Financial Officer, of any change in our internal control over financial reporting that occurred during our last fiscal quarter and that has materially affected, or is reasonably likely to materially affect, our internal control over financial reporting. That evaluation did not identify any change in our internal control over financial reporting that occurred during our latest fiscal quarter that has materially affected, or is reasonably likely to materially affect, our internal control over financial reporting.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w:t>
      </w:r>
    </w:p>
    <w:p>
      <w:pPr>
        <w:spacing w:after="0" w:line="181" w:lineRule="exact"/>
        <w:rPr>
          <w:sz w:val="20"/>
          <w:szCs w:val="20"/>
          <w:color w:val="auto"/>
        </w:rPr>
      </w:pPr>
    </w:p>
    <w:p>
      <w:pPr>
        <w:ind w:right="520"/>
        <w:spacing w:after="0" w:line="311" w:lineRule="auto"/>
        <w:rPr>
          <w:sz w:val="20"/>
          <w:szCs w:val="20"/>
          <w:color w:val="auto"/>
        </w:rPr>
      </w:pPr>
      <w:r>
        <w:rPr>
          <w:rFonts w:ascii="Arial" w:cs="Arial" w:eastAsia="Arial" w:hAnsi="Arial"/>
          <w:sz w:val="16"/>
          <w:szCs w:val="16"/>
          <w:color w:val="auto"/>
        </w:rPr>
        <w:t>We are subject to legal proceedings and claims which arise in the ordinary course of our business. As of the date hereof, we believe that the final disposition of such matters will not have a material adverse effect on our financial position, results of operations or cash flows. We maintain liability insurance coverage to protect our assets from losses arising out of or involving activities associated with ongoing and normal business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i w:val="1"/>
          <w:iCs w:val="1"/>
          <w:color w:val="auto"/>
        </w:rPr>
        <w:t>You should consider carefully the following information about the risks described below, together with the other information contained in this quarterly report on Form 10-Q before you decide to buy or maintain an investment in our common stock. We believe the risks described below are the risks that are material to us as of the date of this quarterly report. Additional risks and uncertainties that we are unaware of may also become important factors that affect us. The risk factors set forth below marked with an asterisk (*) did not appear as separate risk factors in, or contains changes to the similarly titled risk factors included in, Item 1A of the Annual Report.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to fund our operations, and there is substantial doubt about our ability to continue as a going concern.*</w:t>
      </w:r>
    </w:p>
    <w:p>
      <w:pPr>
        <w:spacing w:after="0" w:line="14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report includes disclosures stating that our existing cash resources and our accumulated deficit raise substantial doubt about our ability to continue as a going concern. As of June 30, 2020, we had cash and cash equivalents of $63.2 million and accumulated deficit of $3.0 billion. We may need to raise additional capital, whether through the sale of equity or debt securities, additional strategic business collaborations, the establishment of other funding facilities, licensing arrangements, asset sales or other means, in order to support our ongoing activities, including the commercialization of Afrezza and the development of our product candidates. It may be difficult for us to raise additional funds on favorable terms, or at all. The extent of our additional funding requirements will depend on a number of factors, including:</w:t>
      </w:r>
    </w:p>
    <w:p>
      <w:pPr>
        <w:spacing w:after="0" w:line="70"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degree to which revenue from Afrezza continues to grow in excess of the minimum revenue covenants under the MidCap Credit Facility;</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degree to which we are able to generate revenue from our Technosphere drug delivery platform, including through our collaborations;</w:t>
      </w:r>
    </w:p>
    <w:p>
      <w:pPr>
        <w:spacing w:after="0" w:line="140" w:lineRule="exact"/>
        <w:rPr>
          <w:rFonts w:ascii="Arial" w:cs="Arial" w:eastAsia="Arial" w:hAnsi="Arial"/>
          <w:sz w:val="16"/>
          <w:szCs w:val="16"/>
          <w:color w:val="auto"/>
        </w:rPr>
      </w:pPr>
    </w:p>
    <w:p>
      <w:pPr>
        <w:ind w:left="1000" w:right="13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developing and commercializing Afrezza on our own in the United States, including the costs of expanding our commercialization capabilities;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demand by any or all of the holders of our debt instruments to require us to repay or repurchase such debt securities if and when required;</w:t>
      </w:r>
    </w:p>
    <w:p>
      <w:pPr>
        <w:spacing w:after="0" w:line="140" w:lineRule="exact"/>
        <w:rPr>
          <w:rFonts w:ascii="Arial" w:cs="Arial" w:eastAsia="Arial" w:hAnsi="Arial"/>
          <w:sz w:val="16"/>
          <w:szCs w:val="16"/>
          <w:color w:val="auto"/>
        </w:rPr>
      </w:pPr>
    </w:p>
    <w:p>
      <w:pPr>
        <w:ind w:left="1000" w:right="32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repay or refinance existing indebtedness, and the extent to which our notes with conversion options or any other convertible debt securities we may issue are converted into or exchanged for shares of our common stock;</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satisfy the milestone conditions necessary to access additional borrowings under the MidCap Credit Facility;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of our clinical studies and research and development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procuring raw materials and operating our manufacturing facility;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9" w:name="page40"/>
    <w:bookmarkEnd w:id="39"/>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obligation to make milestone payments;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success in establishing additional strategic business collaborations or other sales or licensing of assets, and the timing and amount of any payments we might receive from any such transactions;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actions taken by the FDA and other regulatory authorities affecting Afrezza and our product candidates and competitive products;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of competing technologies and products and other market developments;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our legal and litigation expenses;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costs of discontinuing projects and technologies, and/or decommissioning existing facilities, if we undertake any such activities.</w:t>
      </w:r>
    </w:p>
    <w:p>
      <w:pPr>
        <w:spacing w:after="0" w:line="23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raised capital in the past through the sale of equity and debt securities and we may in the future pursue the sale of additional equity and/or debt securities, or the establishment of other funding facilities including asset-based borrowings. There can be no assurances, however, that we will be able to raise additional capital in the future on acceptable terms, or at all. In addition, the COVID-19 pandemic is currently causing disruption of global financial markets. This disruption, if sustained or recurrent, could prevent us or make it more difficult for us to access capital or make it difficult to comply with the covenants contained in the MidCap Credit Facility, which could negatively affect our liquidity.</w:t>
      </w:r>
    </w:p>
    <w:p>
      <w:pPr>
        <w:spacing w:after="0" w:line="17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Issuances of additional debt or equity securities or the issuance of common stock upon conversion of outstanding convertible debt securities or upon the exercise of our currently outstanding warrants for shares of our common stock could impact the rights of the holders of our common stock and will dilute their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 We may also raise additional capital by pursuing opportunities for the licensing or sale of certain intellectual property and other assets. We cannot offer assurances, however, that any strategic collaboration,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18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funding facilities, licensing arrangements, borrowing arrangements and/or asset sales on a timely basis, we may be required to reduce expenses through the delay, reduction or curtailment of our projects, or further reduction of costs for facilities and administration. Moreover, if we do not obtain such additional funds, there may continue to be substantial doubt about our ability to continue as a going concern and increased risk of insolvency and up to total loss of investment to our stockholders and other security holders. As of the date hereof, we have not obtained a solvency opinion or otherwise conducted a valuation of our properties to determine whether our debts exceed the fair value of our property within the meaning of applicable solvency laws. If we are or become insolvent, holders of our common stock or other securities may lose the entire value of their investment.</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cannot provide assurances that changed or unexpected circumstances will not result in the depletion of our capital resources more rapidly than we currently anticipate. There can be no assurances that we will be able to raise additional capital in sufficient amounts or on favorable terms, or at all. If we are unable to raise adequate additional capital when required or in sufficient amounts or on terms acceptable to us, we may have to delay, scale back or discontinue one or more product development programs, curtail our commercialization activities, significantly reduce expenses, sell assets (potentially at a loss), enter into relationships with third parties to develop or commercialize products or technologies that we otherwise would have sought to develop or commercialize independently, cease operations altogether, pursue an acquisition of our company at a price that may result in up to a total loss on investment for our stockholders, file for bankruptcy or seek other protection from creditors, or liquidate all of our assets.</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prospects are heavily dependent on the successful commercialization of our only approved product, Afrezza. The continued commercialization and development of Afrezza will require substantial capital that we may not be able to obtain.</w:t>
      </w:r>
    </w:p>
    <w:p>
      <w:pPr>
        <w:spacing w:after="0" w:line="62"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have expended significant time, money and effort in the development of our only approved product, Afrezza. We anticipate that in the near term our prospects and ability to generate significant revenues will heavily depend on our ability to successfully commercialize Afrezza in the United States. In addition, we anticipate that revenues from our existing or future licensing arrangements for our Technosphere platform technology that involve license, milestone, royalty or other payments to us will depend on our ability to achieve the performance obligations specified in such arrangements.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0" w:name="page41"/>
    <w:bookmarkEnd w:id="40"/>
    <w:p>
      <w:pPr>
        <w:ind w:right="20"/>
        <w:spacing w:after="0" w:line="286" w:lineRule="auto"/>
        <w:rPr>
          <w:sz w:val="20"/>
          <w:szCs w:val="20"/>
          <w:color w:val="auto"/>
        </w:rPr>
      </w:pPr>
      <w:r>
        <w:rPr>
          <w:rFonts w:ascii="Arial" w:cs="Arial" w:eastAsia="Arial" w:hAnsi="Arial"/>
          <w:sz w:val="16"/>
          <w:szCs w:val="16"/>
          <w:color w:val="auto"/>
        </w:rPr>
        <w:t>Successful commercialization of Afrezza is subject to many risks, including some that are outside our control. There are numerous examples of unsuccessful product launches, second launches that underperform original expectations and other failures to fully exploit the market potential of drug products, including by pharmaceutical companies with more experience and resources than us. We ultimately may be unable to gain widespread market acceptance of Afrezza for a variety of reasons, including the treatment and dosage regimen, potential adverse effects, pricing relative to alternative products, the availability of alternative treatments and lack of coverage or adequate reimbursement. We will need to maintain and enhance our commercialization capabilities in order to successfully commercialize Afrezza in the United States, and we may not have sufficient resources to do so. The market for skilled commercial personnel is highly competitive, and we may not be able to hire all of the personnel we need on a timely basis or retain them for a sufficient period. In addition, Afrezza is a novel insulin therapy with a distinct time-action profile and non-injectable administration, and we are therefore required to expend significant time and resources to train our sales force to be credible, persuasive and compliant with applicable laws in marketing Afrezza for the treatment diabetes to physicians and to ensure that a consistent and appropriate message about Afrezza is being delivered to our potential customers. If we are unable to effectively train our sales force and equip them with effective materials, including medical and sales literature to help them inform and educate potential customers about the benefits of Afrezza and its proper administration, our efforts to successfully commercialize Afrezza could be put in jeopardy, which would negatively impact our ability to generate product revenues.</w:t>
      </w:r>
    </w:p>
    <w:p>
      <w:pPr>
        <w:spacing w:after="0" w:line="17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If we are unable to maintain payor coverage of, and adequate reimbursement for Afrezza, physicians may limit how much or under what circumstances they will prescribe or administer Afrezza. As a result, patients may decline to purchase Afrezza, which would have an adverse effect on our ability to generate revenues.</w:t>
      </w:r>
    </w:p>
    <w:p>
      <w:pPr>
        <w:spacing w:after="0" w:line="184"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responsible for the NDA for Afrezza and its maintenance. We may fail to comply with maintenance requirements, including timely submitting required reports. Furthermore, we are responsible for the conduct of the remaining required post-approval trials of Afrezza. Our financial and other resource constraints may result in delays or adversely impact the reliability and completion of these trials.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we fail to achieve commercialize success with Afrezza in the United States, our business, financial condition and results of operations will be materially and adversely affected.</w:t>
      </w:r>
    </w:p>
    <w:p>
      <w:pPr>
        <w:spacing w:after="0" w:line="2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expect that our results of operations will fluctuate for the foreseeable future, which may make it difficult to predict our future performance from period to period.</w:t>
      </w:r>
    </w:p>
    <w:p>
      <w:pPr>
        <w:spacing w:after="0" w:line="6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operating results have fluctuated in the past and are likely to do so in future periods. Some of the factors that could cause our operating results to fluctuate from period to period include the factors that will affect our funding requirements described above under “Risk Factors — We may need to raise additional capital to fund our operations, and there is substantial doubt about our ability to continue as a going concern.”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believe that comparisons from period to period of our financial results are not necessarily meaningful and should not be relied upon as indications of our future performance.</w:t>
      </w:r>
    </w:p>
    <w:p>
      <w:pPr>
        <w:spacing w:after="0" w:line="2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b w:val="1"/>
          <w:bCs w:val="1"/>
          <w:i w:val="1"/>
          <w:iCs w:val="1"/>
          <w:color w:val="auto"/>
        </w:rPr>
        <w:t>Our business, product sales, results of operations and ability to access capital could be adversely affected by the effects of health pandemics or epidemics, including the recent ongoing COVID-19 pandemic, in regions where we or third parties distribute our products or where we or third parties on which we rely have significant manufacturing facilities, concentrations of clinical trial sites or other business operations. The COVID-19 pandemic could materially affect our operations, including at our headquarters in California and at our manufacturing facility in Connecticut and with respect to our sales force and their ability to interact with health care professionals, as well as the business or operations of our suppliers, distributors or other third parties with whom we conduct business.*</w:t>
      </w:r>
    </w:p>
    <w:p>
      <w:pPr>
        <w:spacing w:after="0" w:line="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business could be adversely affected by the effects of health pandemics or epidemics in regions where we have business operations, and could cause significant disruption in the operations of third-party manufacturers and distributors upon whom we rely.</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the ongoing COVID-19 pandemic is resulting in travel and other restrictions to reduce the spread of the disease, including executive orders in California and Connecticut, and several other state and local orders across the country, which, among other things, direct individuals to shelter at their places of residence, direct businesses and governmental agencies to cease non-essential operations at physical locations, prohibit certain non-essential gatherings, and order cessation of non-essential travel. In March 2020, our employees began working from home except for certain personnel in our Connecticut facility who are essential for the production of Afrezza and TreT. The effects of state and local stay-at-home orders and our own work-from-home policies may negatively impact productivity, disrupt our business and delay our development programs, regulatory and commercialization timelines, the magnitude of which will depend, in part, on the length and severity of the restrictions and other limitations on our ability to conduct our business in the ordinary course. These and similar, and perhaps more severe, disruptions in our operations due to the COVID-19 pandemic could negatively impact our business, operating results and financial condition.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1" w:name="page42"/>
    <w:bookmarkEnd w:id="41"/>
    <w:p>
      <w:pPr>
        <w:ind w:right="20"/>
        <w:spacing w:after="0" w:line="273" w:lineRule="auto"/>
        <w:rPr>
          <w:sz w:val="20"/>
          <w:szCs w:val="20"/>
          <w:color w:val="auto"/>
        </w:rPr>
      </w:pPr>
      <w:r>
        <w:rPr>
          <w:rFonts w:ascii="Arial" w:cs="Arial" w:eastAsia="Arial" w:hAnsi="Arial"/>
          <w:sz w:val="17"/>
          <w:szCs w:val="17"/>
          <w:color w:val="auto"/>
        </w:rPr>
        <w:t>Quarantines, shelter-in-place and similar government orders, or the perception that such orders, shutdowns or other restrictions on the conduct of business operations could occur, related to COVID-19 or other infectious diseases could impact personnel at third-party manufacturing facilities in the United States and other countries, or the availability or cost of materials, which would disrupt our supply chain. Although we believe we have sufficient quantities of raw materials for planned manufacturing operations during 2020, a prolonged supply interruption of certain components could adversely affect our ability to conduct commercialization activities and planned clinical trials. In addition, we believe that the severity of the COVID-19 pandemic in Brazil has the potential to negatively impact the distribution of Afrezza by our partner in that country.</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Sales and demand for Afrezza have been adversely affected by the global COVID-19 pandemic, and we expect that the COVID-19 pandemic will continue to negatively impact near-term revenues from Afrezza. Our sales representatives, who normally conduct in-person office visits with healthcare providers, were required to work from home for varying periods of time during the second quarter of 2020, which has had an impact to their productivity. Disruptions in the prescription volume of Afrezza could also occur:</w:t>
      </w:r>
    </w:p>
    <w:p>
      <w:pPr>
        <w:spacing w:after="0" w:line="7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patients are physically quarantined or are unable or unwilling to visit healthcare providers,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physicians restrict access to their facilities for a material period of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healthcare providers prioritize treatment of acute or communicable illnesses over diabetes management,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pharmacies are closed or suffering supply chain disruptions,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patients lose access to employer-sponsored health insurance due to period of high unemployment, or</w:t>
      </w:r>
    </w:p>
    <w:p>
      <w:pPr>
        <w:spacing w:after="0" w:line="117" w:lineRule="exact"/>
        <w:rPr>
          <w:rFonts w:ascii="Arial" w:cs="Arial" w:eastAsia="Arial" w:hAnsi="Arial"/>
          <w:sz w:val="18"/>
          <w:szCs w:val="18"/>
          <w:color w:val="auto"/>
        </w:rPr>
      </w:pPr>
    </w:p>
    <w:p>
      <w:pPr>
        <w:ind w:left="1000" w:right="38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 result of general disruptions in the operations of payors, distributors, logistics providers and other third parties that are necessary for Afrezza to be prescribed and reimbursed.</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our planned clinical trials of Afrezza and those of our partner for TreT may be affected by the COVID-19 pandemic. Clinical site initiation and patient enrollment may be delayed due to prioritization of hospital resources toward the COVID-19 pandemic. Some patients may not be able or willing to comply with clinical trial protocols if quarantines impede patient movement or interrupt healthcare services. Similarly, our ability to recruit and retain patients and principal investigators and site staff who, as healthcare providers, may have heightened exposure to COVID-19 would adversely impact our clinical trial operations.</w:t>
      </w:r>
    </w:p>
    <w:p>
      <w:pPr>
        <w:spacing w:after="0" w:line="18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spread of COVID-19, which has caused a broad impact globally, may materially affect us economically. In response, we took measures in the second quarter of 2020 to counteract an anticipated decline in sales, including the implementation of cost saving measures to reduce professional fees, supplier and other vendor costs. In April 2020, we also implemented a 20% pay reduction for certain employees whose payroll costs exceed $100,000, including executive officers, which we expect to maintain for at least 10 weeks. In addition, we obtained a $4.9 million loan under the Paycheck Protection Program of the CARES Act in April 2020, which we intend to use to retain employees, maintain payroll and make lease, interest and utility payments. While the potential economic impact brought by, and the duration of, the COVID-19 pandemic may be difficult to assess or predict, the pandemic is currently resulting in disruption of global financial markets. This disruption, if sustained or recurrent, could make it more difficult for us to access capital or to comply with the covenants contained in the MidCap Credit Facility, which could negatively affect our liquidity. In addition, a recession or market correction resulting from the spread of COVID-19 could materially affect our business and the value of our common stock.</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COVID-19 pandemic continues to rapidly evolve. The ultimate impact of the COVID-19 pandemic or a similar health pandemic or epidemic is highly uncertain and subject to change. We do not yet know the full extent of potential delays or impacts on our business, our clinical trials, commercialization efforts, healthcare systems or to the global economy as a whole. These effects could have a material impact on our operations. We will continue to monitor the COVID-19 situation closely.</w:t>
      </w:r>
    </w:p>
    <w:p>
      <w:pPr>
        <w:spacing w:after="0" w:line="2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obtain regulatory approval of Afrezza in foreign jurisdictions, we will not be able to market Afrezza in such jurisdictions, which could limit our commercial revenues. We may not continue to be successful in establishing or maintaining regional partnerships or other arrangements with third parties for the commercialization of Afrezza outside of the United States.</w:t>
      </w:r>
    </w:p>
    <w:p>
      <w:pPr>
        <w:spacing w:after="0" w:line="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Although Afrezza has been approved in the United States by the FDA and in Brazil by ANVISA, we have not yet obtained approval in any other jurisdiction. In order to market Afrezza in a foreign jurisdiction, we must obtain regulatory approval in each such foreign jurisdiction, and we may never be able to obtain such approvals. The research, testing, manufacturing, labeling, sale, import, export, marketing, and distribution of pharmaceutical products outside the United States are subject to extensive regulation by foreign regulatory authorities, whose regulations differ from country to country. We will be required to comply with the different regulations and policies of the jurisdictions where we seek approval for Afrezza, and we have not yet identified all of the requirements that we will need to satisfy to submit Afrezza for approval for other jurisdictions. This will require additional time, expertise and expense, including the potential need to conduct additional studies or development work for other jurisdictions beyond the work that we have conducted to support the approval of Afrezza in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right="20"/>
        <w:spacing w:after="0" w:line="269" w:lineRule="auto"/>
        <w:rPr>
          <w:sz w:val="20"/>
          <w:szCs w:val="20"/>
          <w:color w:val="auto"/>
        </w:rPr>
      </w:pPr>
      <w:r>
        <w:rPr>
          <w:rFonts w:ascii="Arial" w:cs="Arial" w:eastAsia="Arial" w:hAnsi="Arial"/>
          <w:sz w:val="17"/>
          <w:szCs w:val="17"/>
          <w:color w:val="auto"/>
        </w:rPr>
        <w:t>Our current strategy for the future commercialization of Afrezza outside of the United States, subject to receipt of the necessary regulatory approvals, is to seek and establish regional partnerships in foreign jurisdictions where there are commercial opportunities. It may be difficult to find or maintain collaboration partners that are able and willing to devote the time and resources necessary to successfully commercialize Afrezza. Collaborations with third parties may require us to relinquish material rights, including revenue from commercialization, agree to unfavorable terms or assume material ongoing development obligations that we would have to fund. These collaboration arrangements are complex and time-consuming to negotiate, and if we are unable to reach agreements with third-party collaborators, we may fail to meet our business objectives and our financial condition may be adversely affected. We may also face significant competition in seeking collaboration partners, and may not be able to find a suitable collaboration partner in a timely manner on acceptable terms, or at all. Any of these factors could cause delay or prevent the successful commercialization of Afrezza in foreign jurisdictions and could have a material and adverse impact on our business, financial condition and results of operations and the market price of our common stock and other securities could decline.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develop and commercialize our product candidates.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sought to develop our product candidates through our internal research programs. All of our product candidates will require additional research and development and, in some cases, significant preclinical, clinical and other testing prior to seeking regulatory approval to market them. Accordingly, these product candidates will not be commercially available for a number of years, if at all. Further research and development on these programs will require significant financial resources. Given our limited financial resources and our focus on the development and commercialization of Afrezza, we will likely not be able to advance these programs into clinical development unless we are able to obtain specific funding for these programs or enter into collaborations with third parties.</w:t>
      </w:r>
    </w:p>
    <w:p>
      <w:pPr>
        <w:spacing w:after="0" w:line="19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A significant portion of the research that we have conducted involves new technologies, including our Technosphere platform technology. Even if our research programs identify product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 addition, the clinical results we obtain at one stage are not necessarily indicative of future testing results. If we fail to develop and commercialize our product candidates, or if we are significantly delayed in doing so, our ability to generate product revenues will be limited.</w:t>
      </w:r>
    </w:p>
    <w:p>
      <w:pPr>
        <w:spacing w:after="0" w:line="2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history of operating losses, we expect to incur losses in the future and we may not generate positive cash flow from operations in the future.*</w:t>
      </w:r>
    </w:p>
    <w:p>
      <w:pPr>
        <w:spacing w:after="0" w:line="1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are not currently profitable and have rarely generated positive net cash flow from operations. As of June 30, 2020, we had an accumulated deficit of $3.0 billion. The accumulated deficit has resulted principally from costs incurred in our research and development programs, the write-off of assets (including goodwill, inventory and property, plant and equipment) and general operating expenses. We expect to make substantial expenditures and to incur increasing operating losses in the future in order to continue the commercialization of Afrezza. In addition, under our Insulin Supply Agreement with Amphastar, we agreed to purchase certain annual minimum quantities of insulin through 2026. As of June 30, 2020, there was €80.9 million remaining in aggregate purchase commitments under this agreement. We may not have the necessary capital resources to service this contractual commitment.</w:t>
      </w:r>
    </w:p>
    <w:p>
      <w:pPr>
        <w:spacing w:after="0" w:line="16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positive cash flow from operations and profitability depends heavily upon successfully commercializing Afrezza, and we cannot be sure when, if ever, we will generate positive cash flow from operations or become profitable.</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debt, and we may be unable to make required payments of interest and principal as they become due.*</w:t>
      </w:r>
    </w:p>
    <w:p>
      <w:pPr>
        <w:spacing w:after="0" w:line="1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notes to our condensed consolidated financial statements in this Quarterly Report on Form 10-Q provide details about our various debt obligations. As of June 30, 2020, we had $122.6 million principal amount of outstanding debt, consisting of:</w:t>
      </w:r>
    </w:p>
    <w:p>
      <w:pPr>
        <w:spacing w:after="0" w:line="62" w:lineRule="exact"/>
        <w:rPr>
          <w:sz w:val="20"/>
          <w:szCs w:val="20"/>
          <w:color w:val="auto"/>
        </w:rPr>
      </w:pPr>
    </w:p>
    <w:p>
      <w:pPr>
        <w:ind w:left="1000" w:right="18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$40.0 million principal amount under the MidCap Credit Facility, bearing interest at an annual rate equal to one-month LIBOR plus 6.75%, subject to a one-month LIBOR floor of 2.00%, and payable in equal monthly installments beginning in August 2021 through maturity in August 2024;</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$5.0 million principal amount of the 2024 convertible notes bearing interest at 5.75% per annum, with interest payable in cash or equity semiannually in arrears on February 15 and August 15 of each year, and maturing in November 2024, all of which is convertible into shares of our common stock at the option of the holder at a conversion price of $3.00 per share;</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 million principal amount of the December 2020 note, which matures in December 2020;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3" w:name="page44"/>
    <w:bookmarkEnd w:id="43"/>
    <w:p>
      <w:pPr>
        <w:jc w:val="both"/>
        <w:ind w:left="1000" w:right="120" w:hanging="493"/>
        <w:spacing w:after="0" w:line="259"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$70.1 million principal amount of indebtedness under the Mann Group promissory notes bearing interest at a fixed rate of 7.00% per annum compounded quarterly and maturing in November 2024, $35.0 million of which is convertible into shares of our common stock at the option of the Mann Group at a conversion price of $2.50 per share. Interest is paid-in-kind from August 2019 until the end of 2020, after which we have the option to either pay interest-in-kind or in shares.</w:t>
      </w:r>
    </w:p>
    <w:p>
      <w:pPr>
        <w:spacing w:after="0" w:line="78" w:lineRule="exact"/>
        <w:rPr>
          <w:rFonts w:ascii="Arial" w:cs="Arial" w:eastAsia="Arial" w:hAnsi="Arial"/>
          <w:sz w:val="18"/>
          <w:szCs w:val="18"/>
          <w:color w:val="auto"/>
        </w:rPr>
      </w:pPr>
    </w:p>
    <w:p>
      <w:pPr>
        <w:ind w:left="1000" w:right="80" w:hanging="493"/>
        <w:spacing w:after="0" w:line="279" w:lineRule="auto"/>
        <w:tabs>
          <w:tab w:leader="none" w:pos="10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$4.9 million from a loan under the Paycheck Protection Program of the CARES Act. The PPP Loan matures in April 2022 and bears interest at a rate of 0.98% per annum. On November 9, 2020, we may be required to pay the lender $1.4 million of principal and interest, which includes six months of payments deferred in accordance with the terms of the PPP Loan, and equal monthly payments of principal and interest thereafter as required to fully amortize the remaining principal amount by April 9, 2022.</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All or a portion of the PPP Loan may be forgiven by the SBA upon application to our lender by us beginning 60 days but not later than 120 days after loan approval and upon documentation of expenditures in accordance with the SBA requirements. Under the CARES Act, loan forgiveness is available for the sum of documented payroll costs, covered rent payments, covered interest and covered utilities during the 24 week period (or eight-week period at our option) beginning on the date of loan approval. Not more than 40% of the forgiven amount may be for non-payroll costs. The amount of the PPP Loan eligible to be forgiven will be reduced if our full-time headcount declines, or if salaries and wages for employees with salaries of $100,000 or less annually are reduced by more than 25%. We will be required to repay any portion of the outstanding principal that is not forgiven, along with accrued interest, in accordance with the amortization schedule described above, and we cannot provide any assurance that we will be eligible for loan forgiveness or that any amount of the PPP Loan will ultimately be forgiven by the SBA. Furthermore, on April 28, 2020, the Secretary of the U.S. Department of the Treasury stated that the SBA will perform a full review of any PPP loan over $2.0 million before forgiving the loan.</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PPP Loan application required us to certify, among other things, that the current economic uncertainty made the PPP Loan request necessary to support our ongoing operations. While we made this certification in good faith after analyzing, among other things, our financial situation and access to alternative forms of capital, and believe that we satisfied all eligibility criteria for the PPP Loan, and that our receipt of the PPP Loan is consistent with the broad objectives of the PPP, the certification described above does not contain any objective criteria. In addition, the SBA has stated that it is unlikely that a public company with substantial market value and access to capital markets will be able to make the required certification in good faith. The lack of clarity regarding loan eligibility under the PPP has resulted in significant media coverage and controversy with respect to public companies applying for and receiving loans. If, despite our good-faith belief that we satisfied all eligible requirements for the PPP Loan, we are found to be in violation of any of the laws or governmental regulations that apply to us in connection with the PPP Loan, including the False Claims Act, or it is otherwise determined that we were not eligible to receive the PPP Loan, we may be subject to penalties, including significant civil, criminal and administrative penalties and could be required to repay the PPP Loan. In addition, our receipt of the PPP Loan may result in adverse publicity and damage to our reputation, and a review or audit by the SBA or other government entity or claims under the False Claims Act could consume significant financial and management resources. If we fail to take all actions necessary and promptly file all required reporting to ensure than no less than 90% of the PPP Loan is forgiven in accordance with the loan forgiveness provisions of the PPP, we will be in violation of the consent given by MidCap with respect to such additional indebtedness, which could lead to an event of default under the MidCap Credit Facility. Any of these events could have a material adverse effect on our business, results of operations and financial condition.</w:t>
      </w:r>
    </w:p>
    <w:p>
      <w:pPr>
        <w:spacing w:after="0" w:line="182"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Under the MidCap Credit Facility, our interest rate on borrowed amounts is dependent on one-month LIBOR, which is the basic rate of interest used in lending between banks on the London interbank market. LIBOR is widely used as a reference for setting the interest rate on loans globally and is currently scheduled to be phased out in 2021. Before one-month LIBOR is phased out, we may need to renegotiate the MidCap Credit Facility to replace one-month LIBOR with a new standard, which has yet to be established. The consequences of these developments cannot entirely be predicted, but could result in higher interest rates on our loans under the MidCap Credit Facility. We cannot provide assurance that future interest rate changes will not have a material negative impact on our business, financial position, or operating results.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MidCap Credit Facility, an advance of $25.0 million will be available to us until June 30, 2021, subject to the satisfaction of certain milestone conditions associated with Afrezza net revenue and certain milestone conditions related to our collaboration with United Therapeutics. As described in Part I, Item 2 of this Quarterly Report, it is unlikely that the milestone conditions for funding Tranche 3 related to Afrezza trailing net revenue will be achieved. In addition, the COVID-19 pandemic is expected to negatively impact TreT clinical development activities being conducted by United Therapeutics. These factors make it unlikely that we will be able to satisfy the milestone conditions necessary for us to draw the remaining advance under the MidCap Credit Facility.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4" w:name="page45"/>
    <w:bookmarkEnd w:id="44"/>
    <w:p>
      <w:pPr>
        <w:ind w:right="60"/>
        <w:spacing w:after="0" w:line="263" w:lineRule="auto"/>
        <w:rPr>
          <w:sz w:val="20"/>
          <w:szCs w:val="20"/>
          <w:color w:val="auto"/>
        </w:rPr>
      </w:pPr>
      <w:r>
        <w:rPr>
          <w:rFonts w:ascii="Arial" w:cs="Arial" w:eastAsia="Arial" w:hAnsi="Arial"/>
          <w:sz w:val="18"/>
          <w:szCs w:val="18"/>
          <w:color w:val="auto"/>
        </w:rPr>
        <w:t>Under the MidCap Credit Facility, we must comply with a minimum cash covenant of $15.0 million at all times, which will increase to $20.0 million following the funding of an additional advance. Further, the MidCap Credit Facility requires us, and any debt arrangements we may enter into in the future may require us, to comply with various covenants that limit our ability to, among other things:</w:t>
      </w:r>
    </w:p>
    <w:p>
      <w:pPr>
        <w:spacing w:after="0" w:line="76"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dispose of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mergers or acquisitions;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 indebtedness or modify existing debt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 or modify certain material agreements;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additional lines of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encumber assets;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make other distributions to holders of our capital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make specified investments;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certain key management personnel or organizational documents;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 in transactions with our affiliates.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restrictive covenants in the MidCap Credit Facility could prevent us from pursuing business opportunities that we or our stockholders may consider beneficial.</w:t>
      </w:r>
    </w:p>
    <w:p>
      <w:pPr>
        <w:spacing w:after="0" w:line="1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stay-at-home orders implemented around the country in response to the COVID-19 pandemic negatively impacted the sales of Afrezza in the second quarter of 2020 as our sales force had very limited access to service providers. We expect that the COVID-19 pandemic will continue to negatively impact near-term revenues from Afrezza, which could also affect our compliance with a covenant relating to trailing twelve-month minimum Afrezza net revenue, tested on a monthly basis, which is set forth in the MidCap Credit Facility Agreement, as amended. If we fail to meet this covenant, any outstanding borrowings, together with accrued interest, under the MidCap Credit Facility could be declared immediately due and payable.</w:t>
      </w:r>
    </w:p>
    <w:p>
      <w:pPr>
        <w:spacing w:after="0" w:line="16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MidCap Credit Facility. If we default under our obligations under the MidCap Credit Facility, the lender could proceed against the collateral granted to them to secure our indebtedness or declare all obligations under the MidCap Credit Facility to be due and payable. In certain circumstances, procedures by the lender could result in a loss by us of all of our equipment and inventory, which are included in the collateral granted to the lender. In addition, upon any distribution of assets pursuant to any liquidation, insolvency, dissolution, reorganization or similar proceeding, the holders of secured indebtedness will be entitled to receive payment in full from the proceeds of the collateral securing our secured indebtedness before the holders of other indebtedness or our common stock will be entitled to receive any distribution with respect thereto.</w:t>
      </w:r>
    </w:p>
    <w:p>
      <w:pPr>
        <w:spacing w:after="0" w:line="19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can be no assurance that we will have sufficient resources to make any required repayments of principal under the terms of our indebtedness when required. Further, if we undergo a fundamental change, as that term is defined in the indentures governing the terms of the 2024 convertible notes, the holders of such debt securities will have the option to require us to repurchase all or any portion of such debt securities at a repurchase price of 100% of the principal amount of such debt securities to be repurchased plus accrued and unpaid interest, if any. While we have been able to timely make our required interest payments to date, we cannot guarantee that we will be able to do so in the future. If we fail to pay interest on the 2024 convertible notes or the MidCap Term Loan, or if we fail to repay or repurchase the 2024 convertible notes, December 2020 note, MidCap Term Loan, PPP Loan or borrowings under the Mann Group promissory notes when required, we will be in default under the instrument for such debt securities or loans, and may also suffer an event of default under the terms of other borrowing arrangements that we may enter into from time to time. Any of these events could have a material adverse effect on our business, results of operations and financial condition, up to and including the note holders initiating bankruptcy proceedings or causing us to cease operations altogether.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5" w:name="page46"/>
    <w:bookmarkEnd w:id="45"/>
    <w:p>
      <w:pPr>
        <w:ind w:right="2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goals in the timeframes we expect, our business, financial condition and results of operations will be harmed and the market price of our common stock and other securities could decline.*</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studies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0"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studies and preclinical research and development activities;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study eligibility criteria;</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components used in the manufacture of our product candidates;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extent to which our clinical studies compete for clinical sites and eligible subjects with clinical studies sponsored by other companies;</w:t>
      </w:r>
    </w:p>
    <w:p>
      <w:pPr>
        <w:spacing w:after="0" w:line="153"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actions by regulators; and</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product candidates. If we fail to commence or complete, or experience delays in or are forced to curtail, our proposed clinical programs or otherwise fail to adhere to our projected development goals in the timeframes we expect (or within the timeframes expected by analysts or investors), our business, financial condition and results of operations will be harmed and the market price of our common stock and other securities may decline.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Afrezza or our product candidates may be rendered obsolete by rapid technological change.</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rapid rate of scientific discoveries and technological changes could result in Afrezza or one or more of our product candidates becoming obsolete or noncompetitive. Our competitors may develop or introduce new products that render our technology or Afrezza less competitive, uneconomical or obsolete. Our future success may depend not only on our ability to develop our product candidates, but also our ability to improve them and to improve Afrezza in order to keep pace with emerging industry developments. We cannot assure you that we will be able to do so.</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also expect to face competition from universities and other non-profit research organizations. These institutions carry out a significant amount of research and development in various areas of unmet medical need. These institutions are becoming increasingly aware of the commercial value of their findings and are more active in seeking patent and other proprietary rights as well as licensing revenues.</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Continued testing of Afrezza or our product candidates may not yield successful results, and even if it does, we may still be unable to commercialize our product candidates.*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Forecasts about the effects of the use of drugs, including Afrezza, over terms longer than the clinical studies or in much larger populations may not be consistent with the earlier clinical results. If long-term use of a drug results in adverse health effects or reduced efficacy or both, the FDA or other regulatory agencies may terminate our or any future marketing partner’s ability to market and sell the drug, may narrow the approved indications for use or otherwise require restrictive product labeling or marketing, or may require further clinical studies, which may be time-consuming and expensive and may not produce favorable results.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line="263" w:lineRule="auto"/>
        <w:rPr>
          <w:sz w:val="20"/>
          <w:szCs w:val="20"/>
          <w:color w:val="auto"/>
        </w:rPr>
      </w:pPr>
      <w:r>
        <w:rPr>
          <w:rFonts w:ascii="Arial" w:cs="Arial" w:eastAsia="Arial" w:hAnsi="Arial"/>
          <w:sz w:val="18"/>
          <w:szCs w:val="18"/>
          <w:color w:val="auto"/>
        </w:rPr>
        <w:t>Our research and development programs are designed to test the safety and efficacy of our product candidates through extensive nonclinical and clinical testing. We may experience numerous unforeseen events during, or as a result of, the testing process that could delay or impact commercialization of any of our product candidates, including the following:</w:t>
      </w:r>
    </w:p>
    <w:p>
      <w:pPr>
        <w:spacing w:after="0" w:line="76" w:lineRule="exact"/>
        <w:rPr>
          <w:sz w:val="20"/>
          <w:szCs w:val="20"/>
          <w:color w:val="auto"/>
        </w:rPr>
      </w:pPr>
    </w:p>
    <w:p>
      <w:pPr>
        <w:ind w:left="1000" w:right="200" w:hanging="493"/>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safety and efficacy results obtained in our nonclinical and early clinical testing may be inconclusive or may not be predictive of results that we may obtain in our future clinical studies or following long-term use, and we may as a result be forced to stop developing a product candidate or alter the marketing of an approved product;</w:t>
      </w:r>
    </w:p>
    <w:p>
      <w:pPr>
        <w:spacing w:after="0" w:line="89"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analysis of data collected from clinical studies of our product candidates may not reach the statistical significance necessary, or otherwise be sufficient to support FDA or other regulatory approval for the claimed indications;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after reviewing clinical data, we or any collaborators may abandon projects that we previously believed were promising;</w:t>
      </w:r>
    </w:p>
    <w:p>
      <w:pPr>
        <w:spacing w:after="0" w:line="130"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once approved; and</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studies or marketing of the drug at any time. Any suspension or termination of our clinical studies or marketing activities may harm our business, financial condition and results of operations and the market price of our common stock and other securities may decline.</w:t>
      </w:r>
    </w:p>
    <w:p>
      <w:pPr>
        <w:spacing w:after="0" w:line="292"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b w:val="1"/>
          <w:bCs w:val="1"/>
          <w:i w:val="1"/>
          <w:iCs w:val="1"/>
          <w:color w:val="auto"/>
        </w:rPr>
        <w:t>If our suppliers fail to deliver materials and services needed for the production of Afrezza in a timely and sufficient manner or fail to comply with applicable regulations, and if we fail to timely identify and qualify alternative suppliers, our business, financial condition and results of operations would be harmed and the market price of our common stock and other securities could decline.</w:t>
      </w:r>
    </w:p>
    <w:p>
      <w:pPr>
        <w:spacing w:after="0" w:line="5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For the commercial manufacture of Afrezza, we need access to sufficient, reliable and affordable supplies of insulin, FDKP, our Afrezza inhaler, the related cartridges and other materials. Currently, the only source of insulin that we have qualified for Afrezza is manufactured by Amphastar. We must rely on our suppliers to comply with relevant regulatory and other legal requirements, including the production of insulin and FDKP in accordance with the FDA’s cGMP for drug products, and the production of the Afrezza inhaler and related cartridges in accordance with QSRs. Although we conduct our own inspections and review and/or approve investigations of each supplier, there can be no assurance that the FDA, upon inspection, would find that the supplier substantially complies with the QSR or cGMP requirements, where applicable. If a supplier fails to comply with these requirements or the comparable requirements in foreign countries, regulatory authorities may subject us to regulatory action, including criminal prosecutions, fines and suspension of the manufacture of our products. If we are required to find a new or additional supplier, we will need to evaluate that supplier’s ability to provide material that meets regulatory requirements, including cGMP or QSR requirements, as well as our specifications and quality requirements, which would require significant time and expense and could delay the production of Afrezza. In general, if any of our suppliers is unwilling or unable to meet its supply obligations or if we encounter delays or difficulties in our relationships with manufacturers or suppliers, and we are unable to secure an alternative supply source in a timely manner and on favorable terms, our business, financial condition, and results of operations may be harmed and the market price of our common stock and other securities may decline.</w:t>
      </w:r>
    </w:p>
    <w:p>
      <w:pPr>
        <w:spacing w:after="0" w:line="29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fail as an effective manufacturing organization or fail to engage third-party manufacturers with this capability, we may be unable to support commercialization of this product.</w:t>
      </w:r>
    </w:p>
    <w:p>
      <w:pPr>
        <w:spacing w:after="0" w:line="6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use our Danbury, Connecticut facility to formulate both the Afrezza and TreT inhalation powders, fill plastic cartridges with the powders, package the cartridges in blister packs, and place the blister packs into foil pouches. We utilize a contract packager to assemble the final kits of Afrezza foil-pouched blister packs along with inhalers and the package inserts. The final responsibility for TreT packaging has not yet been determined.</w:t>
      </w:r>
    </w:p>
    <w:p>
      <w:pPr>
        <w:spacing w:after="0" w:line="16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If we engage a third-party manufacturer, we would need to transfer our technology to that third-party manufacturer and gain FDA approval, potentially causing delays in product delivery. In addition, our third-party manufacturer may not perform as agreed or may terminate its agreement with us.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7" w:name="page48"/>
    <w:bookmarkEnd w:id="47"/>
    <w:p>
      <w:pPr>
        <w:ind w:right="40"/>
        <w:spacing w:after="0" w:line="255" w:lineRule="auto"/>
        <w:rPr>
          <w:sz w:val="20"/>
          <w:szCs w:val="20"/>
          <w:color w:val="auto"/>
        </w:rPr>
      </w:pPr>
      <w:r>
        <w:rPr>
          <w:rFonts w:ascii="Arial" w:cs="Arial" w:eastAsia="Arial" w:hAnsi="Arial"/>
          <w:sz w:val="18"/>
          <w:szCs w:val="18"/>
          <w:color w:val="auto"/>
        </w:rPr>
        <w:t>Any of these factors could cause us to delay or suspend production, could entail higher costs and may result in our being unable to obtain sufficient quantities for the commercialization of Afrezza at the costs that we currently anticipate. Furthermore, if we or a third-party manufacturer fail to deliver the required commercial quantities of the product or any raw material on a timely basis, and at commercially reasonable prices, sustainable compliance and acceptable quality, and we were unable to promptly find one or more replacement manufacturers capable of production at a substantially equivalent cost, in substantially equivalent volume and quality on a timely basis, we would likely be unable to meet demand for Afrezza and we would lose potential revenues.</w:t>
      </w:r>
    </w:p>
    <w:p>
      <w:pPr>
        <w:spacing w:after="0" w:line="30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Afrezza or any other product that we develop does not become widely accepted by physicians, patients, third-party payors and the healthcare community, we may be unable to generate significant revenue, if any.*</w:t>
      </w:r>
    </w:p>
    <w:p>
      <w:pPr>
        <w:spacing w:after="0" w:line="62"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Afrezza, and other products that we may develop in the future, may not gain market acceptance among physicians, patients, third-party payors and the healthcare community. Failure to achieve market acceptance would limit our ability to generate revenue and would adversely affect our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degree of market acceptance of Afrezza and other products that we may develop in the future depends on many factors, including the following:</w:t>
      </w:r>
    </w:p>
    <w:p>
      <w:pPr>
        <w:spacing w:after="0" w:line="129"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Approved labeling claims;</w:t>
      </w:r>
    </w:p>
    <w:p>
      <w:pPr>
        <w:spacing w:after="0" w:line="130"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Effectiveness of efforts by us or any future marketing partner to support and educate physicians about the benefits and advantages of Afrezza or our other products, and the perceived advantages and disadvantages of competitive products;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Willingness of the healthcare community and patients to adopt new technologies;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Ability to manufacture the product in sufficient quantities with acceptable quality and cost;</w:t>
      </w:r>
    </w:p>
    <w:p>
      <w:pPr>
        <w:spacing w:after="0" w:line="130"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Perception of patients and the healthcare community, including third-party payors, regarding the safety, efficacy and benefits compared to competing products or therapies;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Convenience and ease of administration relative to existing treatment methods;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Coverage and reimbursement, as well as pricing relative to other treatment therapeutics and methods;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and distribution support.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Because of these and other factors, Afrezza and any other product that we develop may not gain market acceptance, which would materially harm our business, financial condition and results of operations.</w:t>
      </w:r>
    </w:p>
    <w:p>
      <w:pPr>
        <w:spacing w:after="0" w:line="278"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b w:val="1"/>
          <w:bCs w:val="1"/>
          <w:i w:val="1"/>
          <w:iCs w:val="1"/>
          <w:color w:val="auto"/>
        </w:rPr>
        <w:t>If third-party payors do not cover Afrezza or any of our product candidates for which we receive regulatory approval, Afrezza or such product candidates might not be prescribed, used or purchased, which would adversely affect our revenues.*</w:t>
      </w:r>
    </w:p>
    <w:p>
      <w:pPr>
        <w:spacing w:after="0" w:line="38"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Our future revenues and ability to generate positive cash flow from operations may be affected by the continuing efforts of government and other third-party payors to contain or reduce the costs of healthcare through various means. In certain foreign markets the pricing of prescription pharmaceuticals is subject to direct governmental control. In the United States, there have been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the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w:t>
      </w:r>
    </w:p>
    <w:p>
      <w:pPr>
        <w:spacing w:after="0" w:line="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increases. Moreover,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Department of Health and Human Services (“HHS”) has solicited feedback on some of these measures and has implemented others under its existing authority. For example, in May 2019, the Centers for Medicare &amp; Medicaid Services (“CMS”) issued a final rule to allow Medicare Advantage Plans the option of using step therapy for Part B drugs beginning January 1, 2020. This final rule codified CMS’s policy change that was effective January 1, 2019. More recently, President Trump signed an executive order (one of several intended to encourage lower drug prices) on July 24, 2020 directing HHS to make rules that would exclude from the safe harbor protections of the Anti-Kickback Statute rebates paid by manufacturers to insurers, pharmacies and pharmacy benefit managers for Medicare Part D drugs, provided such rules do not increase federal spending or out-of-pocket costs to patients. Although a number of these and other measures may require additional authorization to become effective, Congress and the Trump administration have stated that they will continue to seek new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ind w:right="60"/>
        <w:spacing w:after="0" w:line="288" w:lineRule="auto"/>
        <w:rPr>
          <w:sz w:val="20"/>
          <w:szCs w:val="20"/>
          <w:color w:val="auto"/>
        </w:rPr>
      </w:pPr>
      <w:r>
        <w:rPr>
          <w:rFonts w:ascii="Arial" w:cs="Arial" w:eastAsia="Arial" w:hAnsi="Arial"/>
          <w:sz w:val="16"/>
          <w:szCs w:val="16"/>
          <w:color w:val="auto"/>
        </w:rPr>
        <w:t>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We expect that there will continue to be a number of federal and state proposals to implement similar and/or additional governmental controls. We cannot be certain what legislative proposals will be adopted or what actions federal, state or private third-party payors may take in response to any drug pricing and reimbursement reform proposals or legislation. For example, it is possible that additional governmental action is taken to address the COVID-19 pandemic. Such reforms may limit our ability to generate revenues from sales of Afrezza or other products that we may develop in the future and achieve profitability. Further, to the extent that such reforms have a material adverse effect on the business, financial condition and profitability of any future marketing partner for Afrezza, and companies that are prospective collaborators for our product candidates, our ability to commercialize Afrezza and our product candidates under development may be adversely affected.</w:t>
      </w:r>
    </w:p>
    <w:p>
      <w:pPr>
        <w:spacing w:after="0" w:line="16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coverage and adequate reimbursement to the consumer from third-party payors, such as government health administration authorities and private insurance plans. Third-party payors are increasingly challenging the prices charged for medical products and services. The market for Afrezza and our product candidates for which we may receive regulatory approval will depend significantly on access to third-party payors’ drug formularies, which are the lists of medications for which third-party payors provide coverage and reimbursement.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We may be required to provide scientific and clinical support for the use of any product to each third-party payor separately with no assurance that approval would be obtained. This process could delay the market acceptance of any product and could have a negative effect on our future revenues and operating results. Even if we succeed in bringing more products to market, we cannot be certain that any such products would be considered cost-effective or that coverage and adequate reimbursement to the consumer would be available. Patients will be unlikely to use our products unless coverage is provided and reimbursement is adequate to cover a significant portion of the cost of our products.</w:t>
      </w:r>
    </w:p>
    <w:p>
      <w:pPr>
        <w:spacing w:after="0" w:line="186"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requirements governing drug pricing vary widely from country to country. In some non-U.S. jurisdictions, the proposed pricing for a drug must be approved before it may be lawfully marketed.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Afrezza or any of our other product candidates that receives marketing approval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7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If we or any future marketing partner is unable to obtain coverage of, and adequate payment levels reimbursement for, Afrezza or any of our other product candidates that receive marketing approval from third-party payors, physicians may limit how much or under what circumstances they will prescribe or administer them and patients may decline to purchase them. This in turn could affect our and any future marketing partner’s ability to successfully commercialize Afrezza and our ability to successfully commercialize any of our other product candidates that receives regulatory approval and impact our profitability, results of operations, financial condition, and prospects.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testing, manufacturing, marketing and sale of Afrezza and any clinical testing of our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studies volunteers and loss of revenues. We currently carry worldwide product liability insurance in the amount of $10.0 million. Our insurance coverage may not be adequate to satisfy any liability that may arise, and because insurance coverage in our industry can be very expensive and difficult to obtain, we cannot assure you that we will seek to obtain, or be able to obtain if desired, sufficient additional coverage. If losses from such claims exceed our liability insurance coverage, we may incur substantial liabilities that we may not have the resources to pay. If we are required to pay a product liability claim our business, financial condition and results of operations would be harmed and the market price of our common stock and other securities may decline.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i w:val="1"/>
          <w:iCs w:val="1"/>
          <w:color w:val="auto"/>
        </w:rPr>
        <w:t>If we lose any key employees or scientific advisors, our operations and our ability to execute our business strategy could be materially harmed.</w:t>
      </w:r>
    </w:p>
    <w:p>
      <w:pPr>
        <w:spacing w:after="0" w:line="14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 In addition, in order to commercialize Afrezza successfully, we may be required to expand our workforce, particularly in the areas of manufacturing and sales and marketing. These activities will require the addition of new personnel, including management, and the development of additional expertise by existing personnel, and we cannot assure you that we will be able to attract or retain any such new personnel on acceptable terms, if at all.</w:t>
      </w:r>
    </w:p>
    <w:p>
      <w:pPr>
        <w:spacing w:after="0" w:line="161"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The loss of the services of any principal member of our management, commercial and scientific staff could significantly delay or prevent the achievement of our scientific and business objectives. All of our employees are “at will” and we currently do not have employment agreements with any of the principal members of our management, commercial or scientific staff, and we do not have key person life insurance to cover the loss of any of these individuals.</w:t>
      </w:r>
    </w:p>
    <w:p>
      <w:pPr>
        <w:spacing w:after="0" w:line="2"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Replacing key employees may be difficult and time-consuming because of the limited number of individuals in our industry with the skills and experience required to develop, gain regulatory approval of and commercialize products successfully.</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Afrezza or our product candidates.</w:t>
      </w:r>
    </w:p>
    <w:p>
      <w:pPr>
        <w:spacing w:after="0" w:line="30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financial condition and market price of our common stock and other securities could be adversely affected.</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management, including our Chief Executive Officer and our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A material weakness in our internal controls has been identified in the past, and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financial condition and the market price of our common stock and other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or modifications in financial accounting standards may harm our results of operations.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From time to time, the Financial Accounting Standards Board (“FASB”), either alone or jointly with other organizations, promulgates new accounting principles that could have an adverse impact on our financial position, results of operations and presentation or classification of cash flows. New pronouncements and varying interpretations of pronouncements have occurred with frequency in the past and are expected to occur again in the future and as a result we may be required to make changes in our accounting policies. Any difficulties in adopting or implementing new accounting standards, and updating or modifying our internal controls as needed on a timely basis, could result in our failure to meet our financial reporting obligations, which could result in regulatory discipline and harm investors’ confidence in us. Finally, if we were to change our critical accounting estimates, including those related to the recognition of collaboration revenue and other revenue sources, our operating results could be significantly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0" w:name="page51"/>
    <w:bookmarkEnd w:id="50"/>
    <w:p>
      <w:pPr>
        <w:ind w:right="34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or our customers may have a material adverse effect on our business, cash flow, financial condition or results of operations.*</w:t>
      </w:r>
    </w:p>
    <w:p>
      <w:pPr>
        <w:spacing w:after="0" w:line="7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enacted in 2017, informally titled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In addition, it is uncertain if and to what extent various states will conform to the Tax Act, the CARES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and could increase our future U.S. tax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limitations.*</w:t>
      </w:r>
    </w:p>
    <w:p>
      <w:pPr>
        <w:spacing w:after="0" w:line="11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of December 31, 2019 we had federal and state net operating loss carryforwards of $2.1 billion and $1.3 billion, respectively, which we assess annually. A portion of our federal and state net operating loss carryforwards have begun to expire. Net operating loss carryforwards that expire unused will be unavailable to offset future income tax liabilities. Under the Tax Act as modified by the CARES Act, federal net operating losses incurred in tax years beginning after December 31, 2017, may be carried forward indefinitely, but the deductibility of such federal net operating losses in tax years beginning after December 31, 2020, is limited to 80% of taxable income. It is uncertain if and to what extent various states will conform to the Tax Act or the CARES Act. In addition, under Sections 382 and 383 of the Internal Revenue Code of 1986, as amended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or taxes may be limited. As a result of our initial public offering, an ownership change within the meaning of Section 382 occurred in August 2004. As a result, federal net operating loss and credit carry forwards of approximately $216.0 million are subject to an annual use limitation of approximately $13.0 million. The annual limitation is cumulative and therefore, if not fully utilized in a year, can be utilized in future years in addition to the Section 382 limitation for those years. We have completed a Section 382 analysis beginning from the date of our initial public offering through to the end of the previous tax year regarding whether additional limitations may be placed on our net operating loss carryforwards and other tax attributes, and no additional changes in ownership that met the Section 382 ownership change threshold were identified through December 31, 2019. There is a risk that changes in ownership may occur in tax years after December 31, 2019. If a change in ownership were to occur, our net operating loss carryforwards and other tax attributes could be further limited or restricted. If an ownership change were to occur and our ability to use our net operating loss carryforwards is materially limited, it would harm our future operating results by effectively increasing our future tax obligations. In addition, at the state level, there may be periods during which the use of net operating loss carryforwards is suspended or otherwise limited, which could accelerate or permanently increase state taxes owed.</w:t>
      </w:r>
    </w:p>
    <w:p>
      <w:pPr>
        <w:spacing w:after="0" w:line="29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Tax authorities may disagree with our positions and conclusions regarding certain tax positions, resulting in unanticipated costs, taxes or non-realization of expected benefits.</w:t>
      </w:r>
    </w:p>
    <w:p>
      <w:pPr>
        <w:spacing w:after="0" w:line="6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development. Similarly, a tax authority could assert that we are subject to tax in a jurisdiction where we believe we have not established a taxable nexus,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28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may undertake internal restructuring activities in the future that could result in disruptions to our business or otherwise materially harm our results of operations or financial condition.</w:t>
      </w:r>
    </w:p>
    <w:p>
      <w:pPr>
        <w:spacing w:after="0" w:line="6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From time to time we may undertake internal restructuring activities as we continue to evaluate and attempt to optimize our cost and operating structure in light of developments in our business strategy and long-term operating plans. These activities may result in write-offs or other restructuring charges. There can be no assurance that any restructuring activities that we undertake will achieve the cost savings, operating efficiencies or other benefits that we may initially expect. Restructuring activities may also result in a loss of continuity, accumulated knowledge and inefficiency during transitional periods and thereafter. In addition, internal restructurings can require a significant amount of time and focus from management and other employees, which may divert attention from commercial operations. If we undertake any internal restructuring activities and fail to achieve some or all of the expected benefits therefrom, our business, results of operations and financial condition could be materially and adversely affected.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1" w:name="page52"/>
    <w:bookmarkEnd w:id="51"/>
    <w:p>
      <w:pPr>
        <w:ind w:right="300"/>
        <w:spacing w:after="0" w:line="277" w:lineRule="auto"/>
        <w:rPr>
          <w:sz w:val="20"/>
          <w:szCs w:val="20"/>
          <w:color w:val="auto"/>
        </w:rPr>
      </w:pPr>
      <w:r>
        <w:rPr>
          <w:rFonts w:ascii="Arial" w:cs="Arial" w:eastAsia="Arial" w:hAnsi="Arial"/>
          <w:sz w:val="18"/>
          <w:szCs w:val="18"/>
          <w:b w:val="1"/>
          <w:bCs w:val="1"/>
          <w:i w:val="1"/>
          <w:iCs w:val="1"/>
          <w:color w:val="auto"/>
        </w:rPr>
        <w:t>We and certain of our executive officers and directors have been named as defendants in ongoing securities lawsuits that could result in substantial costs and divert management’s attention.*</w:t>
      </w:r>
    </w:p>
    <w:p>
      <w:pPr>
        <w:spacing w:after="0" w:line="6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Following the public announcement of Sanofi’s election to terminate the Sanofi License Agreement and the subsequent decline in our stock price, two motions were submitted to the district court at Tel Aviv, Economic Department for the certification of a class action against MannKind and certain of our officers and directors. In general, the complaints allege that MannKind and certain of our officers and directors violated Israeli and U.S. securities laws by making materially false and misleading statements regarding the prospects for Afrezza, thereby artificially inflating the price of its common stock. The plaintiffs are seeking monetary damages. In November 2016, the district court dismissed one of the actions without prejudice. In the remaining action, the district court ruled in October 2017 that U.S. law will apply to this case. The plaintiff appealed this ruling, and following an oral hearing before the Supreme Court of Israel, decided to withdraw his appeal. Subsequently, in November 2018, we filed a motion to dismiss the certification motion. In September 2019, the plaintiff brought a motion to amend his claim, which the court denied in January 2020. The plaintiff has appealed this denial to the Supreme Court of Israel. We will continue to vigorously defend against the claims advanced. If we are not successful in our defense, we could be forced to make significant payments to or other settlements with our stockholders and their lawyers, and such payments or settlement arrangements could have a material adverse effect on our business, operating results or financial condition. Even if such claims are not successful, the litigation could result in substantial costs and significant adverse impact on our reputation and divert management’s attention and resources, which could have a material adverse effect on our business, operating results and financial condition.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might be interrupted by the occurrence of a natural disaster or other catastrophic event.*</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At least for the foreseeable future, we expect that our manufacturing facility in Danbury, Connecticut will be the sole location for the manufacturing of Afrezza and TreT. This facility and the manufacturing equipment we use would be costly to replace and could require substantial lead time to repair or replace. We depend on our facilities and on collaborators, contractors and vendors for the continued operation of our business, some of whom are located in other countries. Natural disasters or other catastrophic events, including interruptions in the supply of natural resources, political and governmental changes, severe weather conditions, public health pandemics or epidemics (including, for example, the ongoing COVID-19 pandemic), wildfires and other fires, explosions, actions of animal rights activists, terrorist attacks, volcanic eruptions, earthquakes and wars could disrupt our operations or those of our collaborators, contractors and vendors. We might suffer losses as a result of business interruptions that exceed the coverage available under our and our contractors’ insurance policies or for which we or our contractors do not have coverage. For example, we are not insured against a terrorist attack. Any natural disaster or catastrophic event could have a significant negative impact on our operations and financial results. Moreover, any such event could delay our research and development programs or cause interruptions in our commercialization of Afrezza.</w:t>
      </w:r>
    </w:p>
    <w:p>
      <w:pPr>
        <w:spacing w:after="0" w:line="2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deal with hazardous materials and must comply with environmental laws and regulations, which can be expensive and restrict how we do business.</w:t>
      </w:r>
    </w:p>
    <w:p>
      <w:pPr>
        <w:spacing w:after="0" w:line="15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and biological materials. In addition, our manufacturing operations involve the use of a chemical that may form an explosive mixture under certain conditions. Our operations also produce hazardous waste products. We are subject to federal, state and local laws and regulations (i) governing how we use, manufacture, store, handle and dispose of these materials (ii) imposing liability for costs of cleaning up, and damages to natural resources from past spills, waste disposals on and off-site, or other releases of hazardous materials or regulated substances, and (iii) regulating workplace safety.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$1.0 million per occurrence and $2.0 million in the aggregate and is supplemented by an umbrella policy that provides a further $20.0 million of coverage; however, our insurance policy excludes pollution liability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 or have an adverse impact on our business, results of operations and financial condition.</w:t>
      </w:r>
    </w:p>
    <w:p>
      <w:pPr>
        <w:spacing w:after="0" w:line="19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When we purchased the facilities located in Danbury, Connecticut in 2001, a soil and groundwater investigation and remediation was being conducted by a former site operator (the responsible party) under the oversight of the Connecticut Department of Environmental Protection, which is not completed. The responsible party will make all filings necessary to achieve closure for the environmental remediation conducted at the site, and has agreed to indemnify us for any future costs and expenses we may incur that are directly related to the final closure. If we are unable to collect these future costs and expenses, if any, from the responsible party, our business, financial condition and results of operations may be harmed.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We are increasingly dependent on information technology systems, infrastructure and data security.*</w:t>
      </w:r>
    </w:p>
    <w:p>
      <w:pPr>
        <w:spacing w:after="0" w:line="11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are increasingly dependent upon information technology systems, infrastructure and data security. Our business requires manipulating, analyzing and storing large amounts of data. In addition, we rely on an enterprise software system to operate and manage our business. Our business therefore depends on the continuous, effective, reliable and secure operation of our computer hardware, software, networks, Internet servers and related infrastructure. The multitude and complexity of our computer systems and the potential value of our data make them inherently vulnerable to service interruption or destruction, malicious intrusion and random attack. Likewise, data privacy or security breaches by employees or others may pose a risk that sensitive data including intellectual property, trade secrets or personal information belonging to us or our customers or other business partners may be exposed to unauthorized persons or to the public. Our systems are also potentially subject to cyber-attacks, which can be highly sophisticated and may be difficult to detect. Such attacks are often carried out by motivated, well-resourced, skilled and persistent actors including nation states, organized crime groups and “hacktivists.” Cyber-attacks could include the deployment of harmful malware and key loggers, a denial-of-service attack, a malicious website, the use of social engineering and other means to affect the confidentiality, integrity and availability of our information technology systems, infrastructure and data. Our key business partners face similar risks and any security breach of their systems could adversely affect our security status. Additionally, natural disasters, public health pandemics or epidemics (including, for example, the COVID-19 pandemic), terrorism, war and telecommunication and electrical failures may result in damage to or the interruption or impairment of key business processes, or the loss or corruption of confidential information, including intellectual property, proprietary business information and personal information. While we continue to invest in the protection of our critical or sensitive data and information technology, there can be no assurance that our efforts will prevent or detect service interruptions or breaches in our systems that could adversely affect our business and operations and/or result in the loss of critical or sensitive information, which could result in financial, legal, business or reputational harm to us.</w:t>
      </w:r>
    </w:p>
    <w:p>
      <w:pPr>
        <w:spacing w:after="0" w:line="299" w:lineRule="exact"/>
        <w:rPr>
          <w:sz w:val="20"/>
          <w:szCs w:val="20"/>
          <w:color w:val="auto"/>
        </w:rPr>
      </w:pPr>
    </w:p>
    <w:p>
      <w:pPr>
        <w:ind w:right="320"/>
        <w:spacing w:after="0" w:line="311" w:lineRule="auto"/>
        <w:rPr>
          <w:sz w:val="20"/>
          <w:szCs w:val="20"/>
          <w:color w:val="auto"/>
        </w:rPr>
      </w:pPr>
      <w:r>
        <w:rPr>
          <w:rFonts w:ascii="Arial" w:cs="Arial" w:eastAsia="Arial" w:hAnsi="Arial"/>
          <w:sz w:val="16"/>
          <w:szCs w:val="16"/>
          <w:b w:val="1"/>
          <w:bCs w:val="1"/>
          <w:i w:val="1"/>
          <w:iCs w:val="1"/>
          <w:color w:val="auto"/>
        </w:rPr>
        <w:t>Changes in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functions on which the operation of our business may rely, which could negatively impact our business.</w:t>
      </w:r>
    </w:p>
    <w:p>
      <w:pPr>
        <w:spacing w:after="0" w:line="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8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U.K. from the European Union may be a source of instability in international markets, create significant currency fluctuations and pose additional risks to our business.</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Following the result of a referendum in 2016, the U.K. left the EU on January 31, 2020. This event is commonly referred to as Brexit. Pursuant to the formal withdrawal arrangements agreed to between the U.K. and the EU, the U.K. will be subject to a transition period until December 31, 2020, (the “Transition Period”), during which EU rules will continue to apply. Negotiations between the U.K. and the EU are expected to continue in relation to the customs and trading relationship between the U.K. and the EU following the expiry of the Transition Period.</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uncertainty concerning the U.K’s legal, political and economic relationship with the EU after the Transition Period may be a source of instability in the international markets, create significant currency fluctuations, and/or otherwise adversely affect trading agreements or similar cross-border co-operation arrangements (whether economic, tax, fiscal, legal, regulatory or otherwise). These developments, or the perception that any of them could occur, have had, and may continue to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177"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Such a withdrawal from the EU is unprecedented, and it is unclear how the U.K’s access to the European single market for goods, capital, services and labor within the EU, or single market, and the wider commercial, legal and regulatory environment, will impact our business.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b w:val="1"/>
          <w:bCs w:val="1"/>
          <w:i w:val="1"/>
          <w:iCs w:val="1"/>
          <w:color w:val="auto"/>
        </w:rPr>
        <w:t>Our product candidates must undergo costly and time-consuming rigorous nonclinical and clinical testing and we must obtain regulatory approval prior to the sale and marketing of any product in each jurisdiction. The results of this testing or issues that develop in the review and approval by a regulatory agency may subject us to unanticipated delays or prevent us from marketing any products.</w:t>
      </w:r>
    </w:p>
    <w:p>
      <w:pPr>
        <w:spacing w:after="0" w:line="4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research and development activities, as well as the manufacturing and marketing of Afrezza and our product candidates, are subject to regulation, including regulation for safety, efficacy and quality, by the FDA in the United States and comparable authorities in other countries. FDA regulations and the regulations of comparable foreign regulatory authorities are wide-ranging and govern, among other things:</w:t>
      </w:r>
    </w:p>
    <w:p>
      <w:pPr>
        <w:spacing w:after="0" w:line="57"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product sales and distribution.</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requirements governing the conduct of clinical studies and manufacturing and marketing of Afrezza and our product candidates outside the United States vary widely from country to country. Foreign approvals may take longer to obtain than FDA approvals and can require, among other things, additional testing and different clinical study designs. Foreign regulatory approval processes include essentially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16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Clinical testing can be costly and take many years, and the outcome is uncertain and susceptible to varying interpretations. We cannot be certain if or when regulatory agencies might request additional studies, under what conditions such studies might be requested, or what the size or length of any such studies might be. The clinical studies of our product candidates may not be completed on schedule, regulatory agencies may order us to stop or modify our research, or these agencies may not ultimately approve any of our product candidates for commercial sale. The data collected from our clinical studies may not be sufficient to support regulatory approval of our product candidates. Even if we believe the data collected from our clinical studies are sufficient, regulatory agencies have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19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Questions that have been raised about the safety of marketed drugs generally, including pertaining to the lack of adequate labeling, may result in increased cautiousness by regulatory agencies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w:t>
      </w:r>
    </w:p>
    <w:p>
      <w:pPr>
        <w:spacing w:after="0" w:line="27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we do not comply with regulatory requirements at any stage, whether before or after marketing approval is obtained, we may be fined or forced to remove a product from the market, subject to criminal prosecution, or experience other adverse consequences, including restrictions or delays in obtaining regulatory marketing approval.</w:t>
      </w:r>
    </w:p>
    <w:p>
      <w:pPr>
        <w:spacing w:after="0" w:line="7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studies. For example, with the approval of Afrezza, the FDA has required that we conduct a five-year, randomized, controlled trial in patients with type 2 diabetes, the primary objective of which is to compare the incidence of pulmonary malignancy observed with Afrezza to that observed in a standard of care control group. We have an ongoing dialogue with the FDA regarding the endpoints and goals for this long-term trial and have not yet commenced this trial.</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if we or other parties identify adverse effects after any of our products are on the market, or if manufacturing problems occur, regulatory approval may be withdrawn and a reformulation of our products, additional clinical studies, changes in labeling of, or indications of use for, our products and/or additional marketing applications may be required. If we encounter any of the foregoing problems, our business, financial condition and results of operations will be harmed and the market price of our common stock and other securities may decline.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We are subject to stringent, ongoing government regulation.*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manufacture, marketing and sale of Afrezza are subject to stringent and ongoing government regulation. The FDA may also withdraw product approvals if problems concerning the safety or efficacy of a product appear following approval. We cannot be sure that FDA and United States Congressional initiatives or actions by foreign regulatory bodies pertaining to ensuring the safety of marketed drugs or other developments pertaining to the pharmaceutical industry will not adversely affect our operations. For example, stability failure of Afrezza could lead to product recall or other sanctions.</w:t>
      </w:r>
    </w:p>
    <w:p>
      <w:pPr>
        <w:spacing w:after="0" w:line="15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significant civil fines, product seizures, injunctions and/or criminal prosecution of responsible individuals and us. Any such actions would have a material adverse effect on our business, financial condition and results of operations.</w:t>
      </w:r>
    </w:p>
    <w:p>
      <w:pPr>
        <w:spacing w:after="0" w:line="172"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FDA and comparable foreign regulatory authorities subject Afrezza and any approved drug product to extensive and ongoing regulatory requirements concerning the manufacturing processes, labeling, packaging, distribution, adverse event reporting, storage, advertising, promotion, import, export and recordkeeping. These requirements include submissions of safety and other post-marketing information and reports, registration, as well as continued compliance with cGMPs and GCP requirements for any clinical trials that we conduct post-approval. Later discovery of previously unknown problems, including adverse events of unanticipated severity or frequency, or with our third-party manufacturers or manufacturing processes, or failure to comply with regulatory requirements, may result in, among other things:</w:t>
      </w:r>
    </w:p>
    <w:p>
      <w:pPr>
        <w:spacing w:after="0" w:line="70" w:lineRule="exact"/>
        <w:rPr>
          <w:sz w:val="20"/>
          <w:szCs w:val="20"/>
          <w:color w:val="auto"/>
        </w:rPr>
      </w:pPr>
    </w:p>
    <w:p>
      <w:pPr>
        <w:ind w:left="1000" w:right="6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30"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FDA and other regulatory authorities impose significant restrictions on approved products through regulations on advertising, promotional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distribution activities. This oversight encompasses, but is not limited to, direct-to-consumer advertising, healthcare provider-directed advertising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promotion, sales representative communications to healthcare professionals, promotional programming and promotional activities involving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Internet. Regulatory authorities may also review industry-sponsored scientific and educational activities that make representations regarding product safety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efficacy in a promotional context. Prescription drugs may be promoted only for the approved indications in accordance with the approved label.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FDA and other regulatory authorities may take enforcement action against a company for promoting unapproved uses of a product or for other violations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its advertising and labeling laws and regulations. However, physicians may, in their independent medical judgment, prescribe legally available products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off-label uses. The FDA does not regulate the behavior of physicians in their choice of treatments but the FDA does restrict manufacturer’s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communications on the subject of off-label use of their products. Enforcement action may include product seizures, injunctions, significant civil or criminal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penalties or regulatory letters, which may require corrective advertising or other corrective communications to healthcare professionals. Failure to comply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such regulations also can result in adverse publicity or increased scrutiny of company activities by the U.S. Congress or other legislators.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states have also adopted regulations and reporting requirements surrounding the promotion of pharmaceuticals. Failure to comply with state requirements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affect our ability to promote or sell our products in certain states.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55" w:name="page56"/>
    <w:bookmarkEnd w:id="55"/>
    <w:p>
      <w:pPr>
        <w:spacing w:after="0" w:line="296" w:lineRule="auto"/>
        <w:rPr>
          <w:sz w:val="20"/>
          <w:szCs w:val="20"/>
          <w:color w:val="auto"/>
        </w:rPr>
      </w:pPr>
      <w:r>
        <w:rPr>
          <w:rFonts w:ascii="Arial" w:cs="Arial" w:eastAsia="Arial" w:hAnsi="Arial"/>
          <w:sz w:val="16"/>
          <w:szCs w:val="16"/>
          <w:color w:val="auto"/>
        </w:rPr>
        <w:t>We are required to comply with FDA regulations concerning the advertising and promotion of Afrezza. Failure to comply with these regulations can result in the receipt of warning letters and further liability if off-label promotion is involved. For example, in October 2018, we received a warning letter from the FDA’s Office of Prescription Drug Promotion (“OPDP”) related to a particular post on our Afrezza Facebook page. The warning letter stated that the post in question failed to adequately disclose the risks associated with the use of Afrezza. As a result, we temporarily inactivated all Afrezza social media accounts (including Facebook, Instagram and Twitter) then, after consultation with OPDP, placed a corrective post on Facebook and Instagram.</w:t>
      </w:r>
    </w:p>
    <w:p>
      <w:pPr>
        <w:spacing w:after="0" w:line="16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legislation may make it more difficult to receive revenues.*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In both the United States and certain foreign jurisdictions, there have been a number of legislative and regulatory proposals in recent years to change the healthcare system in ways that could impact our ability to sell our products profitably. For example, in March 2010, the Patient Protection and Affordable Care Act of 2010, as amended by the Health Care and Education Reconciliation Act of 2010 (collectively, “PPACA”) became law in the United States. PPACA substantially changed the way healthcare is financed by both governmental and private insurers and significantly affects the healthcare industry.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PPACA of importance to us are the following:</w:t>
      </w:r>
    </w:p>
    <w:p>
      <w:pPr>
        <w:spacing w:after="0" w:line="103" w:lineRule="exact"/>
        <w:rPr>
          <w:sz w:val="20"/>
          <w:szCs w:val="20"/>
          <w:color w:val="auto"/>
        </w:rPr>
      </w:pPr>
    </w:p>
    <w:p>
      <w:pPr>
        <w:ind w:left="1000" w:right="6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 of the average manufacturer price for most branded and generic drugs, respectively;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licensure framework for follow-on biological products;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1000" w:right="22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agree to now offer 75% point-of-sale discounts off negotiated prices of applicable brand drugs to eligible beneficiaries during their coverage gap period, as a condition for the manufacturer’s outpatient drugs to be covered under Medicare Part D;</w:t>
      </w:r>
    </w:p>
    <w:p>
      <w:pPr>
        <w:spacing w:after="0" w:line="75"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62" w:lineRule="exact"/>
        <w:rPr>
          <w:rFonts w:ascii="Arial" w:cs="Arial" w:eastAsia="Arial" w:hAnsi="Arial"/>
          <w:sz w:val="18"/>
          <w:szCs w:val="18"/>
          <w:color w:val="auto"/>
        </w:rPr>
      </w:pPr>
    </w:p>
    <w:p>
      <w:pPr>
        <w:jc w:val="both"/>
        <w:ind w:left="1000" w:right="440" w:hanging="493"/>
        <w:spacing w:after="0" w:line="263"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with income at or below 133% of the Federal Poverty Level, thereby potentially increasing manufacturers’ Medicaid rebate liability;</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7" w:lineRule="exact"/>
        <w:rPr>
          <w:rFonts w:ascii="Arial" w:cs="Arial" w:eastAsia="Arial" w:hAnsi="Arial"/>
          <w:sz w:val="18"/>
          <w:szCs w:val="18"/>
          <w:color w:val="auto"/>
        </w:rPr>
      </w:pPr>
    </w:p>
    <w:p>
      <w:pPr>
        <w:ind w:left="1000" w:right="220" w:hanging="493"/>
        <w:spacing w:after="0" w:line="279" w:lineRule="auto"/>
        <w:tabs>
          <w:tab w:leader="none" w:pos="10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report annually to CMS certain financial arrangements with physicians, as defined by such law, and teaching hospitals, as defined in PPACA and its implementing regulations, including reporting any “payments or transfers of value” made or distributed to physicians and teaching hospitals and reporting any ownership and investment interests held by physicians and their immediate family members and applicable group purchasing organizations during the preceding calendar year;</w:t>
      </w:r>
    </w:p>
    <w:p>
      <w:pPr>
        <w:spacing w:after="0" w:line="63" w:lineRule="exact"/>
        <w:rPr>
          <w:rFonts w:ascii="Arial" w:cs="Arial" w:eastAsia="Arial" w:hAnsi="Arial"/>
          <w:sz w:val="17"/>
          <w:szCs w:val="17"/>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certain manufacturers and authorized distributors provide to physicians; and</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6" w:name="page57"/>
    <w:bookmarkEnd w:id="56"/>
    <w:p>
      <w:pPr>
        <w:spacing w:after="0" w:line="267" w:lineRule="auto"/>
        <w:rPr>
          <w:sz w:val="20"/>
          <w:szCs w:val="20"/>
          <w:color w:val="auto"/>
        </w:rPr>
      </w:pPr>
      <w:r>
        <w:rPr>
          <w:rFonts w:ascii="Arial" w:cs="Arial" w:eastAsia="Arial" w:hAnsi="Arial"/>
          <w:sz w:val="17"/>
          <w:szCs w:val="17"/>
          <w:color w:val="auto"/>
        </w:rPr>
        <w:t>There remain judicial and congressional challenges to certain provisions of the PPACA, as well as efforts by the Trump administration to repeal or replace certain aspects of the PPACA. President Trump has signed Executive Orders and other directives designed to eliminate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several bills affecting the implementation of certain taxes under the PPACA have been signed into law. The Tax Act includes a provision that repealed, effective January 1, 2019, the tax-based shared responsibility payment imposed by the PPACA on certain individuals who fail to maintain qualifying health coverage for all or part of a year that is commonly referred to as the “individual mandate”. In addition, the 2020 federal spending package permanently eliminated, effective January 1, 2020, the PPACA-mandated “Cadillac” tax on high-cost employer-sponsored health coverage and medical device tax and, effective January 1, 2021, also eliminates the health insurer tax. The Bipartisan Budget Act of 2018, or the BBA, among other things, amended the PPACA, effective January 1, 2019, to close the coverage gap in most Medicare drug plans. In December 2018, CMS published a new final rule permitting further collections and payments to and from certain PPACA qualified health plans and health insurance issuers under the PPACA risk adjustment program in response to the outcome of federal district court litigation regarding the method CMS uses to determine this risk adjustment. On December 14, 2018, a Texas U.S. District Court Judge ruled that the PPACA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PPACA are invalid as well. On March 2, 2020, the United States Supreme Court granted the petitions for writs of certiorari to review this case, and has allotted one hour for oral arguments, which are expected to occur in the fall. It is unclear how such litigation, and other efforts to repeal and replace the PPACA will impact the PPACA and our business.</w:t>
      </w:r>
    </w:p>
    <w:p>
      <w:pPr>
        <w:spacing w:after="0" w:line="19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addition, other legislative changes have been proposed and adopted since PPACA was enacted. For example,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2% per fiscal year, starting in 2013, and, following passage of the BBA, will stay in effect through 2030 unless additional Congressional action is taken. The CARES Act suspended the 2% Medicare sequester from May 1, 2020 through December 31, 2020, and extended the sequester by one year, through 2030. On January 2, 2013, President Obama signed into law the American Taxpayer Relief Act of 2012 (the “ATRA”), which, among other things, reduced Medicare payments to several providers, including hospitals, imaging centers and cancer treatment centers, and increased the statute of limitations period for the government to recover overpayments to providers from three to five years. In addition, recently there has been heightened governmental scrutiny over the manner in which manufacturers set prices for their marketed products. Specifically, there have been several recent U.S. Congressional inquiries and proposed and enacted legislation designed to, among other things, bring more transparency to drug pricing, reduce the cost of prescription drugs under Medicare, review the relationship between pricing and manufacturer patient programs, and reform government program reimbursement methodologies for drugs. These new laws and initiatives may result in additional reductions in Medicare and other healthcare funding, which could have a material adverse effect on our customers and accordingly, our financial operations.</w:t>
      </w:r>
    </w:p>
    <w:p>
      <w:pPr>
        <w:spacing w:after="0" w:line="17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Further, on May 30, 2018, the Trickett Wendler, Frank Mongiello, Jordan McLinn, and Matthew Bellina Right to Try Act of 2017, or the Right to Try Act, was signed into law. The law, among other things, provides a federal framework for certain patients to access certain investigational new drug products that have completed a Phase I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expect that PPACA, as well as other healthcare reform measures that may be adopted in the future, may result in more rigorous coverage criteria and in additional downward pressure on the price that we receive for any approved product, and could seriously harm our future revenues. It is also possible that additional governmental action is taken to address the COVID-19 pandemic. Any reduction in reimbursement from Medicare or other government programs may result in a similar reduction in payments from private third-party payors. The implementation of cost containment measures or other healthcare reforms may prevent us from being able to generate revenue, attain profitability, or commercialize our products.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7" w:name="page58"/>
    <w:bookmarkEnd w:id="57"/>
    <w:p>
      <w:pPr>
        <w:ind w:right="40"/>
        <w:spacing w:after="0" w:line="263" w:lineRule="auto"/>
        <w:rPr>
          <w:sz w:val="20"/>
          <w:szCs w:val="20"/>
          <w:color w:val="auto"/>
        </w:rPr>
      </w:pPr>
      <w:r>
        <w:rPr>
          <w:rFonts w:ascii="Arial" w:cs="Arial" w:eastAsia="Arial" w:hAnsi="Arial"/>
          <w:sz w:val="18"/>
          <w:szCs w:val="18"/>
          <w:b w:val="1"/>
          <w:bCs w:val="1"/>
          <w:i w:val="1"/>
          <w:iCs w:val="1"/>
          <w:color w:val="auto"/>
        </w:rPr>
        <w:t>If we or any future marketing partner fails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7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As a biopharmaceutical company, even though we do not and will not control referrals of healthcare services or bill directly to Medicare, Medicaid or other third-party payors, certain federal and state healthcare laws and regulations, including those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3" w:lineRule="exact"/>
        <w:rPr>
          <w:sz w:val="20"/>
          <w:szCs w:val="20"/>
          <w:color w:val="auto"/>
        </w:rPr>
      </w:pPr>
    </w:p>
    <w:p>
      <w:pPr>
        <w:ind w:left="1000" w:right="180" w:hanging="493"/>
        <w:spacing w:after="0" w:line="293"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federal Anti-Kickback Statute (as amended by PPACA, which modified the intent requirement of the federal Anti-Kickback Statute so that a person or entity no longer needs to have actual knowledge of the Statute or specific intent to violate it to have committed a violation), which constrains our business activities, including our marketing practices, educational programs, pricing policies, and relationships with healthcare providers or other entities by prohibiting, among other things, knowingly and willfully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56" w:lineRule="exact"/>
        <w:rPr>
          <w:rFonts w:ascii="Arial" w:cs="Arial" w:eastAsia="Arial" w:hAnsi="Arial"/>
          <w:sz w:val="16"/>
          <w:szCs w:val="16"/>
          <w:color w:val="auto"/>
        </w:rPr>
      </w:pPr>
    </w:p>
    <w:p>
      <w:pPr>
        <w:ind w:left="1000" w:hanging="493"/>
        <w:spacing w:after="0" w:line="273"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Federal civil and criminal false claims laws, including without limitation the False Claims Act, and civil monetary penalties laws, which prohibit, among other things, individuals or entities from knowingly presenting, or causing to be presented, claims for payment from Medicare, Medicaid, or other federal healthcare programs that are false or fraudulent, and knowingly making, or causing to be made, a false record or statement material to a false or fraudulent claim to avoid, decrease or conceal an obligation to pay money to the federal government, and under PPACA, the government may assert that a claim including items or services resulting from a violation of the federal Anti-Kickback Statute constitutes a false or fraudulent claim for purposes of the federal false claims laws;</w:t>
      </w:r>
    </w:p>
    <w:p>
      <w:pPr>
        <w:spacing w:after="0" w:line="69" w:lineRule="exact"/>
        <w:rPr>
          <w:rFonts w:ascii="Arial" w:cs="Arial" w:eastAsia="Arial" w:hAnsi="Arial"/>
          <w:sz w:val="17"/>
          <w:szCs w:val="17"/>
          <w:color w:val="auto"/>
        </w:rPr>
      </w:pPr>
    </w:p>
    <w:p>
      <w:pPr>
        <w:ind w:left="1000" w:right="2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among other things, knowingly and willfully executing a scheme to defraud any healthcare benefit program or falsifying, concealing, or covering up a material fact in connection with the delivery of or payment for health care benefits;</w:t>
      </w:r>
    </w:p>
    <w:p>
      <w:pPr>
        <w:spacing w:after="0" w:line="75" w:lineRule="exact"/>
        <w:rPr>
          <w:rFonts w:ascii="Arial" w:cs="Arial" w:eastAsia="Arial" w:hAnsi="Arial"/>
          <w:sz w:val="18"/>
          <w:szCs w:val="18"/>
          <w:color w:val="auto"/>
        </w:rPr>
      </w:pPr>
    </w:p>
    <w:p>
      <w:pPr>
        <w:ind w:left="1000" w:right="20" w:hanging="493"/>
        <w:spacing w:after="0" w:line="270"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HIPAA, as amended by HITECH, and their respective implementing regulations, which imposes certain requirements relating to the privacy, security and transmission of individually identifiable health information on entities subject to the law, such as certain healthcare providers, health plans, and healthcare clearinghouses and their respective business associates that perform services for them that involve the creation, use, maintenance or disclosure of, individually identifiable health information. In addition, in May 2018, the European Union, or EU, adopted European General Data Protection Regulation, or GDPR, which contains new provisions specifically directed at the processing of health information, higher sanctions and extra-territoriality measures intended to bring non-EU companies under the regulation. We anticipate that over time we may expand our business operations to include additional operations in the EU, including potentially conducting preclinical and clinical trials. With such expansion, we would be subject to increased governmental regulation in the EU countries in which we might operate, including the GDPR;</w:t>
      </w:r>
    </w:p>
    <w:p>
      <w:pPr>
        <w:spacing w:after="0" w:line="72" w:lineRule="exact"/>
        <w:rPr>
          <w:rFonts w:ascii="Arial" w:cs="Arial" w:eastAsia="Arial" w:hAnsi="Arial"/>
          <w:sz w:val="17"/>
          <w:szCs w:val="17"/>
          <w:color w:val="auto"/>
        </w:rPr>
      </w:pPr>
    </w:p>
    <w:p>
      <w:pPr>
        <w:ind w:left="1000" w:right="60" w:hanging="493"/>
        <w:spacing w:after="0" w:line="273"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California Consumer Privacy Act (“CCPA”), which created individual privacy rights for California consumers (as that word is broadly defined in the law) and placed increased privacy and security obligations on entities handling personal data of consumers or households. The CCPA requires covered companies to provide new disclosures to California consumers, provide such consumers new ways to opt-out of certain sales of personal information, and allows for a new cause of action for data breaches. The CCPA will likely impact (possibly significantly) our business activities and exemplifies the vulnerability of our business to not only cyber threats but also the evolving regulatory environment related to personal data and protected health information;</w:t>
      </w:r>
    </w:p>
    <w:p>
      <w:pPr>
        <w:spacing w:after="0" w:line="69" w:lineRule="exact"/>
        <w:rPr>
          <w:rFonts w:ascii="Arial" w:cs="Arial" w:eastAsia="Arial" w:hAnsi="Arial"/>
          <w:sz w:val="17"/>
          <w:szCs w:val="17"/>
          <w:color w:val="auto"/>
        </w:rPr>
      </w:pPr>
    </w:p>
    <w:p>
      <w:pPr>
        <w:ind w:left="1000" w:right="100" w:hanging="493"/>
        <w:spacing w:after="0" w:line="25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federal Physician Payments Sunshine Act under PPACA, which requires certain manufacturers of drugs, devices, biologics, and medical supplies to report annually to CMS information related to payments and other transfers of value to physicians, as defined by such law, and teaching hospitals, and ownership and investment interests held by physicians and other healthcare providers and their immediate family members; and</w:t>
      </w:r>
    </w:p>
    <w:p>
      <w:pPr>
        <w:spacing w:after="0" w:line="78" w:lineRule="exact"/>
        <w:rPr>
          <w:rFonts w:ascii="Arial" w:cs="Arial" w:eastAsia="Arial" w:hAnsi="Arial"/>
          <w:sz w:val="18"/>
          <w:szCs w:val="18"/>
          <w:color w:val="auto"/>
        </w:rPr>
      </w:pPr>
    </w:p>
    <w:p>
      <w:pPr>
        <w:ind w:left="1000" w:hanging="493"/>
        <w:spacing w:after="0" w:line="271"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State and foreign law equivalents of each of the above federal laws, such as anti-kickback and false claims laws which may apply to items or services reimbursed by any third-party payor, including commercial insurers, and state and foreign laws governing the privacy and security of health information in certain circumstances, many of which differ from each other in significant ways and often are not preempted by HIPAA, thus complicating compliance efforts;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and local laws that require the registration of pharmaceutical sales representatives; and state laws that require drug manufacturers to report information related to payments and other transfer of value to physicians and other healthcare providers and entities, marketing expenditures or drug pricing.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line="269" w:lineRule="auto"/>
        <w:rPr>
          <w:sz w:val="20"/>
          <w:szCs w:val="20"/>
          <w:color w:val="auto"/>
        </w:rPr>
      </w:pPr>
      <w:r>
        <w:rPr>
          <w:rFonts w:ascii="Arial" w:cs="Arial" w:eastAsia="Arial" w:hAnsi="Arial"/>
          <w:sz w:val="17"/>
          <w:szCs w:val="17"/>
          <w:color w:val="auto"/>
        </w:rPr>
        <w:t>Because of the breadth of these laws and the narrowness of available statutory exceptions and regulatory safe harbors, it is possible that some of our business activities could be subject to challenge under one or more of such laws. With Afrezza now available in Brazil and as we pursue additional international approvals, we will be subject to similar foreign laws and regulations. If we or our operations are found to be in violation of any of the laws described above or any other governmental regulations that apply to us, we may be subject to penalties, including significant civil, criminal and administrative penalties, damages, fines, imprisonment, disgorgement, exclusion from U.S. federal or state healthcare programs, additional reporting requirements and/or oversight if we become subject to a corporate integrity agreement or similar agreement to resolve allegations of non-compliance with these laws, and the curtailment or restructuring of our operations. Any penalties, damages, fines, curtailment or restructuring of our operations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b w:val="1"/>
          <w:bCs w:val="1"/>
          <w:i w:val="1"/>
          <w:iCs w:val="1"/>
          <w:color w:val="auto"/>
        </w:rPr>
        <w:t>If we fail to comply with our reporting and payment obligations under the Medicaid Drug Rebate Program or other governmental pricing programs in the United States, we could be subject to additional reimbursement requirements, fines, sanctions and exposure under other laws which could have a material adverse effect on our business, results of operations and financial condition.</w:t>
      </w:r>
    </w:p>
    <w:p>
      <w:pPr>
        <w:spacing w:after="0" w:line="57"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participate in the Medicaid Drug Rebate Program, as administered by CMS, and other federal and state government pricing programs in the United States, and we may participate in additional government pricing programs in the future. These programs generally require us to pay rebates or otherwise provide discounts to government payors in connection with drugs that are dispensed to beneficiaries/recipients of these programs. In some cases, such as with the Medicaid Drug Rebate Program, the rebates are based on pricing that we report on a monthly and quarterly basis to the government agencies that administer the programs. Pricing requirements and rebate/discount calculations are complex, vary among products and programs, and are often subject to interpretation by governmental or regulatory agencies and the courts. The requirements of these programs, including, by way of example, their respective terms and scope, change frequently. Responding to current and future changes may increase our costs, and the complexity of compliance will be time consuming. Invoicing for rebates is provided in arrears, and there is frequently a time lag of up to several months between the sales to which rebate notices relate and our receipt of those notices, which further complicates our ability to accurately estimate and accrue for rebates related to the Medicaid program as implemented by individual states. Thus, there can be no assurance that we will be able to identify all factors that may cause our discount and rebate payment obligations to vary from period to period, and our actual results may differ significantly from our estimated allowances for discounts and rebates. Changes in estimates and assumptions may have a material adverse effect on our business, results of operations and financial condition.</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Office of Inspector General of the HHS and other Congressional, enforcement and administrative bodies have recently increased their focus on pricing requirements for products, including, but not limited to the methodologies used by manufacturers to calculate average manufacturer price (“AMP”) and best price (“BP”) for compliance with reporting requirements under the Medicaid Drug Rebate Program. We are liable for errors associated with our submission of pricing data and for any overcharging of government payors. For example, failure to submit monthly/quarterly AMP and BP data on a timely basis could result in a civil monetary penalty. Failure to make necessary disclosures and/or to identify overpayments could result in allegations against us under the False Claims Act and other laws and regulations. Any required refunds to the U.S. government or responding to a government investigation or enforcement action would be expensive and time consuming and could have a material adverse effect on our business, results of operations and financial condition. In addition, in the event that the CMS were to terminate our rebate agreement, no federal payments would be available under Medicaid or Medicare for our covered outpatient drugs.</w:t>
      </w:r>
    </w:p>
    <w:p>
      <w:pPr>
        <w:spacing w:after="0" w:line="289" w:lineRule="exact"/>
        <w:rPr>
          <w:sz w:val="20"/>
          <w:szCs w:val="20"/>
          <w:color w:val="auto"/>
        </w:rPr>
      </w:pPr>
    </w:p>
    <w:p>
      <w:pPr>
        <w:ind w:right="220"/>
        <w:spacing w:after="0" w:line="375" w:lineRule="auto"/>
        <w:rPr>
          <w:sz w:val="20"/>
          <w:szCs w:val="20"/>
          <w:color w:val="auto"/>
        </w:rPr>
      </w:pPr>
      <w:r>
        <w:rPr>
          <w:rFonts w:ascii="Arial" w:cs="Arial" w:eastAsia="Arial" w:hAnsi="Arial"/>
          <w:sz w:val="15"/>
          <w:szCs w:val="15"/>
          <w:b w:val="1"/>
          <w:bCs w:val="1"/>
          <w:i w:val="1"/>
          <w:iCs w:val="1"/>
          <w:color w:val="auto"/>
        </w:rPr>
        <w:t>Reports of side effects or safety concerns in related technology fields or in other companies’ clinical studies could delay or prevent us from obtaining regulatory approval for our product candidates or negatively impact public perception of Afrezza or any other products we may develop.</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other pharmaceutical companies announce that they observed frequent adverse events in their studies involving insulin therapies, we may be subject to class warnings in the label for Afrezza. In addition, the public perception of Afrezza might be adversely affected, which could harm our business, financial condition and results of operations and cause the market price of our common stock and other securities to decline, even if the concern relates to another company’s products or product candidates.</w:t>
      </w:r>
    </w:p>
    <w:p>
      <w:pPr>
        <w:spacing w:after="0" w:line="18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There are also a number of clinical studies being conducted by other pharmaceutical companies involving compounds similar to, or potentially competitive with, our product candidates. Adverse results reported by these other companies in their clinical studies could delay or prevent us from obtaining regulatory approval or negatively impact public perception of our product candidates, which could harm our business, financial condition and results of operations and cause the market price of our common stock and other securities to decline.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alternative technologies.</w:t>
      </w:r>
    </w:p>
    <w:p>
      <w:pPr>
        <w:spacing w:after="0" w:line="19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For example,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patients are not patentable in many countries outside of the United States. These and other issues may limit the patent protection we are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w:t>
      </w:r>
    </w:p>
    <w:p>
      <w:pPr>
        <w:spacing w:after="0" w:line="16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addition, in certain countries, including the United States,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(“AIA”), or the Leahy-Smith Act, the United States moved to a first inventor to file system.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Moreover, the term of a patent is limited and, as a result, the patents protecting our products expire at various dates. For example, various patents providing protection for the powder component of Afrezza have terms extending into 2020, 2026, 2028, 2029 or 2030. In addition, patents providing protection for our inhaler and cartridges have terms extending into 2023, 2031 or 2032. Our method of treatment claims extend into 2026, 2029, 2030 or 2031. As and when these different patents expire, Afrezza could become subject to increased competition. As a consequence, we may not be able to recover our development costs.</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issued patent is presumed valid unless it is declared otherwise by a court of competent jurisdiction. However,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post grant proceedings, including, oppositions, re-examinations or other review in the United States. In some instances we may seek re-examination or reissuance of our own patents. If we attempt to enforce our patents, they may be challenged in court where they could be held invalid, unenforceable, or have their breadth narrowed to an extent that would destroy their value.</w:t>
      </w:r>
    </w:p>
    <w:p>
      <w:pPr>
        <w:spacing w:after="0" w:line="192"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These agreements provide that all inventions developed by the individual on behalf of us must be assigned to us and that the individual will cooperate with us in connection with securing patent protection on the invention if we wish to pursue such protection. We also execute confidentiality agreements with outside collaborators. There can be no assurance, however, that our inventions and assignment agreements and our confidentiality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1" w:right="359" w:bottom="1440" w:gutter="0" w:footer="0" w:header="0"/>
        </w:sectPr>
      </w:pPr>
    </w:p>
    <w:bookmarkStart w:id="60" w:name="page61"/>
    <w:bookmarkEnd w:id="60"/>
    <w:p>
      <w:pPr>
        <w:ind w:right="440"/>
        <w:spacing w:after="0" w:line="277" w:lineRule="auto"/>
        <w:rPr>
          <w:sz w:val="20"/>
          <w:szCs w:val="20"/>
          <w:color w:val="auto"/>
        </w:rPr>
      </w:pPr>
      <w:r>
        <w:rPr>
          <w:rFonts w:ascii="Arial" w:cs="Arial" w:eastAsia="Arial" w:hAnsi="Arial"/>
          <w:sz w:val="18"/>
          <w:szCs w:val="18"/>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1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Interference proceedings brought by the USPTO, may be necessary to determine the priority of inventions with respect to our pre-AIA patent applications or those of our collaborators or licensors. Additionally, the Leahy-Smith Act has greatly expanded the options for post-grant review of patents that can be brought by third parties. In particular Inter Partes Review (“IPR”), available against any issued United States patent (pre-and post-AIA), has resulted in a higher rate of claim invalidation, due in part to the much reduced opportunity to repair claims by amendment as compared to re-examination, as well as the lower standard of proof used at the USPTO as compared to the federal courts. With the passage of time an increasing number of patents related to successful pharmaceutical products are being subjected to IPR. Moreover, the filing of IPR petitions has been used by short-sellers as a tool to help drive down stock prices. We may not prevail in any litigation, post-grant review, or interference proceedings in which we are involved and, even if we are successful, these proceedings may result in substantial costs and be a distraction to our management. Further, we may not be able, alone or with our collaborators and licensors, to prevent misappropriation of our proprietary rights, particularly in countries where the laws may not protect such rights as fully as in the United States.</w:t>
      </w:r>
    </w:p>
    <w:p>
      <w:pPr>
        <w:spacing w:after="0" w:line="18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27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 and financial condition.</w:t>
      </w:r>
    </w:p>
    <w:p>
      <w:pPr>
        <w:spacing w:after="0" w:line="7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Biotechnology patents are numerous and may, at times, conflict with one another.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Moreover, certain components of Afrezza may be manufactured outside the United States and imported into the United States. As such, third parties could file complaints under 19 U.S.C. Section 337(a)(1)(B) (a “337 action”) with the International Trade Commission (the “ITC”). A 337 action can be expensive and would consume time and other resources. There is a risk that the ITC would decide that we are infringing a third party’s patents and either enjoin us from importing the infringing products or parts thereof into the United States or set a bond in an amount that the ITC considers would offset our competitive advantage from the continued importation during the statutory review period. The bond could be up to 100% of the value of the patented products. We may not prevail in any legal action, and a required license under the patent may not be available on acceptable terms, or at all, resulting in a permanent injunction preventing any further importation of the infringing products or parts thereof into the United States. We also may not be able to develop a non-infringing product design on commercially reasonable terms, or at 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1" w:name="page62"/>
    <w:bookmarkEnd w:id="61"/>
    <w:p>
      <w:pPr>
        <w:spacing w:after="0" w:line="270" w:lineRule="auto"/>
        <w:rPr>
          <w:sz w:val="20"/>
          <w:szCs w:val="20"/>
          <w:color w:val="auto"/>
        </w:rPr>
      </w:pPr>
      <w:r>
        <w:rPr>
          <w:rFonts w:ascii="Arial" w:cs="Arial" w:eastAsia="Arial" w:hAnsi="Arial"/>
          <w:sz w:val="17"/>
          <w:szCs w:val="17"/>
          <w:color w:val="auto"/>
        </w:rPr>
        <w:t>Although we do not believe that Afrezza infringes any third-party patents, we have identified certain patents having claims that may trigger an allegation of infringement in connection with the commercial manufacture and sale of Afrezza. If a court were to determine that Afrezza was infringing any of these patent rights, we would have to establish with the court that these patents are invalid or unenforceable in order to avoid legal liability for infringement of these patents. However, proving patent invalidity or unenforceability can be difficult because issued patents are presumed valid. Therefore, in the event that we are unable to prevail in a non-infringement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financial condition and results of operations would be harmed and our profitability could be materially and adversely impacted.</w:t>
      </w:r>
    </w:p>
    <w:p>
      <w:pPr>
        <w:spacing w:after="0" w:line="18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and other securities may decline.</w:t>
      </w:r>
    </w:p>
    <w:p>
      <w:pPr>
        <w:spacing w:after="0" w:line="17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financial condition and results of operations and cause the market price of our common stock and other securities to decline.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not selected trade names for some of our product candidates in our pipeline; therefore, we have not filed trademark registrations for such potential trade names for our product candidates, nor can we assure that we will be granted registration of any potential trade names for which we do file. No assurance can be given that any of our trademarks will be registered in the United States or elsewhere, or once registered that, prior to our being able to enter a particular market, they will not be cancelled for non-use. Nor can we give assurances, that the use of any of our trademarks will confer a competitive advantage in the marketplace.</w:t>
      </w:r>
    </w:p>
    <w:p>
      <w:pPr>
        <w:spacing w:after="0" w:line="188"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 confusion in the marketplace. We cannot assure you that the FDA or any other regulatory authority will approve of any of our trademarks or will not request reconsideration of one of our trademarks at some time in the future.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We may be forced to take other actions to satisfy our obligations under our indebtedness or we may experience a financial failure.</w:t>
      </w:r>
    </w:p>
    <w:p>
      <w:pPr>
        <w:spacing w:after="0" w:line="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ability to make scheduled payments on or to refinance our debt obligations will depend on our financial and operating performance, which is subject to the commercial success of Afrezza, the extent to which we are able to successfully develop and commercialize our Technosphere drug delivery platform and any other product candidates that we develop, prevailing economic and competitive conditions, and to certain financial, business and other factors beyond our control. We cannot assure you that we will maintain a level of cash flows from operating activities sufficient to permit us to pay the principal, premium, if any, and interest on our indebtedness. If our cash flows and capital resources are insufficient to fund our debt service obligations, we may be forced to reduce or delay capital expenditures, sell assets or operations, seek additional capital or restructure or refinance our indebtedness. We cannot assure you that we would be able to take any of these actions, that these actions would be successful and permit us to meet our scheduled debt service obligations or that these actions would be permitted under the terms of our future debt agreements. In the absence of sufficient operating results and resources, we could face substantial liquidity problems and might be required to dispose of material assets or operations to meet our debt service and other obligations. We may not be able to consummate those dispositions or obtain sufficient proceeds from those dispositions to meet our debt service and other obligations when due.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2" w:name="page63"/>
    <w:bookmarkEnd w:id="62"/>
    <w:p>
      <w:pPr>
        <w:ind w:right="600"/>
        <w:spacing w:after="0" w:line="277" w:lineRule="auto"/>
        <w:rPr>
          <w:sz w:val="20"/>
          <w:szCs w:val="20"/>
          <w:color w:val="auto"/>
        </w:rPr>
      </w:pPr>
      <w:r>
        <w:rPr>
          <w:rFonts w:ascii="Arial" w:cs="Arial" w:eastAsia="Arial" w:hAnsi="Arial"/>
          <w:sz w:val="18"/>
          <w:szCs w:val="18"/>
          <w:b w:val="1"/>
          <w:bCs w:val="1"/>
          <w:i w:val="1"/>
          <w:iCs w:val="1"/>
          <w:color w:val="auto"/>
        </w:rPr>
        <w:t>Future sales of shares of our common stock in the public market, or the perception that such sales may occur, may depress our stock price and adversely impact the market price of our common stock and other securities.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our existing stockholders or their distributees sell substantial amounts of our common stock in the public market, the market price of our common stock could decrease significantly. The perception in the public market that our existing stockholders might sell shares of common stock could also depress the market price of our common stock and the market price of our other securities. Any such sales of our common stock in the public market may affect the price of our common stock or the market price of our other securities.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future, we may sell additional shares of our common stock to raise capital. In addition, a substantial number of shares of our common stock is reserved for issuance upon the exercise of stock options, the vesting of restricted stock unit awards and purchases under our employee stock purchase program. We cannot predict the size of future issuances or the effect, if any, that they may have on the market price for our common stock. The issuance or sale of substantial amounts of common stock, or the perception that such issuances or sales may occur, could adversely affect the market price of our common stock and other securities.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is volatile and may affect the market price of our common stock and other securities.*</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trading price of our common stock has been and is likely to continue to be volatile. The stock market, particularly in recent years, has experienced significant volatility particularly with respect to pharmaceutical and biotechnology stocks, and this trend may continue. The COVID-19 pandemic, for example, has negatively affected the stock market and investor sentiment and has resulted in significant volatility.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volatility of pharmaceutical and biotechnology stocks often does not relate to the operating performance of the companies represented by the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business and the market price of our common stock may be influenced by a large variety of factors, including:</w:t>
      </w:r>
    </w:p>
    <w:p>
      <w:pPr>
        <w:spacing w:after="0" w:line="103" w:lineRule="exact"/>
        <w:rPr>
          <w:sz w:val="20"/>
          <w:szCs w:val="20"/>
          <w:color w:val="auto"/>
        </w:rPr>
      </w:pPr>
    </w:p>
    <w:p>
      <w:pPr>
        <w:ind w:left="1000" w:right="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marketing approval for Afrezza outside of the United States and to find collaboration partners for the commercialization of Afrezza in foreign jurisdictions;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estimates of Afrezza sales, prescriptions or other operating metrics;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ability to successfully commercialize other products (in addition to Afrezza) based on our Technosphere drug delivery platform;</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progress of preclinical and clinical studies of our product candidates and of post-approval studies of Afrezza required by the FDA;</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of preclinical and clinical studies of our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political or stock market conditions, especially for emerging growth and pharmaceutical market sectors;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legislative developments;</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caused by man-made or natural disasters or public health pandemics or epidemics or other business interruptions, including, for example, the COVID-19 pandemic;</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our collaborators, or our competitors concerning clinical study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critical materials used in developing and manufacturing Afrezza or other product candidates;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developments or disputes concerning our relationship with any of our current or future collaborators or third party manufacturers;</w:t>
      </w:r>
    </w:p>
    <w:p>
      <w:pPr>
        <w:spacing w:after="0" w:line="142"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condition or operating performance;</w:t>
      </w:r>
    </w:p>
    <w:p>
      <w:pPr>
        <w:spacing w:after="0" w:line="3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65" w:right="419" w:bottom="1440" w:gutter="0" w:footer="0" w:header="0"/>
        </w:sectPr>
      </w:pPr>
    </w:p>
    <w:bookmarkStart w:id="63" w:name="page64"/>
    <w:bookmarkEnd w:id="63"/>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30"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or the perception of investors of our ability, to continue to meet all applicable requirements for continued listing of our common stock on The Nasdaq Stock Market, and the possible delisting of our common stock if we are unable to do so;</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status of any legal proceedings or regulatory matters against or involving us or any of our executive officers and directors; and</w:t>
      </w:r>
    </w:p>
    <w:p>
      <w:pPr>
        <w:spacing w:after="0" w:line="142" w:lineRule="exact"/>
        <w:rPr>
          <w:rFonts w:ascii="Arial" w:cs="Arial" w:eastAsia="Arial" w:hAnsi="Arial"/>
          <w:sz w:val="17"/>
          <w:szCs w:val="17"/>
          <w:color w:val="auto"/>
        </w:rPr>
      </w:pPr>
    </w:p>
    <w:p>
      <w:pPr>
        <w:ind w:left="1000" w:right="60" w:hanging="493"/>
        <w:spacing w:after="0" w:line="259"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discussion of Afrezza, our other product candidates, competitors’ products, or our stock price by the financial and scientific press, the healthcare community and online investor communities such as chat rooms. In particular, it may be difficult to verify statements about us and our investigational products that appear on interactive websites that permit users to generate content anonymously or under a pseudonym. Statements attributed to company officials may, in fact, have originated elsewhere.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Any of these risks, as well as other factors, could cause the market value of our common stock and other securities to decline.</w:t>
      </w:r>
    </w:p>
    <w:p>
      <w:pPr>
        <w:spacing w:after="0" w:line="33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continue to meet all applicable listing requirements, our common stock may be delisted from the Nasdaq Global Market, which could have an adverse impact on the liquidity and market price of our common stock.</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common stock is currently listed on The Nasdaq Global Market, which has qualitative and quantitative listing criteria. If we are unable to meet any of the Nasdaq listing requirements in the future, such as the corporate governance requirements, the minimum closing bid price requirement, or the minimum market value of listed securities requirement, Nasdaq could determine to delist our common stock. A delisting of our common stock could adversely affect the market liquidity of our common stock, decrease the market price of our common stock, adversely affect our ability to obtain financing for the continuation of our operations and result in the loss of confidence in our company. In 2016, we received a notice of non-compliance from the Listing Qualifications Department of the Nasdaq Stock Market with respect to the $1.00 minimum closing bid price requirement. Although we regained compliance with the minimum closing bid price requirement after effecting a reverse stock split in March 2017, there can be no assurance that we will be able to meet the minimum closing bid price requirement or other listing requirements in the future.</w:t>
      </w:r>
    </w:p>
    <w:p>
      <w:pPr>
        <w:spacing w:after="0" w:line="2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and other securities could be adversely affected.</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Public companies in general, including companies listed on The Nasdaq Global Market, have experienced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and other securities to decline, regardless of our operating performance. We have no control over this volatility and can only focus our efforts on our own operations, and even these may be affected due to the state of the capital markets.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2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exchange or conversion of our convertible debt into, or exercise of our outstanding warrants for, common stock could negatively affect the market price of our common stock and other securities.*</w:t>
      </w:r>
    </w:p>
    <w:p>
      <w:pPr>
        <w:spacing w:after="0" w:line="6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of July 13, 2020, we had 229,174,914 shares of common stock outstanding. Substantially all of these shares are available for public sale, subject in some cases to volume and other limitations. If our common stockholders sell substantial amounts of common stock in the public market, or the market perceives that such sales may occur, the market price of our common stock and other securities may decline. Likewise the issuance of additional shares of our common stock upon the exchange or conversion of some or all of our 2024 convertible notes or the Mann Group promissory notes, or upon issuance of our outstanding warrants, could adversely affect the market price of our common stock and other securities. In addition, the existence of these notes may encourage short selling of our common stock by market participants, which could adversely affect the market price of our common stock and other securities.</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we may need to raise substantial additional capital in the future to fund our operations. If we raise additional funds by issuing equity securities or additional convertible debt, the market price of our common stock and other securities may decline.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or the holders of our other securities.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8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any investment in our common stock.</w:t>
      </w:r>
    </w:p>
    <w:p>
      <w:pPr>
        <w:spacing w:after="0" w:line="62"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In addition, pursuant to the MidCap Credit Facility, we are subject to contractual restrictions on the payment of dividends. There is no guarantee that our common stock will appreciate or maintain its current price. You could lose the entire value of any investment in our common stock.</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previously reported, in August 2019 we issued a $2.6 million principal amount note due June 2020 (the “June 2020 note”) in exchange for the cancellation of existing indebtedness. On June 24, 2020, we prepaid the June 2020 note through the issuance of 1,235,094 shares of our common stock, in accordance with the terms of the June 2020 note. We relied on an exemption from registration provided by Section 3(a)(9) of the Securities Act of 1933, as amended, for the issuance of such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2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gridSpan w:val="2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11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9300" w:type="dxa"/>
            <w:vAlign w:val="bottom"/>
            <w:tcBorders>
              <w:top w:val="single" w:sz="8" w:color="auto"/>
              <w:bottom w:val="single" w:sz="8" w:color="0000EE"/>
            </w:tcBorders>
            <w:gridSpan w:val="13"/>
          </w:tcPr>
          <w:p>
            <w:pPr>
              <w:spacing w:after="0"/>
              <w:rPr>
                <w:rFonts w:ascii="Arial" w:cs="Arial" w:eastAsia="Arial" w:hAnsi="Arial"/>
                <w:sz w:val="18"/>
                <w:szCs w:val="18"/>
                <w:color w:val="0000EE"/>
                <w:w w:val="91"/>
              </w:rPr>
            </w:pPr>
            <w:hyperlink r:id="rId86">
              <w:r>
                <w:rPr>
                  <w:rFonts w:ascii="Arial" w:cs="Arial" w:eastAsia="Arial" w:hAnsi="Arial"/>
                  <w:sz w:val="18"/>
                  <w:szCs w:val="18"/>
                  <w:color w:val="0000EE"/>
                  <w:w w:val="91"/>
                </w:rPr>
                <w:t>Amended and Restated Certificate of Incorporation (incorporated by reference to Exhibit 3.1 to MannKind’s Quarterly Report on</w:t>
              </w:r>
            </w:hyperlink>
          </w:p>
        </w:tc>
        <w:tc>
          <w:tcPr>
            <w:tcW w:w="660" w:type="dxa"/>
            <w:vAlign w:val="bottom"/>
            <w:tcBorders>
              <w:top w:val="single" w:sz="8" w:color="auto"/>
            </w:tcBorders>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Form 10-Q (File No. 000-50865), filed with the SEC on August 9, 2016).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9900" w:type="dxa"/>
            <w:vAlign w:val="bottom"/>
            <w:tcBorders>
              <w:bottom w:val="single" w:sz="8" w:color="0000EE"/>
            </w:tcBorders>
            <w:gridSpan w:val="28"/>
          </w:tcPr>
          <w:p>
            <w:pPr>
              <w:spacing w:after="0"/>
              <w:rPr>
                <w:rFonts w:ascii="Arial" w:cs="Arial" w:eastAsia="Arial" w:hAnsi="Arial"/>
                <w:sz w:val="18"/>
                <w:szCs w:val="18"/>
                <w:color w:val="0000EE"/>
                <w:w w:val="91"/>
              </w:rPr>
            </w:pPr>
            <w:hyperlink r:id="rId87">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Exhibit 3.1 to MannKind’s Current Report on Form 8-K (File No. 000-50865), filed with the SEC on March 2, 2017).</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9900" w:type="dxa"/>
            <w:vAlign w:val="bottom"/>
            <w:tcBorders>
              <w:bottom w:val="single" w:sz="8" w:color="0000EE"/>
            </w:tcBorders>
            <w:gridSpan w:val="28"/>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Exhibit 3.1 to MannKind’s Current Report on Form 8-K (File No. 000-50865), filed with the SEC on December 13, 2017).</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4"/>
                <w:szCs w:val="24"/>
                <w:color w:val="auto"/>
              </w:rPr>
            </w:pPr>
          </w:p>
        </w:tc>
        <w:tc>
          <w:tcPr>
            <w:tcW w:w="9900" w:type="dxa"/>
            <w:vAlign w:val="bottom"/>
            <w:tcBorders>
              <w:bottom w:val="single" w:sz="8" w:color="0000EE"/>
            </w:tcBorders>
            <w:gridSpan w:val="28"/>
          </w:tcPr>
          <w:p>
            <w:pPr>
              <w:spacing w:after="0"/>
              <w:rPr>
                <w:rFonts w:ascii="Arial" w:cs="Arial" w:eastAsia="Arial" w:hAnsi="Arial"/>
                <w:sz w:val="18"/>
                <w:szCs w:val="18"/>
                <w:color w:val="0000EE"/>
                <w:w w:val="91"/>
              </w:rPr>
            </w:pPr>
            <w:hyperlink r:id="rId88">
              <w:r>
                <w:rPr>
                  <w:rFonts w:ascii="Arial" w:cs="Arial" w:eastAsia="Arial" w:hAnsi="Arial"/>
                  <w:sz w:val="18"/>
                  <w:szCs w:val="18"/>
                  <w:color w:val="0000EE"/>
                  <w:w w:val="91"/>
                </w:rPr>
                <w:t>Certificate of Amendment of Amended and Restated Certificate of Incorporation of MannKind Corporation (incorporated by reference to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Exhibit 3.1 to MannKind’s Current Report on Form 8-K (File No. 000-50865), filed with the SEC on May 27, 2020).</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5"/>
              </w:rPr>
            </w:pPr>
            <w:hyperlink r:id="rId89">
              <w:r>
                <w:rPr>
                  <w:rFonts w:ascii="Arial" w:cs="Arial" w:eastAsia="Arial" w:hAnsi="Arial"/>
                  <w:sz w:val="18"/>
                  <w:szCs w:val="18"/>
                  <w:color w:val="0000EE"/>
                  <w:w w:val="95"/>
                </w:rPr>
                <w:t>Amended and Restated Bylaws (incorporated by reference to Exhibit 3.2 to MannKind’s Current Report on Form 8-K (File No. 000-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89">
              <w:r>
                <w:rPr>
                  <w:rFonts w:ascii="Arial" w:cs="Arial" w:eastAsia="Arial" w:hAnsi="Arial"/>
                  <w:sz w:val="18"/>
                  <w:szCs w:val="18"/>
                  <w:color w:val="0000EE"/>
                  <w:w w:val="92"/>
                </w:rPr>
                <w:t>50865)</w:t>
              </w:r>
              <w:r>
                <w:rPr>
                  <w:rFonts w:ascii="Arial" w:cs="Arial" w:eastAsia="Arial" w:hAnsi="Arial"/>
                  <w:sz w:val="18"/>
                  <w:szCs w:val="18"/>
                  <w:u w:val="single" w:color="auto"/>
                  <w:color w:val="0000EE"/>
                  <w:w w:val="92"/>
                </w:rPr>
                <w:t>,</w:t>
              </w:r>
              <w:r>
                <w:rPr>
                  <w:rFonts w:ascii="Arial" w:cs="Arial" w:eastAsia="Arial" w:hAnsi="Arial"/>
                  <w:sz w:val="18"/>
                  <w:szCs w:val="18"/>
                  <w:color w:val="0000EE"/>
                  <w:w w:val="92"/>
                </w:rPr>
                <w:t xml:space="preserve"> filed with the SEC on May 27, 2020).</w:t>
              </w:r>
            </w:hyperlink>
          </w:p>
        </w:tc>
        <w:tc>
          <w:tcPr>
            <w:tcW w:w="6220" w:type="dxa"/>
            <w:vAlign w:val="bottom"/>
            <w:tcBorders>
              <w:top w:val="single" w:sz="8" w:color="0000EE"/>
            </w:tcBorders>
            <w:gridSpan w:val="15"/>
          </w:tcPr>
          <w:p>
            <w:pPr>
              <w:spacing w:after="0"/>
              <w:rPr>
                <w:sz w:val="17"/>
                <w:szCs w:val="17"/>
                <w:color w:val="auto"/>
              </w:rPr>
            </w:pPr>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140" w:type="dxa"/>
            <w:vAlign w:val="bottom"/>
          </w:tcPr>
          <w:p>
            <w:pPr>
              <w:ind w:left="18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86">
              <w:r>
                <w:rPr>
                  <w:rFonts w:ascii="Arial" w:cs="Arial" w:eastAsia="Arial" w:hAnsi="Arial"/>
                  <w:sz w:val="18"/>
                  <w:szCs w:val="18"/>
                  <w:u w:val="single" w:color="auto"/>
                  <w:color w:val="0000EE"/>
                </w:rPr>
                <w:t>3.1</w:t>
              </w:r>
            </w:hyperlink>
            <w:r>
              <w:rPr>
                <w:rFonts w:ascii="Arial" w:cs="Arial" w:eastAsia="Arial" w:hAnsi="Arial"/>
                <w:sz w:val="18"/>
                <w:szCs w:val="18"/>
                <w:color w:val="auto"/>
              </w:rPr>
              <w:t xml:space="preserve">, </w:t>
            </w:r>
            <w:hyperlink r:id="rId87">
              <w:r>
                <w:rPr>
                  <w:rFonts w:ascii="Arial" w:cs="Arial" w:eastAsia="Arial" w:hAnsi="Arial"/>
                  <w:sz w:val="18"/>
                  <w:szCs w:val="18"/>
                  <w:u w:val="single" w:color="auto"/>
                  <w:color w:val="0000EE"/>
                </w:rPr>
                <w:t>3.2</w:t>
              </w:r>
            </w:hyperlink>
            <w:r>
              <w:rPr>
                <w:rFonts w:ascii="Arial" w:cs="Arial" w:eastAsia="Arial" w:hAnsi="Arial"/>
                <w:sz w:val="18"/>
                <w:szCs w:val="18"/>
                <w:color w:val="auto"/>
              </w:rPr>
              <w:t xml:space="preserve">, </w:t>
            </w:r>
            <w:hyperlink r:id="rId88">
              <w:r>
                <w:rPr>
                  <w:rFonts w:ascii="Arial" w:cs="Arial" w:eastAsia="Arial" w:hAnsi="Arial"/>
                  <w:sz w:val="18"/>
                  <w:szCs w:val="18"/>
                  <w:u w:val="single" w:color="auto"/>
                  <w:color w:val="0000EE"/>
                </w:rPr>
                <w:t>3.3</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3.4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9">
              <w:r>
                <w:rPr>
                  <w:rFonts w:ascii="Arial" w:cs="Arial" w:eastAsia="Arial" w:hAnsi="Arial"/>
                  <w:sz w:val="18"/>
                  <w:szCs w:val="18"/>
                  <w:u w:val="single" w:color="auto"/>
                  <w:color w:val="0000EE"/>
                </w:rPr>
                <w:t>3.5</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9820" w:type="dxa"/>
            <w:vAlign w:val="bottom"/>
            <w:tcBorders>
              <w:bottom w:val="single" w:sz="8" w:color="0000EE"/>
            </w:tcBorders>
            <w:gridSpan w:val="25"/>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Form of common stock certificate (incorporated by reference to Exhibit 4.2 to MannKind’s Annual Report on Form 10-K (File No. 000-</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March 16, 2017).</w:t>
              </w:r>
            </w:hyperlink>
          </w:p>
        </w:tc>
        <w:tc>
          <w:tcPr>
            <w:tcW w:w="65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4"/>
                <w:szCs w:val="24"/>
                <w:color w:val="auto"/>
              </w:rPr>
            </w:pPr>
          </w:p>
        </w:tc>
        <w:tc>
          <w:tcPr>
            <w:tcW w:w="9640" w:type="dxa"/>
            <w:vAlign w:val="bottom"/>
            <w:tcBorders>
              <w:bottom w:val="single" w:sz="8" w:color="0000EE"/>
            </w:tcBorders>
            <w:gridSpan w:val="22"/>
          </w:tcPr>
          <w:p>
            <w:pPr>
              <w:spacing w:after="0"/>
              <w:rPr>
                <w:rFonts w:ascii="Arial" w:cs="Arial" w:eastAsia="Arial" w:hAnsi="Arial"/>
                <w:sz w:val="18"/>
                <w:szCs w:val="18"/>
                <w:color w:val="0000EE"/>
                <w:w w:val="90"/>
              </w:rPr>
            </w:pPr>
            <w:hyperlink r:id="rId92">
              <w:r>
                <w:rPr>
                  <w:rFonts w:ascii="Arial" w:cs="Arial" w:eastAsia="Arial" w:hAnsi="Arial"/>
                  <w:sz w:val="18"/>
                  <w:szCs w:val="18"/>
                  <w:color w:val="0000EE"/>
                  <w:w w:val="90"/>
                </w:rPr>
                <w:t>Milestone Rights Purchase Agreement, dated as of July 1, 2013, by and among MannKind, Deerfield Private Design Fund II, L.P. and</w:t>
              </w:r>
            </w:hyperlink>
          </w:p>
        </w:tc>
        <w:tc>
          <w:tcPr>
            <w:tcW w:w="3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w w:val="97"/>
              </w:rPr>
            </w:pPr>
            <w:hyperlink r:id="rId92">
              <w:r>
                <w:rPr>
                  <w:rFonts w:ascii="Arial" w:cs="Arial" w:eastAsia="Arial" w:hAnsi="Arial"/>
                  <w:sz w:val="18"/>
                  <w:szCs w:val="18"/>
                  <w:color w:val="0000EE"/>
                  <w:w w:val="97"/>
                </w:rPr>
                <w:t>Horizon Santé FLML SÁRL (incorporated by reference to Exhibit 99.3 to MannKind’s Current Report on Form 8-K (File No. 000-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50865)</w:t>
              </w:r>
              <w:r>
                <w:rPr>
                  <w:rFonts w:ascii="Arial" w:cs="Arial" w:eastAsia="Arial" w:hAnsi="Arial"/>
                  <w:sz w:val="18"/>
                  <w:szCs w:val="18"/>
                  <w:u w:val="single" w:color="auto"/>
                  <w:color w:val="0000EE"/>
                  <w:w w:val="91"/>
                </w:rPr>
                <w:t>,</w:t>
              </w:r>
              <w:r>
                <w:rPr>
                  <w:rFonts w:ascii="Arial" w:cs="Arial" w:eastAsia="Arial" w:hAnsi="Arial"/>
                  <w:sz w:val="18"/>
                  <w:szCs w:val="18"/>
                  <w:color w:val="0000EE"/>
                  <w:w w:val="91"/>
                </w:rPr>
                <w:t xml:space="preserve"> filed with the SEC on July 1, 2013).</w:t>
              </w:r>
            </w:hyperlink>
          </w:p>
        </w:tc>
        <w:tc>
          <w:tcPr>
            <w:tcW w:w="6240" w:type="dxa"/>
            <w:vAlign w:val="bottom"/>
            <w:tcBorders>
              <w:top w:val="single" w:sz="8" w:color="0000EE"/>
            </w:tcBorders>
            <w:gridSpan w:val="13"/>
          </w:tcPr>
          <w:p>
            <w:pPr>
              <w:spacing w:after="0"/>
              <w:rPr>
                <w:sz w:val="17"/>
                <w:szCs w:val="17"/>
                <w:color w:val="auto"/>
              </w:rPr>
            </w:pPr>
          </w:p>
        </w:tc>
        <w:tc>
          <w:tcPr>
            <w:tcW w:w="5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6"/>
              </w:rPr>
            </w:pPr>
            <w:hyperlink r:id="rId93">
              <w:r>
                <w:rPr>
                  <w:rFonts w:ascii="Arial" w:cs="Arial" w:eastAsia="Arial" w:hAnsi="Arial"/>
                  <w:sz w:val="18"/>
                  <w:szCs w:val="18"/>
                  <w:color w:val="0000EE"/>
                  <w:w w:val="96"/>
                </w:rPr>
                <w:t>Form of Warrant to Purchase Common Stock issued November 16, 2015 (incorporated by reference to Exhibit 4.17 to MannKind’s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Annual Report on Form 10-K (File No. 000-50865), filed with the SEC on March 15, 2016).</w:t>
              </w:r>
            </w:hyperlink>
          </w:p>
        </w:tc>
        <w:tc>
          <w:tcPr>
            <w:tcW w:w="2760" w:type="dxa"/>
            <w:vAlign w:val="bottom"/>
            <w:tcBorders>
              <w:top w:val="single" w:sz="8" w:color="0000EE"/>
            </w:tcBorders>
            <w:gridSpan w:val="6"/>
          </w:tcPr>
          <w:p>
            <w:pPr>
              <w:spacing w:after="0"/>
              <w:rPr>
                <w:sz w:val="17"/>
                <w:szCs w:val="17"/>
                <w:color w:val="auto"/>
              </w:rPr>
            </w:pPr>
          </w:p>
        </w:tc>
        <w:tc>
          <w:tcPr>
            <w:tcW w:w="5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Form of Common Stock Purchase Warrant issued December 26, 2018 (incorporated by reference to Exhibit 4.1 to MannKind’s Current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Report on Form 8-K (File No. 000-50865), filed with the SEC on December 21, 2018).</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92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4"/>
                <w:szCs w:val="24"/>
                <w:color w:val="auto"/>
              </w:rPr>
            </w:pPr>
          </w:p>
        </w:tc>
        <w:tc>
          <w:tcPr>
            <w:tcW w:w="9120" w:type="dxa"/>
            <w:vAlign w:val="bottom"/>
            <w:tcBorders>
              <w:bottom w:val="single" w:sz="8" w:color="0000EE"/>
            </w:tcBorders>
            <w:gridSpan w:val="11"/>
          </w:tcPr>
          <w:p>
            <w:pPr>
              <w:spacing w:after="0"/>
              <w:rPr>
                <w:rFonts w:ascii="Arial" w:cs="Arial" w:eastAsia="Arial" w:hAnsi="Arial"/>
                <w:sz w:val="18"/>
                <w:szCs w:val="18"/>
                <w:color w:val="0000EE"/>
                <w:w w:val="90"/>
              </w:rPr>
            </w:pPr>
            <w:hyperlink r:id="rId95">
              <w:r>
                <w:rPr>
                  <w:rFonts w:ascii="Arial" w:cs="Arial" w:eastAsia="Arial" w:hAnsi="Arial"/>
                  <w:sz w:val="18"/>
                  <w:szCs w:val="18"/>
                  <w:color w:val="0000EE"/>
                  <w:w w:val="90"/>
                </w:rPr>
                <w:t>Amendment to Common Stock Purchase Warrant, dated December 22, 2019, by and between MannKind Corporation and CVI</w:t>
              </w:r>
            </w:hyperlink>
          </w:p>
        </w:tc>
        <w:tc>
          <w:tcPr>
            <w:tcW w:w="84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8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Investments, Inc. (incorporated by reference to Exhibit 4.1 to MannKind’s Current Report on Form 8-K (File No. 000-50865), filed with</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the SEC on December 23, 2019)</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4260" w:type="dxa"/>
            <w:vAlign w:val="bottom"/>
            <w:gridSpan w:val="6"/>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5"/>
              </w:rPr>
            </w:pPr>
            <w:hyperlink r:id="rId96">
              <w:r>
                <w:rPr>
                  <w:rFonts w:ascii="Arial" w:cs="Arial" w:eastAsia="Arial" w:hAnsi="Arial"/>
                  <w:sz w:val="18"/>
                  <w:szCs w:val="18"/>
                  <w:color w:val="0000EE"/>
                  <w:w w:val="95"/>
                </w:rPr>
                <w:t>Form of Warrant to Purchase Stock issued to MidCap Financial Trust on August 6, 2019 (incorporated by reference to Exhibit 4.1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r:id="rId96">
              <w:r>
                <w:rPr>
                  <w:rFonts w:ascii="Arial" w:cs="Arial" w:eastAsia="Arial" w:hAnsi="Arial"/>
                  <w:sz w:val="18"/>
                  <w:szCs w:val="18"/>
                  <w:color w:val="0000EE"/>
                  <w:w w:val="93"/>
                </w:rPr>
                <w:t>MannKind’s Current Report on Form 8-K (File No. 000-50865), filed with the SEC on August 7, 2019).</w:t>
              </w:r>
            </w:hyperlink>
          </w:p>
        </w:tc>
        <w:tc>
          <w:tcPr>
            <w:tcW w:w="1980" w:type="dxa"/>
            <w:vAlign w:val="bottom"/>
            <w:tcBorders>
              <w:top w:val="single" w:sz="8" w:color="0000EE"/>
            </w:tcBorders>
            <w:gridSpan w:val="8"/>
          </w:tcPr>
          <w:p>
            <w:pPr>
              <w:spacing w:after="0"/>
              <w:rPr>
                <w:sz w:val="17"/>
                <w:szCs w:val="17"/>
                <w:color w:val="auto"/>
              </w:rPr>
            </w:pPr>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4"/>
              </w:rPr>
            </w:pPr>
            <w:hyperlink r:id="rId97">
              <w:r>
                <w:rPr>
                  <w:rFonts w:ascii="Arial" w:cs="Arial" w:eastAsia="Arial" w:hAnsi="Arial"/>
                  <w:sz w:val="18"/>
                  <w:szCs w:val="18"/>
                  <w:color w:val="0000EE"/>
                  <w:w w:val="94"/>
                </w:rPr>
                <w:t>Form of 5.75% Convertible Senior Subordinated Exchange Notes Due 2024 (incorporated by reference to Exhibit 4.2 to MannKind’s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Current Report on Form 8-K (File No. 000-50865), filed with the SEC on August 7, 2019).</w:t>
              </w:r>
            </w:hyperlink>
          </w:p>
        </w:tc>
        <w:tc>
          <w:tcPr>
            <w:tcW w:w="2980" w:type="dxa"/>
            <w:vAlign w:val="bottom"/>
            <w:tcBorders>
              <w:top w:val="single" w:sz="8" w:color="0000EE"/>
            </w:tcBorders>
            <w:gridSpan w:val="13"/>
          </w:tcPr>
          <w:p>
            <w:pPr>
              <w:spacing w:after="0"/>
              <w:rPr>
                <w:sz w:val="17"/>
                <w:szCs w:val="17"/>
                <w:color w:val="auto"/>
              </w:rPr>
            </w:pPr>
          </w:p>
        </w:tc>
        <w:tc>
          <w:tcPr>
            <w:tcW w:w="3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40" w:type="dxa"/>
            <w:vAlign w:val="bottom"/>
          </w:tcPr>
          <w:p>
            <w:pPr>
              <w:ind w:lef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4"/>
                <w:szCs w:val="24"/>
                <w:color w:val="auto"/>
              </w:rPr>
            </w:pPr>
          </w:p>
        </w:tc>
        <w:tc>
          <w:tcPr>
            <w:tcW w:w="9560" w:type="dxa"/>
            <w:vAlign w:val="bottom"/>
            <w:tcBorders>
              <w:bottom w:val="single" w:sz="8" w:color="0000EE"/>
            </w:tcBorders>
            <w:gridSpan w:val="20"/>
          </w:tcPr>
          <w:p>
            <w:pPr>
              <w:spacing w:after="0"/>
              <w:rPr>
                <w:rFonts w:ascii="Arial" w:cs="Arial" w:eastAsia="Arial" w:hAnsi="Arial"/>
                <w:sz w:val="18"/>
                <w:szCs w:val="18"/>
                <w:color w:val="0000EE"/>
                <w:w w:val="91"/>
              </w:rPr>
            </w:pPr>
            <w:hyperlink r:id="rId97">
              <w:r>
                <w:rPr>
                  <w:rFonts w:ascii="Arial" w:cs="Arial" w:eastAsia="Arial" w:hAnsi="Arial"/>
                  <w:sz w:val="18"/>
                  <w:szCs w:val="18"/>
                  <w:color w:val="0000EE"/>
                  <w:w w:val="91"/>
                </w:rPr>
                <w:t>Indenture, dated as of August 6, 2019, by and between MannKind Corporation and U.S. Bank National Association (incorporated by</w:t>
              </w:r>
            </w:hyperlink>
          </w:p>
        </w:tc>
        <w:tc>
          <w:tcPr>
            <w:tcW w:w="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w w:val="97"/>
              </w:rPr>
            </w:pPr>
            <w:hyperlink r:id="rId97">
              <w:r>
                <w:rPr>
                  <w:rFonts w:ascii="Arial" w:cs="Arial" w:eastAsia="Arial" w:hAnsi="Arial"/>
                  <w:sz w:val="18"/>
                  <w:szCs w:val="18"/>
                  <w:u w:val="single" w:color="auto"/>
                  <w:color w:val="0000EE"/>
                  <w:w w:val="97"/>
                </w:rPr>
                <w:t>reference to Exhibit 4.3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24"/>
                <w:szCs w:val="24"/>
                <w:color w:val="auto"/>
              </w:rPr>
            </w:pPr>
          </w:p>
        </w:tc>
        <w:tc>
          <w:tcPr>
            <w:tcW w:w="9740" w:type="dxa"/>
            <w:vAlign w:val="bottom"/>
            <w:tcBorders>
              <w:bottom w:val="single" w:sz="8" w:color="0000EE"/>
            </w:tcBorders>
            <w:gridSpan w:val="24"/>
          </w:tcPr>
          <w:p>
            <w:pPr>
              <w:spacing w:after="0"/>
              <w:rPr>
                <w:rFonts w:ascii="Arial" w:cs="Arial" w:eastAsia="Arial" w:hAnsi="Arial"/>
                <w:sz w:val="18"/>
                <w:szCs w:val="18"/>
                <w:color w:val="0000EE"/>
                <w:w w:val="91"/>
              </w:rPr>
            </w:pPr>
            <w:hyperlink r:id="rId98">
              <w:r>
                <w:rPr>
                  <w:rFonts w:ascii="Arial" w:cs="Arial" w:eastAsia="Arial" w:hAnsi="Arial"/>
                  <w:sz w:val="18"/>
                  <w:szCs w:val="18"/>
                  <w:color w:val="0000EE"/>
                  <w:w w:val="91"/>
                </w:rPr>
                <w:t>Promissory Note due June 30, 2020 made by MannKind Corporation in favor of Bruce &amp; Co., Inc., dated August 6, 2019 (incorporated</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w w:val="95"/>
              </w:rPr>
            </w:pPr>
            <w:hyperlink r:id="rId98">
              <w:r>
                <w:rPr>
                  <w:rFonts w:ascii="Arial" w:cs="Arial" w:eastAsia="Arial" w:hAnsi="Arial"/>
                  <w:sz w:val="18"/>
                  <w:szCs w:val="18"/>
                  <w:u w:val="single" w:color="auto"/>
                  <w:color w:val="0000EE"/>
                  <w:w w:val="95"/>
                </w:rPr>
                <w:t>by reference to Exhibit 4.4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4"/>
                <w:szCs w:val="24"/>
                <w:color w:val="auto"/>
              </w:rPr>
            </w:pPr>
          </w:p>
        </w:tc>
        <w:tc>
          <w:tcPr>
            <w:tcW w:w="9140" w:type="dxa"/>
            <w:vAlign w:val="bottom"/>
            <w:tcBorders>
              <w:bottom w:val="single" w:sz="8" w:color="0000EE"/>
            </w:tcBorders>
            <w:gridSpan w:val="12"/>
          </w:tcPr>
          <w:p>
            <w:pPr>
              <w:spacing w:after="0"/>
              <w:rPr>
                <w:rFonts w:ascii="Arial" w:cs="Arial" w:eastAsia="Arial" w:hAnsi="Arial"/>
                <w:sz w:val="18"/>
                <w:szCs w:val="18"/>
                <w:color w:val="0000EE"/>
                <w:w w:val="91"/>
              </w:rPr>
            </w:pPr>
            <w:hyperlink r:id="rId99">
              <w:r>
                <w:rPr>
                  <w:rFonts w:ascii="Arial" w:cs="Arial" w:eastAsia="Arial" w:hAnsi="Arial"/>
                  <w:sz w:val="18"/>
                  <w:szCs w:val="18"/>
                  <w:color w:val="0000EE"/>
                  <w:w w:val="91"/>
                </w:rPr>
                <w:t>Promissory Note due December 31, 2020 made by MannKind Corporation in favor of Bruce &amp; Co., Inc., dated August 6, 2019</w:t>
              </w:r>
            </w:hyperlink>
          </w:p>
        </w:tc>
        <w:tc>
          <w:tcPr>
            <w:tcW w:w="8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6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(incorporated by reference to Exhibit 4.5 to MannKind’s Current Report on Form 8-K (File No. 000-50865), filed with the SEC on</w:t>
              </w:r>
            </w:hyperlink>
          </w:p>
        </w:tc>
        <w:tc>
          <w:tcPr>
            <w:tcW w:w="5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August 7,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140" w:type="dxa"/>
            <w:vAlign w:val="bottom"/>
            <w:gridSpan w:val="13"/>
          </w:tcPr>
          <w:p>
            <w:pPr>
              <w:spacing w:after="0" w:line="20" w:lineRule="exact"/>
              <w:rPr>
                <w:sz w:val="1"/>
                <w:szCs w:val="1"/>
                <w:color w:val="auto"/>
              </w:rPr>
            </w:pPr>
          </w:p>
        </w:tc>
        <w:tc>
          <w:tcPr>
            <w:tcW w:w="520" w:type="dxa"/>
            <w:vAlign w:val="bottom"/>
            <w:gridSpan w:val="1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40" w:type="dxa"/>
            <w:vAlign w:val="bottom"/>
          </w:tcPr>
          <w:p>
            <w:pPr>
              <w:ind w:left="180"/>
              <w:spacing w:after="0"/>
              <w:rPr>
                <w:sz w:val="20"/>
                <w:szCs w:val="20"/>
                <w:color w:val="auto"/>
              </w:rPr>
            </w:pPr>
            <w:r>
              <w:rPr>
                <w:rFonts w:ascii="Arial" w:cs="Arial" w:eastAsia="Arial" w:hAnsi="Arial"/>
                <w:sz w:val="18"/>
                <w:szCs w:val="18"/>
                <w:color w:val="auto"/>
              </w:rPr>
              <w:t>4.12</w:t>
            </w:r>
          </w:p>
        </w:tc>
        <w:tc>
          <w:tcPr>
            <w:tcW w:w="140" w:type="dxa"/>
            <w:vAlign w:val="bottom"/>
          </w:tcPr>
          <w:p>
            <w:pPr>
              <w:spacing w:after="0"/>
              <w:rPr>
                <w:sz w:val="24"/>
                <w:szCs w:val="24"/>
                <w:color w:val="auto"/>
              </w:rPr>
            </w:pPr>
          </w:p>
        </w:tc>
        <w:tc>
          <w:tcPr>
            <w:tcW w:w="9860" w:type="dxa"/>
            <w:vAlign w:val="bottom"/>
            <w:tcBorders>
              <w:bottom w:val="single" w:sz="8" w:color="0000EE"/>
            </w:tcBorders>
            <w:gridSpan w:val="2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Convertible Promissory Note made by MannKind Corporation in favor of The Mann Group LLC, dated August 6, 2019 (incorporated by</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u w:val="single" w:color="auto"/>
                <w:color w:val="0000EE"/>
                <w:w w:val="97"/>
              </w:rPr>
            </w:pPr>
            <w:hyperlink r:id="rId100">
              <w:r>
                <w:rPr>
                  <w:rFonts w:ascii="Arial" w:cs="Arial" w:eastAsia="Arial" w:hAnsi="Arial"/>
                  <w:sz w:val="18"/>
                  <w:szCs w:val="18"/>
                  <w:u w:val="single" w:color="auto"/>
                  <w:color w:val="0000EE"/>
                  <w:w w:val="97"/>
                </w:rPr>
                <w:t>reference to Exhibit 4.6 to MannKind’s Current Report on Form 8-K (File No. 000-50865), filed with the SEC on August 7, 2019).</w:t>
              </w:r>
            </w:hyperlink>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Promissory Note made by MannKind Corporation in favor of The Mann Group LLC, dated August 6, 2019 (incorporated by reference to</w:t>
              </w:r>
            </w:hyperlink>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60" w:type="dxa"/>
            <w:vAlign w:val="bottom"/>
            <w:tcBorders>
              <w:top w:val="single" w:sz="8" w:color="0000EE"/>
            </w:tcBorders>
            <w:gridSpan w:val="26"/>
          </w:tcPr>
          <w:p>
            <w:pPr>
              <w:spacing w:after="0"/>
              <w:rPr>
                <w:rFonts w:ascii="Arial" w:cs="Arial" w:eastAsia="Arial" w:hAnsi="Arial"/>
                <w:sz w:val="18"/>
                <w:szCs w:val="18"/>
                <w:u w:val="single" w:color="auto"/>
                <w:color w:val="0000EE"/>
              </w:rPr>
            </w:pPr>
            <w:hyperlink r:id="rId101">
              <w:r>
                <w:rPr>
                  <w:rFonts w:ascii="Arial" w:cs="Arial" w:eastAsia="Arial" w:hAnsi="Arial"/>
                  <w:sz w:val="18"/>
                  <w:szCs w:val="18"/>
                  <w:u w:val="single" w:color="auto"/>
                  <w:color w:val="0000EE"/>
                </w:rPr>
                <w:t>Exhibit 4.7 to MannKind’s Current Report on Form 8-K (File No. 000-50865), filed with the SEC on August 7, 2019).</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140" w:type="dxa"/>
            <w:vAlign w:val="bottom"/>
          </w:tcPr>
          <w:p>
            <w:pPr>
              <w:ind w:left="180"/>
              <w:spacing w:after="0"/>
              <w:rPr>
                <w:sz w:val="20"/>
                <w:szCs w:val="20"/>
                <w:color w:val="auto"/>
              </w:rPr>
            </w:pPr>
            <w:r>
              <w:rPr>
                <w:rFonts w:ascii="Arial" w:cs="Arial" w:eastAsia="Arial" w:hAnsi="Arial"/>
                <w:sz w:val="18"/>
                <w:szCs w:val="18"/>
                <w:color w:val="auto"/>
              </w:rPr>
              <w:t>4.14</w:t>
            </w:r>
          </w:p>
        </w:tc>
        <w:tc>
          <w:tcPr>
            <w:tcW w:w="140" w:type="dxa"/>
            <w:vAlign w:val="bottom"/>
          </w:tcPr>
          <w:p>
            <w:pPr>
              <w:spacing w:after="0"/>
              <w:rPr>
                <w:sz w:val="24"/>
                <w:szCs w:val="24"/>
                <w:color w:val="auto"/>
              </w:rPr>
            </w:pPr>
          </w:p>
        </w:tc>
        <w:tc>
          <w:tcPr>
            <w:tcW w:w="9340" w:type="dxa"/>
            <w:vAlign w:val="bottom"/>
            <w:tcBorders>
              <w:bottom w:val="single" w:sz="8" w:color="0000EE"/>
            </w:tcBorders>
            <w:gridSpan w:val="14"/>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Promissory Note, dated April 9, 2020, by and between MannKind Corporation and JPMorgan Chase Bank, N.A. (incorporated by</w:t>
              </w:r>
            </w:hyperlink>
          </w:p>
        </w:tc>
        <w:tc>
          <w:tcPr>
            <w:tcW w:w="62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960" w:type="dxa"/>
            <w:vAlign w:val="bottom"/>
            <w:gridSpan w:val="29"/>
          </w:tcPr>
          <w:p>
            <w:pPr>
              <w:spacing w:after="0"/>
              <w:rPr>
                <w:rFonts w:ascii="Arial" w:cs="Arial" w:eastAsia="Arial" w:hAnsi="Arial"/>
                <w:sz w:val="18"/>
                <w:szCs w:val="18"/>
                <w:color w:val="0000EE"/>
                <w:w w:val="97"/>
              </w:rPr>
            </w:pPr>
            <w:hyperlink r:id="rId102">
              <w:r>
                <w:rPr>
                  <w:rFonts w:ascii="Arial" w:cs="Arial" w:eastAsia="Arial" w:hAnsi="Arial"/>
                  <w:sz w:val="18"/>
                  <w:szCs w:val="18"/>
                  <w:u w:val="single" w:color="auto"/>
                  <w:color w:val="0000EE"/>
                  <w:w w:val="97"/>
                </w:rPr>
                <w:t>reference to Exhibit 99.1 to MannKind’s Current Report on Form 8-K (File No. 000-50865), filed with the SEC on April 15, 2020)</w:t>
              </w:r>
            </w:hyperlink>
            <w:r>
              <w:rPr>
                <w:rFonts w:ascii="Arial" w:cs="Arial" w:eastAsia="Arial" w:hAnsi="Arial"/>
                <w:sz w:val="18"/>
                <w:szCs w:val="18"/>
                <w:color w:val="000000"/>
                <w:w w:val="97"/>
              </w:rPr>
              <w:t>.</w:t>
            </w:r>
          </w:p>
        </w:tc>
        <w:tc>
          <w:tcPr>
            <w:tcW w:w="0" w:type="dxa"/>
            <w:vAlign w:val="bottom"/>
          </w:tcPr>
          <w:p>
            <w:pPr>
              <w:spacing w:after="0"/>
              <w:rPr>
                <w:sz w:val="1"/>
                <w:szCs w:val="1"/>
                <w:color w:val="auto"/>
              </w:rPr>
            </w:pPr>
          </w:p>
        </w:tc>
      </w:tr>
      <w:tr>
        <w:trPr>
          <w:trHeight w:val="432"/>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80" w:type="dxa"/>
            <w:vAlign w:val="bottom"/>
            <w:gridSpan w:val="6"/>
          </w:tcPr>
          <w:p>
            <w:pPr>
              <w:ind w:left="4260"/>
              <w:spacing w:after="0"/>
              <w:rPr>
                <w:sz w:val="20"/>
                <w:szCs w:val="20"/>
                <w:color w:val="auto"/>
              </w:rPr>
            </w:pPr>
            <w:r>
              <w:rPr>
                <w:rFonts w:ascii="Arial" w:cs="Arial" w:eastAsia="Arial" w:hAnsi="Arial"/>
                <w:sz w:val="18"/>
                <w:szCs w:val="18"/>
                <w:color w:val="auto"/>
              </w:rPr>
              <w:t>65</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99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99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9960" w:type="dxa"/>
            <w:vAlign w:val="bottom"/>
            <w:gridSpan w:val="8"/>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MannKind Corporation 2018 Equity Incentive Plan, as amended.</w:t>
              </w:r>
            </w:hyperlink>
          </w:p>
        </w:tc>
        <w:tc>
          <w:tcPr>
            <w:tcW w:w="0" w:type="dxa"/>
            <w:vAlign w:val="bottom"/>
          </w:tcPr>
          <w:p>
            <w:pPr>
              <w:spacing w:after="0"/>
              <w:rPr>
                <w:sz w:val="1"/>
                <w:szCs w:val="1"/>
                <w:color w:val="auto"/>
              </w:rPr>
            </w:pPr>
          </w:p>
        </w:tc>
      </w:tr>
      <w:tr>
        <w:trPr>
          <w:trHeight w:val="297"/>
        </w:trPr>
        <w:tc>
          <w:tcPr>
            <w:tcW w:w="1280" w:type="dxa"/>
            <w:vAlign w:val="bottom"/>
          </w:tcPr>
          <w:p>
            <w:pPr>
              <w:ind w:left="100"/>
              <w:spacing w:after="0"/>
              <w:rPr>
                <w:sz w:val="20"/>
                <w:szCs w:val="20"/>
                <w:color w:val="auto"/>
              </w:rPr>
            </w:pPr>
            <w:r>
              <w:rPr>
                <w:rFonts w:ascii="Arial" w:cs="Arial" w:eastAsia="Arial" w:hAnsi="Arial"/>
                <w:sz w:val="18"/>
                <w:szCs w:val="18"/>
                <w:color w:val="auto"/>
              </w:rPr>
              <w:t>31.1</w:t>
            </w:r>
          </w:p>
        </w:tc>
        <w:tc>
          <w:tcPr>
            <w:tcW w:w="936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96">
              <w:r>
                <w:rPr>
                  <w:rFonts w:ascii="Arial" w:cs="Arial" w:eastAsia="Arial" w:hAnsi="Arial"/>
                  <w:sz w:val="18"/>
                  <w:szCs w:val="18"/>
                  <w:color w:val="0000EE"/>
                  <w:w w:val="91"/>
                </w:rPr>
                <w:t>Certification of the Chief Executive Officer pursuant to Rules 13a-14(a) and 15d-14(a) of the Securities Exchange Act of 1934, as</w:t>
              </w:r>
            </w:hyperlink>
          </w:p>
        </w:tc>
        <w:tc>
          <w:tcPr>
            <w:tcW w:w="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96">
              <w:r>
                <w:rPr>
                  <w:rFonts w:ascii="Arial" w:cs="Arial" w:eastAsia="Arial" w:hAnsi="Arial"/>
                  <w:sz w:val="18"/>
                  <w:szCs w:val="18"/>
                  <w:color w:val="0000EE"/>
                  <w:w w:val="84"/>
                </w:rPr>
                <w:t>amended.</w:t>
              </w:r>
            </w:hyperlink>
          </w:p>
        </w:tc>
        <w:tc>
          <w:tcPr>
            <w:tcW w:w="92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31.2</w:t>
            </w:r>
          </w:p>
        </w:tc>
        <w:tc>
          <w:tcPr>
            <w:tcW w:w="9960" w:type="dxa"/>
            <w:vAlign w:val="bottom"/>
            <w:gridSpan w:val="8"/>
          </w:tcPr>
          <w:p>
            <w:pPr>
              <w:spacing w:after="0"/>
              <w:rPr>
                <w:rFonts w:ascii="Arial" w:cs="Arial" w:eastAsia="Arial" w:hAnsi="Arial"/>
                <w:sz w:val="18"/>
                <w:szCs w:val="18"/>
                <w:color w:val="0000EE"/>
                <w:w w:val="97"/>
              </w:rPr>
            </w:pPr>
            <w:hyperlink w:anchor="page97">
              <w:r>
                <w:rPr>
                  <w:rFonts w:ascii="Arial" w:cs="Arial" w:eastAsia="Arial" w:hAnsi="Arial"/>
                  <w:sz w:val="18"/>
                  <w:szCs w:val="18"/>
                  <w:color w:val="0000EE"/>
                  <w:w w:val="97"/>
                </w:rPr>
                <w:t>Certification of the Chief Financial Officer pursuant to Rules 13a-14(a) and 15d-14(a)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97">
              <w:r>
                <w:rPr>
                  <w:rFonts w:ascii="Arial" w:cs="Arial" w:eastAsia="Arial" w:hAnsi="Arial"/>
                  <w:sz w:val="18"/>
                  <w:szCs w:val="18"/>
                  <w:color w:val="0000EE"/>
                  <w:w w:val="84"/>
                </w:rPr>
                <w:t>amended.</w:t>
              </w:r>
            </w:hyperlink>
          </w:p>
        </w:tc>
        <w:tc>
          <w:tcPr>
            <w:tcW w:w="8600" w:type="dxa"/>
            <w:vAlign w:val="bottom"/>
            <w:tcBorders>
              <w:top w:val="single" w:sz="8" w:color="0000EE"/>
            </w:tcBorders>
            <w:gridSpan w:val="3"/>
          </w:tcPr>
          <w:p>
            <w:pPr>
              <w:spacing w:after="0"/>
              <w:rPr>
                <w:sz w:val="17"/>
                <w:szCs w:val="17"/>
                <w:color w:val="auto"/>
              </w:rPr>
            </w:pPr>
          </w:p>
        </w:tc>
        <w:tc>
          <w:tcPr>
            <w:tcW w:w="6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32.1</w:t>
            </w:r>
          </w:p>
        </w:tc>
        <w:tc>
          <w:tcPr>
            <w:tcW w:w="93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98">
              <w:r>
                <w:rPr>
                  <w:rFonts w:ascii="Arial" w:cs="Arial" w:eastAsia="Arial" w:hAnsi="Arial"/>
                  <w:sz w:val="18"/>
                  <w:szCs w:val="18"/>
                  <w:color w:val="0000EE"/>
                  <w:w w:val="91"/>
                </w:rPr>
                <w:t>Certification of the Chief Executive Officer pursuant to Rules 13a-14(b) and 15d-14(b) of the Securities Exchange Act of 1934, as</w:t>
              </w:r>
            </w:hyperlink>
          </w:p>
        </w:tc>
        <w:tc>
          <w:tcPr>
            <w:tcW w:w="5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710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98">
              <w:r>
                <w:rPr>
                  <w:rFonts w:ascii="Arial" w:cs="Arial" w:eastAsia="Arial" w:hAnsi="Arial"/>
                  <w:sz w:val="18"/>
                  <w:szCs w:val="18"/>
                  <w:color w:val="0000EE"/>
                  <w:w w:val="90"/>
                </w:rPr>
                <w:t>amended and Section 1350 of Chapter 63 of Title 18 of the United States Code (18 U.S.C. §1350).</w:t>
              </w:r>
            </w:hyperlink>
          </w:p>
        </w:tc>
        <w:tc>
          <w:tcPr>
            <w:tcW w:w="28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80" w:type="dxa"/>
            <w:vAlign w:val="bottom"/>
          </w:tcPr>
          <w:p>
            <w:pPr>
              <w:ind w:left="100"/>
              <w:spacing w:after="0"/>
              <w:rPr>
                <w:sz w:val="20"/>
                <w:szCs w:val="20"/>
                <w:color w:val="auto"/>
              </w:rPr>
            </w:pPr>
            <w:r>
              <w:rPr>
                <w:rFonts w:ascii="Arial" w:cs="Arial" w:eastAsia="Arial" w:hAnsi="Arial"/>
                <w:sz w:val="18"/>
                <w:szCs w:val="18"/>
                <w:color w:val="auto"/>
              </w:rPr>
              <w:t>32.2</w:t>
            </w:r>
          </w:p>
        </w:tc>
        <w:tc>
          <w:tcPr>
            <w:tcW w:w="9960" w:type="dxa"/>
            <w:vAlign w:val="bottom"/>
            <w:gridSpan w:val="8"/>
          </w:tcPr>
          <w:p>
            <w:pPr>
              <w:spacing w:after="0"/>
              <w:rPr>
                <w:rFonts w:ascii="Arial" w:cs="Arial" w:eastAsia="Arial" w:hAnsi="Arial"/>
                <w:sz w:val="18"/>
                <w:szCs w:val="18"/>
                <w:color w:val="0000EE"/>
                <w:w w:val="97"/>
              </w:rPr>
            </w:pPr>
            <w:hyperlink w:anchor="page99">
              <w:r>
                <w:rPr>
                  <w:rFonts w:ascii="Arial" w:cs="Arial" w:eastAsia="Arial" w:hAnsi="Arial"/>
                  <w:sz w:val="18"/>
                  <w:szCs w:val="18"/>
                  <w:color w:val="0000EE"/>
                  <w:w w:val="97"/>
                </w:rPr>
                <w:t>Certification of the Chief Financial Officer pursuant to Rules 13a-14(b) and 15d-14(b) of the Securities Exchange Act of 1934, as</w:t>
              </w:r>
            </w:hyperlink>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99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amended and Section 1350 of Chapter 63 of Title 18 of the United States Code (18 U.S.C. §1350).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280" w:type="dxa"/>
            <w:vAlign w:val="bottom"/>
          </w:tcPr>
          <w:p>
            <w:pPr>
              <w:ind w:left="100"/>
              <w:spacing w:after="0"/>
              <w:rPr>
                <w:sz w:val="20"/>
                <w:szCs w:val="20"/>
                <w:color w:val="auto"/>
              </w:rPr>
            </w:pPr>
            <w:r>
              <w:rPr>
                <w:rFonts w:ascii="Arial" w:cs="Arial" w:eastAsia="Arial" w:hAnsi="Arial"/>
                <w:sz w:val="18"/>
                <w:szCs w:val="18"/>
                <w:color w:val="auto"/>
              </w:rPr>
              <w:t>101</w:t>
            </w:r>
          </w:p>
        </w:tc>
        <w:tc>
          <w:tcPr>
            <w:tcW w:w="70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Interactive Data Files pursuant to Rule 405 of Regulation S-T.</w:t>
            </w:r>
          </w:p>
        </w:tc>
        <w:tc>
          <w:tcPr>
            <w:tcW w:w="28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80" w:type="dxa"/>
            <w:vAlign w:val="bottom"/>
          </w:tcPr>
          <w:p>
            <w:pPr>
              <w:ind w:left="100"/>
              <w:spacing w:after="0"/>
              <w:rPr>
                <w:sz w:val="20"/>
                <w:szCs w:val="20"/>
                <w:color w:val="auto"/>
              </w:rPr>
            </w:pPr>
            <w:r>
              <w:rPr>
                <w:rFonts w:ascii="Arial" w:cs="Arial" w:eastAsia="Arial" w:hAnsi="Arial"/>
                <w:sz w:val="18"/>
                <w:szCs w:val="18"/>
                <w:color w:val="auto"/>
              </w:rPr>
              <w:t>104</w:t>
            </w:r>
          </w:p>
        </w:tc>
        <w:tc>
          <w:tcPr>
            <w:tcW w:w="9960" w:type="dxa"/>
            <w:vAlign w:val="bottom"/>
            <w:gridSpan w:val="8"/>
          </w:tcPr>
          <w:p>
            <w:pPr>
              <w:spacing w:after="0"/>
              <w:rPr>
                <w:sz w:val="20"/>
                <w:szCs w:val="20"/>
                <w:color w:val="auto"/>
              </w:rPr>
            </w:pPr>
            <w:r>
              <w:rPr>
                <w:rFonts w:ascii="Arial" w:cs="Arial" w:eastAsia="Arial" w:hAnsi="Arial"/>
                <w:sz w:val="18"/>
                <w:szCs w:val="18"/>
                <w:color w:val="auto"/>
              </w:rPr>
              <w:t>The cover page has been formatted in Inline XBRL.</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0"/>
        <w:spacing w:after="0"/>
        <w:rPr>
          <w:sz w:val="20"/>
          <w:szCs w:val="20"/>
          <w:color w:val="auto"/>
        </w:rPr>
      </w:pPr>
      <w:r>
        <w:rPr>
          <w:rFonts w:ascii="Arial" w:cs="Arial" w:eastAsia="Arial" w:hAnsi="Arial"/>
          <w:sz w:val="18"/>
          <w:szCs w:val="18"/>
          <w:color w:val="auto"/>
        </w:rPr>
        <w:t>______________________</w:t>
      </w:r>
    </w:p>
    <w:p>
      <w:pPr>
        <w:spacing w:after="0" w:line="50" w:lineRule="exact"/>
        <w:rPr>
          <w:sz w:val="20"/>
          <w:szCs w:val="20"/>
          <w:color w:val="auto"/>
        </w:rPr>
      </w:pPr>
    </w:p>
    <w:p>
      <w:pPr>
        <w:ind w:left="860" w:hanging="852"/>
        <w:spacing w:after="0"/>
        <w:tabs>
          <w:tab w:leader="none" w:pos="8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67" w:name="page68"/>
    <w:bookmarkEnd w:id="67"/>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Dated: August 5, 2020</w:t>
      </w:r>
      <w:r>
        <w:rPr>
          <w:sz w:val="20"/>
          <w:szCs w:val="20"/>
          <w:color w:val="auto"/>
        </w:rPr>
        <w:tab/>
      </w:r>
      <w:r>
        <w:rPr>
          <w:rFonts w:ascii="Arial" w:cs="Arial" w:eastAsia="Arial" w:hAnsi="Arial"/>
          <w:sz w:val="17"/>
          <w:szCs w:val="17"/>
          <w:color w:val="auto"/>
        </w:rPr>
        <w:t>MANNKIND CORPORATION</w:t>
      </w:r>
    </w:p>
    <w:p>
      <w:pPr>
        <w:spacing w:after="0" w:line="252"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(on behalf of the registrant and as the registrant’s Principal</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Officer)</w:t>
      </w:r>
    </w:p>
    <w:p>
      <w:pPr>
        <w:spacing w:after="0" w:line="238"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20"/>
          </w:cols>
          <w:pgMar w:left="320" w:top="337" w:right="35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10.1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M</w:t>
      </w:r>
      <w:r>
        <w:rPr>
          <w:rFonts w:ascii="Arial" w:cs="Arial" w:eastAsia="Arial" w:hAnsi="Arial"/>
          <w:sz w:val="17"/>
          <w:szCs w:val="17"/>
          <w:b w:val="1"/>
          <w:bCs w:val="1"/>
          <w:color w:val="auto"/>
        </w:rPr>
        <w:t>ANN</w:t>
      </w:r>
      <w:r>
        <w:rPr>
          <w:rFonts w:ascii="Arial" w:cs="Arial" w:eastAsia="Arial" w:hAnsi="Arial"/>
          <w:sz w:val="25"/>
          <w:szCs w:val="25"/>
          <w:b w:val="1"/>
          <w:bCs w:val="1"/>
          <w:color w:val="auto"/>
        </w:rPr>
        <w:t>K</w:t>
      </w:r>
      <w:r>
        <w:rPr>
          <w:rFonts w:ascii="Arial" w:cs="Arial" w:eastAsia="Arial" w:hAnsi="Arial"/>
          <w:sz w:val="17"/>
          <w:szCs w:val="17"/>
          <w:b w:val="1"/>
          <w:bCs w:val="1"/>
          <w:color w:val="auto"/>
        </w:rPr>
        <w:t>IND</w:t>
      </w:r>
      <w:r>
        <w:rPr>
          <w:rFonts w:ascii="Arial" w:cs="Arial" w:eastAsia="Arial" w:hAnsi="Arial"/>
          <w:sz w:val="25"/>
          <w:szCs w:val="25"/>
          <w:b w:val="1"/>
          <w:bCs w:val="1"/>
          <w:color w:val="auto"/>
        </w:rPr>
        <w:t xml:space="preserve"> C</w:t>
      </w:r>
      <w:r>
        <w:rPr>
          <w:rFonts w:ascii="Arial" w:cs="Arial" w:eastAsia="Arial" w:hAnsi="Arial"/>
          <w:sz w:val="17"/>
          <w:szCs w:val="17"/>
          <w:b w:val="1"/>
          <w:bCs w:val="1"/>
          <w:color w:val="auto"/>
        </w:rPr>
        <w:t>ORPORATION</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2018 E</w:t>
      </w:r>
      <w:r>
        <w:rPr>
          <w:rFonts w:ascii="Arial" w:cs="Arial" w:eastAsia="Arial" w:hAnsi="Arial"/>
          <w:sz w:val="17"/>
          <w:szCs w:val="17"/>
          <w:b w:val="1"/>
          <w:bCs w:val="1"/>
          <w:color w:val="auto"/>
        </w:rPr>
        <w:t>QUITY</w:t>
      </w:r>
      <w:r>
        <w:rPr>
          <w:rFonts w:ascii="Arial" w:cs="Arial" w:eastAsia="Arial" w:hAnsi="Arial"/>
          <w:sz w:val="25"/>
          <w:szCs w:val="25"/>
          <w:b w:val="1"/>
          <w:bCs w:val="1"/>
          <w:color w:val="auto"/>
        </w:rPr>
        <w:t xml:space="preserve">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DOPTED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F</w:t>
      </w:r>
      <w:r>
        <w:rPr>
          <w:rFonts w:ascii="Arial" w:cs="Arial" w:eastAsia="Arial" w:hAnsi="Arial"/>
          <w:sz w:val="14"/>
          <w:szCs w:val="14"/>
          <w:b w:val="1"/>
          <w:bCs w:val="1"/>
          <w:color w:val="auto"/>
        </w:rPr>
        <w:t>EBRUARY</w:t>
      </w:r>
      <w:r>
        <w:rPr>
          <w:rFonts w:ascii="Arial" w:cs="Arial" w:eastAsia="Arial" w:hAnsi="Arial"/>
          <w:sz w:val="22"/>
          <w:szCs w:val="22"/>
          <w:b w:val="1"/>
          <w:bCs w:val="1"/>
          <w:color w:val="auto"/>
        </w:rPr>
        <w:t xml:space="preserve"> 21, 2018</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16, 2018</w:t>
      </w:r>
    </w:p>
    <w:p>
      <w:pPr>
        <w:jc w:val="center"/>
        <w:spacing w:after="0" w:line="230" w:lineRule="auto"/>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MENDED BY THE</w:t>
      </w:r>
      <w:r>
        <w:rPr>
          <w:rFonts w:ascii="Arial" w:cs="Arial" w:eastAsia="Arial" w:hAnsi="Arial"/>
          <w:sz w:val="22"/>
          <w:szCs w:val="22"/>
          <w:b w:val="1"/>
          <w:bCs w:val="1"/>
          <w:color w:val="auto"/>
        </w:rPr>
        <w:t xml:space="preserve"> B</w:t>
      </w:r>
      <w:r>
        <w:rPr>
          <w:rFonts w:ascii="Arial" w:cs="Arial" w:eastAsia="Arial" w:hAnsi="Arial"/>
          <w:sz w:val="14"/>
          <w:szCs w:val="14"/>
          <w:b w:val="1"/>
          <w:bCs w:val="1"/>
          <w:color w:val="auto"/>
        </w:rPr>
        <w:t>OARD OF</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IRECTORS</w:t>
      </w:r>
      <w:r>
        <w:rPr>
          <w:rFonts w:ascii="Arial" w:cs="Arial" w:eastAsia="Arial" w:hAnsi="Arial"/>
          <w:sz w:val="22"/>
          <w:szCs w:val="22"/>
          <w:b w:val="1"/>
          <w:bCs w:val="1"/>
          <w:color w:val="auto"/>
        </w:rPr>
        <w:t>: M</w:t>
      </w:r>
      <w:r>
        <w:rPr>
          <w:rFonts w:ascii="Arial" w:cs="Arial" w:eastAsia="Arial" w:hAnsi="Arial"/>
          <w:sz w:val="14"/>
          <w:szCs w:val="14"/>
          <w:b w:val="1"/>
          <w:bCs w:val="1"/>
          <w:color w:val="auto"/>
        </w:rPr>
        <w:t>ARCH</w:t>
      </w:r>
      <w:r>
        <w:rPr>
          <w:rFonts w:ascii="Arial" w:cs="Arial" w:eastAsia="Arial" w:hAnsi="Arial"/>
          <w:sz w:val="22"/>
          <w:szCs w:val="22"/>
          <w:b w:val="1"/>
          <w:bCs w:val="1"/>
          <w:color w:val="auto"/>
        </w:rPr>
        <w:t xml:space="preserve"> 23, 2020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MENDMENT</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PPROVED BY THE</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TOCKHOLDERS</w:t>
      </w:r>
      <w:r>
        <w:rPr>
          <w:rFonts w:ascii="Arial" w:cs="Arial" w:eastAsia="Arial" w:hAnsi="Arial"/>
          <w:sz w:val="22"/>
          <w:szCs w:val="22"/>
          <w:b w:val="1"/>
          <w:bCs w:val="1"/>
          <w:color w:val="auto"/>
        </w:rPr>
        <w:t>: M</w:t>
      </w:r>
      <w:r>
        <w:rPr>
          <w:rFonts w:ascii="Arial" w:cs="Arial" w:eastAsia="Arial" w:hAnsi="Arial"/>
          <w:sz w:val="14"/>
          <w:szCs w:val="14"/>
          <w:b w:val="1"/>
          <w:bCs w:val="1"/>
          <w:color w:val="auto"/>
        </w:rPr>
        <w:t>AY</w:t>
      </w:r>
      <w:r>
        <w:rPr>
          <w:rFonts w:ascii="Arial" w:cs="Arial" w:eastAsia="Arial" w:hAnsi="Arial"/>
          <w:sz w:val="22"/>
          <w:szCs w:val="22"/>
          <w:b w:val="1"/>
          <w:bCs w:val="1"/>
          <w:color w:val="auto"/>
        </w:rPr>
        <w:t xml:space="preserve"> 21, 2020</w:t>
      </w:r>
    </w:p>
    <w:p>
      <w:pPr>
        <w:spacing w:after="0" w:line="182" w:lineRule="exact"/>
        <w:rPr>
          <w:sz w:val="20"/>
          <w:szCs w:val="20"/>
          <w:color w:val="auto"/>
        </w:rPr>
      </w:pPr>
    </w:p>
    <w:p>
      <w:pPr>
        <w:spacing w:after="0"/>
        <w:tabs>
          <w:tab w:leader="none" w:pos="178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22"/>
          <w:szCs w:val="22"/>
          <w:b w:val="1"/>
          <w:bCs w:val="1"/>
          <w:color w:val="auto"/>
        </w:rPr>
        <w:t>G</w:t>
      </w:r>
      <w:r>
        <w:rPr>
          <w:rFonts w:ascii="Arial" w:cs="Arial" w:eastAsia="Arial" w:hAnsi="Arial"/>
          <w:sz w:val="14"/>
          <w:szCs w:val="14"/>
          <w:b w:val="1"/>
          <w:bCs w:val="1"/>
          <w:color w:val="auto"/>
        </w:rPr>
        <w:t>ENERAL</w:t>
      </w:r>
      <w:r>
        <w:rPr>
          <w:rFonts w:ascii="Arial" w:cs="Arial" w:eastAsia="Arial" w:hAnsi="Arial"/>
          <w:sz w:val="22"/>
          <w:szCs w:val="22"/>
          <w:b w:val="1"/>
          <w:bCs w:val="1"/>
          <w:color w:val="auto"/>
        </w:rPr>
        <w:t>.</w:t>
      </w:r>
    </w:p>
    <w:p>
      <w:pPr>
        <w:spacing w:after="0" w:line="206" w:lineRule="exact"/>
        <w:rPr>
          <w:sz w:val="20"/>
          <w:szCs w:val="20"/>
          <w:color w:val="auto"/>
        </w:rPr>
      </w:pPr>
    </w:p>
    <w:p>
      <w:pPr>
        <w:jc w:val="both"/>
        <w:ind w:firstLine="872"/>
        <w:spacing w:after="0" w:line="270" w:lineRule="auto"/>
        <w:tabs>
          <w:tab w:leader="none" w:pos="2411"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Successor to and Continuation of Prior Plans. </w:t>
      </w:r>
      <w:r>
        <w:rPr>
          <w:rFonts w:ascii="Arial" w:cs="Arial" w:eastAsia="Arial" w:hAnsi="Arial"/>
          <w:sz w:val="19"/>
          <w:szCs w:val="19"/>
          <w:color w:val="auto"/>
        </w:rPr>
        <w:t>The Plan is intended as the successor to and</w:t>
      </w:r>
      <w:r>
        <w:rPr>
          <w:rFonts w:ascii="Arial" w:cs="Arial" w:eastAsia="Arial" w:hAnsi="Arial"/>
          <w:sz w:val="19"/>
          <w:szCs w:val="19"/>
          <w:b w:val="1"/>
          <w:bCs w:val="1"/>
          <w:color w:val="auto"/>
        </w:rPr>
        <w:t xml:space="preserve"> </w:t>
      </w:r>
      <w:r>
        <w:rPr>
          <w:rFonts w:ascii="Arial" w:cs="Arial" w:eastAsia="Arial" w:hAnsi="Arial"/>
          <w:sz w:val="19"/>
          <w:szCs w:val="19"/>
          <w:color w:val="auto"/>
        </w:rPr>
        <w:t>continuation of the MannKind Corporation 2013 Equity Incentive Plan (the “</w:t>
      </w:r>
      <w:r>
        <w:rPr>
          <w:rFonts w:ascii="Arial" w:cs="Arial" w:eastAsia="Arial" w:hAnsi="Arial"/>
          <w:sz w:val="19"/>
          <w:szCs w:val="19"/>
          <w:b w:val="1"/>
          <w:bCs w:val="1"/>
          <w:i w:val="1"/>
          <w:iCs w:val="1"/>
          <w:color w:val="auto"/>
        </w:rPr>
        <w:t>2013 Plan</w:t>
      </w:r>
      <w:r>
        <w:rPr>
          <w:rFonts w:ascii="Arial" w:cs="Arial" w:eastAsia="Arial" w:hAnsi="Arial"/>
          <w:sz w:val="19"/>
          <w:szCs w:val="19"/>
          <w:color w:val="auto"/>
        </w:rPr>
        <w:t>”) and the MannKind Corporation 2004 Equity Incentive Plan (the “</w:t>
      </w:r>
      <w:r>
        <w:rPr>
          <w:rFonts w:ascii="Arial" w:cs="Arial" w:eastAsia="Arial" w:hAnsi="Arial"/>
          <w:sz w:val="19"/>
          <w:szCs w:val="19"/>
          <w:b w:val="1"/>
          <w:bCs w:val="1"/>
          <w:i w:val="1"/>
          <w:iCs w:val="1"/>
          <w:color w:val="auto"/>
        </w:rPr>
        <w:t>2004 Plan</w:t>
      </w:r>
      <w:r>
        <w:rPr>
          <w:rFonts w:ascii="Arial" w:cs="Arial" w:eastAsia="Arial" w:hAnsi="Arial"/>
          <w:sz w:val="19"/>
          <w:szCs w:val="19"/>
          <w:color w:val="auto"/>
        </w:rPr>
        <w:t>”, and together with the 2013 Plan, the “</w:t>
      </w:r>
      <w:r>
        <w:rPr>
          <w:rFonts w:ascii="Arial" w:cs="Arial" w:eastAsia="Arial" w:hAnsi="Arial"/>
          <w:sz w:val="19"/>
          <w:szCs w:val="19"/>
          <w:b w:val="1"/>
          <w:bCs w:val="1"/>
          <w:i w:val="1"/>
          <w:iCs w:val="1"/>
          <w:color w:val="auto"/>
        </w:rPr>
        <w:t>Prior Plans</w:t>
      </w:r>
      <w:r>
        <w:rPr>
          <w:rFonts w:ascii="Arial" w:cs="Arial" w:eastAsia="Arial" w:hAnsi="Arial"/>
          <w:sz w:val="19"/>
          <w:szCs w:val="19"/>
          <w:color w:val="auto"/>
        </w:rPr>
        <w:t>”). Following the Effective Date, no additional stock awards may be granted under the Prior Plans. Any unallocated shares remaining available for grant under the Prior Plans as of 12:01 a.m., Pacific Time on the Effective Date (the “</w:t>
      </w:r>
      <w:r>
        <w:rPr>
          <w:rFonts w:ascii="Arial" w:cs="Arial" w:eastAsia="Arial" w:hAnsi="Arial"/>
          <w:sz w:val="19"/>
          <w:szCs w:val="19"/>
          <w:b w:val="1"/>
          <w:bCs w:val="1"/>
          <w:i w:val="1"/>
          <w:iCs w:val="1"/>
          <w:color w:val="auto"/>
        </w:rPr>
        <w:t>Prior Plans’ Available Reserve</w:t>
      </w:r>
      <w:r>
        <w:rPr>
          <w:rFonts w:ascii="Arial" w:cs="Arial" w:eastAsia="Arial" w:hAnsi="Arial"/>
          <w:sz w:val="19"/>
          <w:szCs w:val="19"/>
          <w:color w:val="auto"/>
        </w:rPr>
        <w:t xml:space="preserve">”) will cease to be available under the such Prior Plans at such time and will be added to the Share Reserve (as further described in Section 3(a) below) and be then immediately available for grant and issuance pursuant to Stock Awards granted under the Plan. In addition, from and after 12:01 a.m., Pacific Time on the Effective Date, all outstanding stock awards granted under the Prior Plans will remain subject to the terms of such Prior Plans, as applicable; </w:t>
      </w:r>
      <w:r>
        <w:rPr>
          <w:rFonts w:ascii="Arial" w:cs="Arial" w:eastAsia="Arial" w:hAnsi="Arial"/>
          <w:sz w:val="19"/>
          <w:szCs w:val="19"/>
          <w:i w:val="1"/>
          <w:iCs w:val="1"/>
          <w:color w:val="auto"/>
        </w:rPr>
        <w:t>provided, however</w:t>
      </w:r>
      <w:r>
        <w:rPr>
          <w:rFonts w:ascii="Arial" w:cs="Arial" w:eastAsia="Arial" w:hAnsi="Arial"/>
          <w:sz w:val="19"/>
          <w:szCs w:val="19"/>
          <w:color w:val="auto"/>
        </w:rPr>
        <w:t>, that any shares subject to outstanding stock awards granted under the Prior Plans that (i) expire or terminate for any reason prior to exercise or settlement, (ii) are forfeited, cancelled or otherwise returned to the Company because of the failure to meet a contingency or condition required for the vesting of such shares, or (iii) other than with respect to outstanding options and stock appreciation rights granted under the Prior Plans, with respect to which the exercise or strike price is at least one hundred percent (100%) of the Fair Market Value of the Common Stock subject to the option or stock appreciation right on the date of grant (the “</w:t>
      </w:r>
      <w:r>
        <w:rPr>
          <w:rFonts w:ascii="Arial" w:cs="Arial" w:eastAsia="Arial" w:hAnsi="Arial"/>
          <w:sz w:val="19"/>
          <w:szCs w:val="19"/>
          <w:b w:val="1"/>
          <w:bCs w:val="1"/>
          <w:i w:val="1"/>
          <w:iCs w:val="1"/>
          <w:color w:val="auto"/>
        </w:rPr>
        <w:t>Prior Plans’ Appreciation Awards</w:t>
      </w:r>
      <w:r>
        <w:rPr>
          <w:rFonts w:ascii="Arial" w:cs="Arial" w:eastAsia="Arial" w:hAnsi="Arial"/>
          <w:sz w:val="19"/>
          <w:szCs w:val="19"/>
          <w:color w:val="auto"/>
        </w:rPr>
        <w:t>”), are reacquired or withheld (or not issued) by the Company to satisfy a tax withholding obligation in connection with a stock award (collectively, the “</w:t>
      </w:r>
      <w:r>
        <w:rPr>
          <w:rFonts w:ascii="Arial" w:cs="Arial" w:eastAsia="Arial" w:hAnsi="Arial"/>
          <w:sz w:val="19"/>
          <w:szCs w:val="19"/>
          <w:b w:val="1"/>
          <w:bCs w:val="1"/>
          <w:i w:val="1"/>
          <w:iCs w:val="1"/>
          <w:color w:val="auto"/>
        </w:rPr>
        <w:t>Prior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Plans’ Returning Shares</w:t>
      </w:r>
      <w:r>
        <w:rPr>
          <w:rFonts w:ascii="Arial" w:cs="Arial" w:eastAsia="Arial" w:hAnsi="Arial"/>
          <w:sz w:val="19"/>
          <w:szCs w:val="19"/>
          <w:color w:val="auto"/>
        </w:rPr>
        <w:t>”) will immediately be added to the Share Reserve (as further described in Section 3(a) below) as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when such shares become Prior Plans’ Returning Shares and become available for issuance pursuant to Awards granted hereunder. All Stock Awards granted on or after 12:01 a.m., Pacific Time on the Effective Date will be subject to the terms of this Plan.</w:t>
      </w:r>
    </w:p>
    <w:p>
      <w:pPr>
        <w:spacing w:after="0" w:line="200" w:lineRule="exact"/>
        <w:rPr>
          <w:rFonts w:ascii="Arial" w:cs="Arial" w:eastAsia="Arial" w:hAnsi="Arial"/>
          <w:sz w:val="19"/>
          <w:szCs w:val="19"/>
          <w:b w:val="1"/>
          <w:bCs w:val="1"/>
          <w:color w:val="auto"/>
        </w:rPr>
      </w:pPr>
    </w:p>
    <w:p>
      <w:pPr>
        <w:spacing w:after="0" w:line="208" w:lineRule="exact"/>
        <w:rPr>
          <w:rFonts w:ascii="Arial" w:cs="Arial" w:eastAsia="Arial" w:hAnsi="Arial"/>
          <w:sz w:val="19"/>
          <w:szCs w:val="19"/>
          <w:b w:val="1"/>
          <w:bCs w:val="1"/>
          <w:color w:val="auto"/>
        </w:rPr>
      </w:pPr>
    </w:p>
    <w:p>
      <w:pPr>
        <w:ind w:left="2440" w:hanging="1568"/>
        <w:spacing w:after="0"/>
        <w:tabs>
          <w:tab w:leader="none" w:pos="244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Eligible Award Recipients.  </w:t>
      </w:r>
      <w:r>
        <w:rPr>
          <w:rFonts w:ascii="Arial" w:cs="Arial" w:eastAsia="Arial" w:hAnsi="Arial"/>
          <w:sz w:val="19"/>
          <w:szCs w:val="19"/>
          <w:color w:val="auto"/>
        </w:rPr>
        <w:t>Employees, Directors and Consultants are eligible to receive Stock</w:t>
      </w:r>
    </w:p>
    <w:p>
      <w:pPr>
        <w:spacing w:after="0" w:line="48"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Awards.</w:t>
      </w:r>
    </w:p>
    <w:p>
      <w:pPr>
        <w:spacing w:after="0" w:line="182" w:lineRule="exact"/>
        <w:rPr>
          <w:rFonts w:ascii="Arial" w:cs="Arial" w:eastAsia="Arial" w:hAnsi="Arial"/>
          <w:sz w:val="19"/>
          <w:szCs w:val="19"/>
          <w:b w:val="1"/>
          <w:bCs w:val="1"/>
          <w:color w:val="auto"/>
        </w:rPr>
      </w:pPr>
    </w:p>
    <w:p>
      <w:pPr>
        <w:jc w:val="both"/>
        <w:ind w:firstLine="872"/>
        <w:spacing w:after="0" w:line="243" w:lineRule="auto"/>
        <w:tabs>
          <w:tab w:leader="none" w:pos="2399"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Available Stock Awards. </w:t>
      </w:r>
      <w:r>
        <w:rPr>
          <w:rFonts w:ascii="Arial" w:cs="Arial" w:eastAsia="Arial" w:hAnsi="Arial"/>
          <w:sz w:val="22"/>
          <w:szCs w:val="22"/>
          <w:color w:val="auto"/>
        </w:rPr>
        <w:t>The Plan provides for the grant of the following types of Stock Awards: (i)</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Options, (ii) Nonstatutory Stock Options, (iii) Stock Appreciation Rights, (iv) Restricted Stock Awards, (v) Restricted Stock Unit Awards, (vi) Performance Stock Awards, and (vii) Other Stock Awards.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9" w:name="page70"/>
    <w:bookmarkEnd w:id="69"/>
    <w:p>
      <w:pPr>
        <w:jc w:val="both"/>
        <w:ind w:firstLine="872"/>
        <w:spacing w:after="0" w:line="239" w:lineRule="auto"/>
        <w:tabs>
          <w:tab w:leader="none" w:pos="2423" w:val="left"/>
        </w:tabs>
        <w:numPr>
          <w:ilvl w:val="1"/>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Purpose. </w:t>
      </w:r>
      <w:r>
        <w:rPr>
          <w:rFonts w:ascii="Arial" w:cs="Arial" w:eastAsia="Arial" w:hAnsi="Arial"/>
          <w:sz w:val="22"/>
          <w:szCs w:val="22"/>
          <w:color w:val="auto"/>
        </w:rPr>
        <w:t>The Plan, through the granting of Stock Awards, is intended to help the Company and any</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 secure and retain the services of 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80" w:lineRule="exact"/>
        <w:rPr>
          <w:rFonts w:ascii="Arial" w:cs="Arial" w:eastAsia="Arial" w:hAnsi="Arial"/>
          <w:sz w:val="22"/>
          <w:szCs w:val="22"/>
          <w:b w:val="1"/>
          <w:bCs w:val="1"/>
          <w:color w:val="auto"/>
        </w:rPr>
      </w:pPr>
    </w:p>
    <w:p>
      <w:pPr>
        <w:ind w:left="1120" w:hanging="1112"/>
        <w:spacing w:after="0"/>
        <w:tabs>
          <w:tab w:leader="none" w:pos="112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DMINISTRATION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872"/>
        <w:spacing w:after="0" w:line="256" w:lineRule="auto"/>
        <w:tabs>
          <w:tab w:leader="none" w:pos="2411"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Administration by Board. </w:t>
      </w:r>
      <w:r>
        <w:rPr>
          <w:rFonts w:ascii="Arial" w:cs="Arial" w:eastAsia="Arial" w:hAnsi="Arial"/>
          <w:sz w:val="22"/>
          <w:szCs w:val="22"/>
          <w:color w:val="auto"/>
        </w:rPr>
        <w:t>The Board will administer the Plan. The Board may delegate</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the Plan to a Committee or Committees, as provided in Section 2(c).</w:t>
      </w:r>
    </w:p>
    <w:p>
      <w:pPr>
        <w:spacing w:after="0" w:line="162" w:lineRule="exact"/>
        <w:rPr>
          <w:rFonts w:ascii="Arial" w:cs="Arial" w:eastAsia="Arial" w:hAnsi="Arial"/>
          <w:sz w:val="22"/>
          <w:szCs w:val="22"/>
          <w:b w:val="1"/>
          <w:bCs w:val="1"/>
          <w:color w:val="auto"/>
        </w:rPr>
      </w:pPr>
    </w:p>
    <w:p>
      <w:pPr>
        <w:ind w:firstLine="872"/>
        <w:spacing w:after="0" w:line="256" w:lineRule="auto"/>
        <w:tabs>
          <w:tab w:leader="none" w:pos="2423" w:val="left"/>
        </w:tabs>
        <w:numPr>
          <w:ilvl w:val="1"/>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Powers of Board. </w:t>
      </w:r>
      <w:r>
        <w:rPr>
          <w:rFonts w:ascii="Arial" w:cs="Arial" w:eastAsia="Arial" w:hAnsi="Arial"/>
          <w:sz w:val="22"/>
          <w:szCs w:val="22"/>
          <w:color w:val="auto"/>
        </w:rPr>
        <w:t>The Board will have the power, subject to, and within the limitations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express provisions of the Plan:</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To determine (A) who will be granted Stock Awards; (B) when and how each Stock</w:t>
      </w:r>
      <w:r>
        <w:rPr>
          <w:rFonts w:ascii="Arial" w:cs="Arial" w:eastAsia="Arial" w:hAnsi="Arial"/>
          <w:sz w:val="22"/>
          <w:szCs w:val="22"/>
          <w:b w:val="1"/>
          <w:bCs w:val="1"/>
          <w:color w:val="auto"/>
        </w:rPr>
        <w:t xml:space="preserve"> </w:t>
      </w:r>
      <w:r>
        <w:rPr>
          <w:rFonts w:ascii="Arial" w:cs="Arial" w:eastAsia="Arial" w:hAnsi="Arial"/>
          <w:sz w:val="22"/>
          <w:szCs w:val="22"/>
          <w:color w:val="auto"/>
        </w:rPr>
        <w:t>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82" w:lineRule="exact"/>
        <w:rPr>
          <w:sz w:val="20"/>
          <w:szCs w:val="20"/>
          <w:color w:val="auto"/>
        </w:rPr>
      </w:pPr>
    </w:p>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(ii) </w:t>
      </w:r>
      <w:r>
        <w:rPr>
          <w:rFonts w:ascii="Arial" w:cs="Arial" w:eastAsia="Arial" w:hAnsi="Arial"/>
          <w:sz w:val="21"/>
          <w:szCs w:val="21"/>
          <w:color w:val="auto"/>
        </w:rPr>
        <w:t>To construe and interpret the Plan and Stock Awards granted under it, and to</w:t>
      </w:r>
      <w:r>
        <w:rPr>
          <w:rFonts w:ascii="Arial" w:cs="Arial" w:eastAsia="Arial" w:hAnsi="Arial"/>
          <w:sz w:val="21"/>
          <w:szCs w:val="21"/>
          <w:b w:val="1"/>
          <w:bCs w:val="1"/>
          <w:color w:val="auto"/>
        </w:rPr>
        <w:t xml:space="preserve"> </w:t>
      </w:r>
      <w:r>
        <w:rPr>
          <w:rFonts w:ascii="Arial" w:cs="Arial" w:eastAsia="Arial" w:hAnsi="Arial"/>
          <w:sz w:val="21"/>
          <w:szCs w:val="21"/>
          <w:color w:val="auto"/>
        </w:rPr>
        <w:t>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ectPr>
          <w:pgSz w:w="11900" w:h="16838" w:orient="portrait"/>
          <w:cols w:equalWidth="0" w:num="1">
            <w:col w:w="11240"/>
          </w:cols>
          <w:pgMar w:left="320" w:top="328" w:right="339" w:bottom="1440" w:gutter="0" w:footer="0" w:header="0"/>
        </w:sectPr>
      </w:pPr>
    </w:p>
    <w:p>
      <w:pPr>
        <w:spacing w:after="0" w:line="166"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(iii)</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To settle all controversies regarding the Plan and Stock Awards granted under it.</w:t>
      </w:r>
    </w:p>
    <w:p>
      <w:pPr>
        <w:spacing w:after="0" w:line="216" w:lineRule="exact"/>
        <w:rPr>
          <w:sz w:val="20"/>
          <w:szCs w:val="20"/>
          <w:color w:val="auto"/>
        </w:rPr>
      </w:pPr>
    </w:p>
    <w:p>
      <w:pPr>
        <w:sectPr>
          <w:pgSz w:w="11900" w:h="16838" w:orient="portrait"/>
          <w:cols w:equalWidth="0" w:num="2">
            <w:col w:w="3280" w:space="720"/>
            <w:col w:w="7240"/>
          </w:cols>
          <w:pgMar w:left="320" w:top="328" w:right="339" w:bottom="1440" w:gutter="0" w:footer="0" w:header="0"/>
          <w:type w:val="continuous"/>
        </w:sectPr>
      </w:pPr>
    </w:p>
    <w:p>
      <w:pPr>
        <w:spacing w:after="0" w:line="18"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color w:val="auto"/>
        </w:rPr>
        <w:t>To accelerate, in whole or in part, the time at which a Stock Award may be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exercised or vest (or the time at which cash or shares of Common Stock may be issued in settlement thereof).</w:t>
      </w:r>
    </w:p>
    <w:p>
      <w:pPr>
        <w:spacing w:after="0" w:line="162"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(v)</w:t>
      </w:r>
      <w:r>
        <w:rPr>
          <w:sz w:val="20"/>
          <w:szCs w:val="20"/>
          <w:color w:val="auto"/>
        </w:rPr>
        <w:tab/>
      </w:r>
      <w:r>
        <w:rPr>
          <w:rFonts w:ascii="Arial" w:cs="Arial" w:eastAsia="Arial" w:hAnsi="Arial"/>
          <w:sz w:val="19"/>
          <w:szCs w:val="19"/>
          <w:color w:val="auto"/>
        </w:rPr>
        <w:t>To suspend or terminate the Plan at any time. Except as otherwise provided in the</w:t>
      </w:r>
    </w:p>
    <w:p>
      <w:pPr>
        <w:sectPr>
          <w:pgSz w:w="11900" w:h="16838" w:orient="portrait"/>
          <w:cols w:equalWidth="0" w:num="1">
            <w:col w:w="11240"/>
          </w:cols>
          <w:pgMar w:left="320" w:top="328" w:right="339" w:bottom="1440" w:gutter="0" w:footer="0" w:header="0"/>
          <w:type w:val="continuous"/>
        </w:sectPr>
      </w:pP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Plan or a Stock Award Agreement, suspension or termination of the Plan will not materially impair a Participant’s rights under his or her then-outstanding Stock Award without his or her written consent except as provided in subsection (viii) below.</w:t>
      </w:r>
    </w:p>
    <w:p>
      <w:pPr>
        <w:spacing w:after="0" w:line="131" w:lineRule="exact"/>
        <w:rPr>
          <w:sz w:val="20"/>
          <w:szCs w:val="20"/>
          <w:color w:val="auto"/>
        </w:rPr>
      </w:pPr>
    </w:p>
    <w:p>
      <w:pPr>
        <w:jc w:val="both"/>
        <w:ind w:firstLine="1727"/>
        <w:spacing w:after="0" w:line="234" w:lineRule="auto"/>
        <w:rPr>
          <w:sz w:val="20"/>
          <w:szCs w:val="20"/>
          <w:color w:val="auto"/>
        </w:rPr>
      </w:pPr>
      <w:r>
        <w:rPr>
          <w:rFonts w:ascii="Arial" w:cs="Arial" w:eastAsia="Arial" w:hAnsi="Arial"/>
          <w:sz w:val="22"/>
          <w:szCs w:val="22"/>
          <w:b w:val="1"/>
          <w:bCs w:val="1"/>
          <w:color w:val="auto"/>
        </w:rPr>
        <w:t xml:space="preserve">(vi) </w:t>
      </w:r>
      <w:r>
        <w:rPr>
          <w:rFonts w:ascii="Arial" w:cs="Arial" w:eastAsia="Arial" w:hAnsi="Arial"/>
          <w:sz w:val="22"/>
          <w:szCs w:val="22"/>
          <w:color w:val="auto"/>
        </w:rPr>
        <w:t>To amend the Plan in any respect the Board deems necessary or advisable,</w:t>
      </w:r>
      <w:r>
        <w:rPr>
          <w:rFonts w:ascii="Arial" w:cs="Arial" w:eastAsia="Arial" w:hAnsi="Arial"/>
          <w:sz w:val="22"/>
          <w:szCs w:val="22"/>
          <w:b w:val="1"/>
          <w:bCs w:val="1"/>
          <w:color w:val="auto"/>
        </w:rPr>
        <w:t xml:space="preserve"> </w:t>
      </w:r>
      <w:r>
        <w:rPr>
          <w:rFonts w:ascii="Arial" w:cs="Arial" w:eastAsia="Arial" w:hAnsi="Arial"/>
          <w:sz w:val="22"/>
          <w:szCs w:val="22"/>
          <w:color w:val="auto"/>
        </w:rPr>
        <w:t>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w:t>
      </w:r>
    </w:p>
    <w:p>
      <w:pPr>
        <w:spacing w:after="0" w:line="31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0" w:name="page71"/>
    <w:bookmarkEnd w:id="70"/>
    <w:p>
      <w:pPr>
        <w:jc w:val="both"/>
        <w:spacing w:after="0" w:line="235" w:lineRule="auto"/>
        <w:rPr>
          <w:sz w:val="20"/>
          <w:szCs w:val="20"/>
          <w:color w:val="auto"/>
        </w:rPr>
      </w:pPr>
      <w:r>
        <w:rPr>
          <w:rFonts w:ascii="Arial" w:cs="Arial" w:eastAsia="Arial" w:hAnsi="Arial"/>
          <w:sz w:val="22"/>
          <w:szCs w:val="22"/>
          <w:color w:val="auto"/>
        </w:rPr>
        <w:t>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 or (E) materially expands the types of Stock Awards available for issuance under the Plan. Except as provided in the Plan (including Section 2(b)(viii)) or a Stock Award Agreement, no amendment of the Plan will materially impair a Participant’s rights under an outstanding Stock Award without the Participant’s written consent.</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(vii) </w:t>
      </w:r>
      <w:r>
        <w:rPr>
          <w:rFonts w:ascii="Arial" w:cs="Arial" w:eastAsia="Arial" w:hAnsi="Arial"/>
          <w:sz w:val="22"/>
          <w:szCs w:val="22"/>
          <w:color w:val="auto"/>
        </w:rPr>
        <w:t>To submit any amendment to the Plan for stockholder approval, including, but not</w:t>
      </w:r>
      <w:r>
        <w:rPr>
          <w:rFonts w:ascii="Arial" w:cs="Arial" w:eastAsia="Arial" w:hAnsi="Arial"/>
          <w:sz w:val="22"/>
          <w:szCs w:val="22"/>
          <w:b w:val="1"/>
          <w:bCs w:val="1"/>
          <w:color w:val="auto"/>
        </w:rPr>
        <w:t xml:space="preserve"> </w:t>
      </w:r>
      <w:r>
        <w:rPr>
          <w:rFonts w:ascii="Arial" w:cs="Arial" w:eastAsia="Arial" w:hAnsi="Arial"/>
          <w:sz w:val="22"/>
          <w:szCs w:val="22"/>
          <w:color w:val="auto"/>
        </w:rPr>
        <w:t>limited to, amendments to the Plan intended to satisfy the requirements of (A) Section 422 of the Code regarding incentive stock options or (B) Rule 16b-3.</w:t>
      </w:r>
    </w:p>
    <w:p>
      <w:pPr>
        <w:spacing w:after="0" w:line="177" w:lineRule="exact"/>
        <w:rPr>
          <w:sz w:val="20"/>
          <w:szCs w:val="20"/>
          <w:color w:val="auto"/>
        </w:rPr>
      </w:pPr>
    </w:p>
    <w:p>
      <w:pPr>
        <w:jc w:val="both"/>
        <w:ind w:firstLine="1727"/>
        <w:spacing w:after="0" w:line="272" w:lineRule="auto"/>
        <w:rPr>
          <w:sz w:val="20"/>
          <w:szCs w:val="20"/>
          <w:color w:val="auto"/>
        </w:rPr>
      </w:pPr>
      <w:r>
        <w:rPr>
          <w:rFonts w:ascii="Arial" w:cs="Arial" w:eastAsia="Arial" w:hAnsi="Arial"/>
          <w:sz w:val="19"/>
          <w:szCs w:val="19"/>
          <w:b w:val="1"/>
          <w:bCs w:val="1"/>
          <w:color w:val="auto"/>
        </w:rPr>
        <w:t xml:space="preserve">(viii) </w:t>
      </w:r>
      <w:r>
        <w:rPr>
          <w:rFonts w:ascii="Arial" w:cs="Arial" w:eastAsia="Arial" w:hAnsi="Arial"/>
          <w:sz w:val="19"/>
          <w:szCs w:val="19"/>
          <w:color w:val="auto"/>
        </w:rPr>
        <w:t>To approve forms of Stock Award Agreements for use under the Plan and to</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 or listing requirements.</w:t>
      </w:r>
    </w:p>
    <w:p>
      <w:pPr>
        <w:spacing w:after="0" w:line="156"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(ix) </w:t>
      </w:r>
      <w:r>
        <w:rPr>
          <w:rFonts w:ascii="Arial" w:cs="Arial" w:eastAsia="Arial" w:hAnsi="Arial"/>
          <w:sz w:val="22"/>
          <w:szCs w:val="22"/>
          <w:color w:val="auto"/>
        </w:rPr>
        <w:t>Generally, to exercise such powers and to perform such acts as the Board deems</w:t>
      </w:r>
      <w:r>
        <w:rPr>
          <w:rFonts w:ascii="Arial" w:cs="Arial" w:eastAsia="Arial" w:hAnsi="Arial"/>
          <w:sz w:val="22"/>
          <w:szCs w:val="22"/>
          <w:b w:val="1"/>
          <w:bCs w:val="1"/>
          <w:color w:val="auto"/>
        </w:rPr>
        <w:t xml:space="preserve"> </w:t>
      </w:r>
      <w:r>
        <w:rPr>
          <w:rFonts w:ascii="Arial" w:cs="Arial" w:eastAsia="Arial" w:hAnsi="Arial"/>
          <w:sz w:val="22"/>
          <w:szCs w:val="22"/>
          <w:color w:val="auto"/>
        </w:rPr>
        <w:t>necessary or expedient to promote the best interests of the Company and that are not in conflict with the provisions of the Plan or Stock Awards.</w:t>
      </w:r>
    </w:p>
    <w:p>
      <w:pPr>
        <w:spacing w:after="0" w:line="177"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(x) </w:t>
      </w:r>
      <w:r>
        <w:rPr>
          <w:rFonts w:ascii="Arial" w:cs="Arial" w:eastAsia="Arial" w:hAnsi="Arial"/>
          <w:sz w:val="22"/>
          <w:szCs w:val="22"/>
          <w:color w:val="auto"/>
        </w:rPr>
        <w:t>To adopt such procedures and sub-plans as are necessary or appropriate to permit</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80" w:lineRule="exact"/>
        <w:rPr>
          <w:sz w:val="20"/>
          <w:szCs w:val="20"/>
          <w:color w:val="auto"/>
        </w:rPr>
      </w:pPr>
    </w:p>
    <w:p>
      <w:pPr>
        <w:ind w:left="2400" w:hanging="1528"/>
        <w:spacing w:after="0"/>
        <w:tabs>
          <w:tab w:leader="none" w:pos="240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Delegation to Committee.</w:t>
      </w:r>
    </w:p>
    <w:p>
      <w:pPr>
        <w:spacing w:after="0" w:line="206"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 General. </w:t>
      </w:r>
      <w:r>
        <w:rPr>
          <w:rFonts w:ascii="Arial" w:cs="Arial" w:eastAsia="Arial" w:hAnsi="Arial"/>
          <w:sz w:val="22"/>
          <w:szCs w:val="22"/>
          <w:color w:val="auto"/>
        </w:rPr>
        <w:t>The Board may delegate some or all of the administration of the Plan to a</w:t>
      </w:r>
      <w:r>
        <w:rPr>
          <w:rFonts w:ascii="Arial" w:cs="Arial" w:eastAsia="Arial" w:hAnsi="Arial"/>
          <w:sz w:val="22"/>
          <w:szCs w:val="22"/>
          <w:b w:val="1"/>
          <w:bCs w:val="1"/>
          <w:color w:val="auto"/>
        </w:rPr>
        <w:t xml:space="preserve"> </w:t>
      </w:r>
      <w:r>
        <w:rPr>
          <w:rFonts w:ascii="Arial" w:cs="Arial" w:eastAsia="Arial" w:hAnsi="Arial"/>
          <w:sz w:val="22"/>
          <w:szCs w:val="22"/>
          <w:color w:val="auto"/>
        </w:rPr>
        <w:t>Committee or Committees. If administration 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3.</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1" w:name="page72"/>
    <w:bookmarkEnd w:id="71"/>
    <w:p>
      <w:pPr>
        <w:jc w:val="both"/>
        <w:spacing w:after="0" w:line="282" w:lineRule="auto"/>
        <w:rPr>
          <w:sz w:val="20"/>
          <w:szCs w:val="20"/>
          <w:color w:val="auto"/>
        </w:rPr>
      </w:pPr>
      <w:r>
        <w:rPr>
          <w:rFonts w:ascii="Arial" w:cs="Arial" w:eastAsia="Arial" w:hAnsi="Arial"/>
          <w:sz w:val="19"/>
          <w:szCs w:val="19"/>
          <w:color w:val="auto"/>
        </w:rPr>
        <w:t>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41"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(ii) Rule 16b-3 Compliance. </w:t>
      </w:r>
      <w:r>
        <w:rPr>
          <w:rFonts w:ascii="Arial" w:cs="Arial" w:eastAsia="Arial" w:hAnsi="Arial"/>
          <w:sz w:val="22"/>
          <w:szCs w:val="22"/>
          <w:color w:val="auto"/>
        </w:rPr>
        <w:t>The Committee may consist solely of two or more Non-Employee Directors, in accordance with Rule 16b-3.</w:t>
      </w:r>
    </w:p>
    <w:p>
      <w:pPr>
        <w:spacing w:after="0" w:line="162" w:lineRule="exact"/>
        <w:rPr>
          <w:sz w:val="20"/>
          <w:szCs w:val="20"/>
          <w:color w:val="auto"/>
        </w:rPr>
      </w:pPr>
    </w:p>
    <w:p>
      <w:pPr>
        <w:jc w:val="both"/>
        <w:ind w:firstLine="872"/>
        <w:spacing w:after="0" w:line="274" w:lineRule="auto"/>
        <w:tabs>
          <w:tab w:leader="none" w:pos="2423"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Delegation to an Officer. </w:t>
      </w:r>
      <w:r>
        <w:rPr>
          <w:rFonts w:ascii="Arial" w:cs="Arial" w:eastAsia="Arial" w:hAnsi="Arial"/>
          <w:sz w:val="19"/>
          <w:szCs w:val="19"/>
          <w:color w:val="auto"/>
        </w:rPr>
        <w:t>The Board may delegate to one or more Officers the authority to do one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both of the following (i) designate 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Board resolutions regarding such delegation will specify the total number of shares of Common Stock</w:t>
      </w:r>
      <w:r>
        <w:rPr>
          <w:rFonts w:ascii="Arial" w:cs="Arial" w:eastAsia="Arial" w:hAnsi="Arial"/>
          <w:sz w:val="19"/>
          <w:szCs w:val="19"/>
          <w:i w:val="1"/>
          <w:iCs w:val="1"/>
          <w:color w:val="auto"/>
        </w:rPr>
        <w:t xml:space="preserve"> </w:t>
      </w:r>
      <w:r>
        <w:rPr>
          <w:rFonts w:ascii="Arial" w:cs="Arial" w:eastAsia="Arial" w:hAnsi="Arial"/>
          <w:sz w:val="19"/>
          <w:szCs w:val="19"/>
          <w:color w:val="auto"/>
        </w:rPr>
        <w:t>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13(t)(iii) below.</w:t>
      </w:r>
    </w:p>
    <w:p>
      <w:pPr>
        <w:spacing w:after="0" w:line="151" w:lineRule="exact"/>
        <w:rPr>
          <w:rFonts w:ascii="Arial" w:cs="Arial" w:eastAsia="Arial" w:hAnsi="Arial"/>
          <w:sz w:val="19"/>
          <w:szCs w:val="19"/>
          <w:b w:val="1"/>
          <w:bCs w:val="1"/>
          <w:color w:val="auto"/>
        </w:rPr>
      </w:pPr>
    </w:p>
    <w:p>
      <w:pPr>
        <w:ind w:right="20" w:firstLine="872"/>
        <w:spacing w:after="0" w:line="280" w:lineRule="auto"/>
        <w:tabs>
          <w:tab w:leader="none" w:pos="2399"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Effect of Board’s Decision. </w:t>
      </w:r>
      <w:r>
        <w:rPr>
          <w:rFonts w:ascii="Arial" w:cs="Arial" w:eastAsia="Arial" w:hAnsi="Arial"/>
          <w:sz w:val="21"/>
          <w:szCs w:val="21"/>
          <w:color w:val="auto"/>
        </w:rPr>
        <w:t>All determinations, interpretations and constructions made by the Board</w:t>
      </w:r>
      <w:r>
        <w:rPr>
          <w:rFonts w:ascii="Arial" w:cs="Arial" w:eastAsia="Arial" w:hAnsi="Arial"/>
          <w:sz w:val="21"/>
          <w:szCs w:val="21"/>
          <w:b w:val="1"/>
          <w:bCs w:val="1"/>
          <w:color w:val="auto"/>
        </w:rPr>
        <w:t xml:space="preserve"> </w:t>
      </w:r>
      <w:r>
        <w:rPr>
          <w:rFonts w:ascii="Arial" w:cs="Arial" w:eastAsia="Arial" w:hAnsi="Arial"/>
          <w:sz w:val="21"/>
          <w:szCs w:val="21"/>
          <w:color w:val="auto"/>
        </w:rPr>
        <w:t>in good faith will not be subject to review by any person and will be final, binding and conclusive on all persons.</w:t>
      </w:r>
    </w:p>
    <w:p>
      <w:pPr>
        <w:spacing w:after="0" w:line="138" w:lineRule="exact"/>
        <w:rPr>
          <w:rFonts w:ascii="Arial" w:cs="Arial" w:eastAsia="Arial" w:hAnsi="Arial"/>
          <w:sz w:val="21"/>
          <w:szCs w:val="21"/>
          <w:b w:val="1"/>
          <w:bCs w:val="1"/>
          <w:color w:val="auto"/>
        </w:rPr>
      </w:pPr>
    </w:p>
    <w:p>
      <w:pPr>
        <w:jc w:val="both"/>
        <w:ind w:firstLine="872"/>
        <w:spacing w:after="0" w:line="251" w:lineRule="auto"/>
        <w:tabs>
          <w:tab w:leader="none" w:pos="2375" w:val="left"/>
        </w:tabs>
        <w:numPr>
          <w:ilvl w:val="0"/>
          <w:numId w:val="2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Repricing; Cancellation and Re-Grant of Stock Awards. </w:t>
      </w:r>
      <w:r>
        <w:rPr>
          <w:rFonts w:ascii="Arial" w:cs="Arial" w:eastAsia="Arial" w:hAnsi="Arial"/>
          <w:sz w:val="21"/>
          <w:szCs w:val="21"/>
          <w:color w:val="auto"/>
        </w:rPr>
        <w:t>Neither the Board nor any Committee</w:t>
      </w:r>
      <w:r>
        <w:rPr>
          <w:rFonts w:ascii="Arial" w:cs="Arial" w:eastAsia="Arial" w:hAnsi="Arial"/>
          <w:sz w:val="21"/>
          <w:szCs w:val="21"/>
          <w:b w:val="1"/>
          <w:bCs w:val="1"/>
          <w:color w:val="auto"/>
        </w:rPr>
        <w:t xml:space="preserve"> </w:t>
      </w:r>
      <w:r>
        <w:rPr>
          <w:rFonts w:ascii="Arial" w:cs="Arial" w:eastAsia="Arial" w:hAnsi="Arial"/>
          <w:sz w:val="21"/>
          <w:szCs w:val="21"/>
          <w:color w:val="auto"/>
        </w:rPr>
        <w:t>will have the authority to (i) reduce the 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spacing w:after="0" w:line="168" w:lineRule="exact"/>
        <w:rPr>
          <w:rFonts w:ascii="Arial" w:cs="Arial" w:eastAsia="Arial" w:hAnsi="Arial"/>
          <w:sz w:val="21"/>
          <w:szCs w:val="21"/>
          <w:b w:val="1"/>
          <w:bCs w:val="1"/>
          <w:color w:val="auto"/>
        </w:rPr>
      </w:pPr>
    </w:p>
    <w:p>
      <w:pPr>
        <w:jc w:val="both"/>
        <w:ind w:firstLine="872"/>
        <w:spacing w:after="0" w:line="276" w:lineRule="auto"/>
        <w:tabs>
          <w:tab w:leader="none" w:pos="2411"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Dividends and Dividend Equivalents. </w:t>
      </w:r>
      <w:r>
        <w:rPr>
          <w:rFonts w:ascii="Arial" w:cs="Arial" w:eastAsia="Arial" w:hAnsi="Arial"/>
          <w:sz w:val="19"/>
          <w:szCs w:val="19"/>
          <w:color w:val="auto"/>
        </w:rPr>
        <w:t>Dividends or dividend equivalents may be paid or credited,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applicable, with respect to any shares of Common Stock subject to a Stock Award, as determined by the Board and contained in the applicable Stock Award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(i) no dividends or dividend equivalents may be paid with respect to any such shares before the date such shares 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w:t>
      </w:r>
    </w:p>
    <w:p>
      <w:pPr>
        <w:spacing w:after="0" w:line="2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4.</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2" w:name="page73"/>
    <w:bookmarkEnd w:id="72"/>
    <w:p>
      <w:pPr>
        <w:spacing w:after="0"/>
        <w:rPr>
          <w:sz w:val="20"/>
          <w:szCs w:val="20"/>
          <w:color w:val="auto"/>
        </w:rPr>
      </w:pPr>
      <w:r>
        <w:rPr>
          <w:rFonts w:ascii="Arial" w:cs="Arial" w:eastAsia="Arial" w:hAnsi="Arial"/>
          <w:sz w:val="22"/>
          <w:szCs w:val="22"/>
          <w:color w:val="auto"/>
        </w:rPr>
        <w:t>Company due to a failure to meet any vesting conditions under the terms of such Stock Award Agreement.</w:t>
      </w:r>
    </w:p>
    <w:p>
      <w:pPr>
        <w:spacing w:after="0" w:line="200"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S</w:t>
      </w:r>
      <w:r>
        <w:rPr>
          <w:rFonts w:ascii="Arial" w:cs="Arial" w:eastAsia="Arial" w:hAnsi="Arial"/>
          <w:sz w:val="14"/>
          <w:szCs w:val="14"/>
          <w:b w:val="1"/>
          <w:bCs w:val="1"/>
          <w:color w:val="auto"/>
        </w:rPr>
        <w:t>HARES</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left="2420" w:hanging="1548"/>
        <w:spacing w:after="0"/>
        <w:tabs>
          <w:tab w:leader="none" w:pos="2420" w:val="left"/>
        </w:tabs>
        <w:numPr>
          <w:ilvl w:val="1"/>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Share Reserve.</w:t>
      </w:r>
    </w:p>
    <w:p>
      <w:pPr>
        <w:spacing w:after="0" w:line="206" w:lineRule="exact"/>
        <w:rPr>
          <w:sz w:val="20"/>
          <w:szCs w:val="20"/>
          <w:color w:val="auto"/>
        </w:rPr>
      </w:pPr>
    </w:p>
    <w:p>
      <w:pPr>
        <w:jc w:val="both"/>
        <w:ind w:firstLine="1727"/>
        <w:spacing w:after="0" w:line="280" w:lineRule="auto"/>
        <w:rPr>
          <w:sz w:val="20"/>
          <w:szCs w:val="20"/>
          <w:color w:val="auto"/>
        </w:rPr>
      </w:pPr>
      <w:r>
        <w:rPr>
          <w:rFonts w:ascii="Arial" w:cs="Arial" w:eastAsia="Arial" w:hAnsi="Arial"/>
          <w:sz w:val="19"/>
          <w:szCs w:val="19"/>
          <w:b w:val="1"/>
          <w:bCs w:val="1"/>
          <w:color w:val="auto"/>
        </w:rPr>
        <w:t xml:space="preserve">(i) </w:t>
      </w:r>
      <w:r>
        <w:rPr>
          <w:rFonts w:ascii="Arial" w:cs="Arial" w:eastAsia="Arial" w:hAnsi="Arial"/>
          <w:sz w:val="19"/>
          <w:szCs w:val="19"/>
          <w:color w:val="auto"/>
        </w:rPr>
        <w:t>Subject to Section 9(a) relating to Capitalization Adjustments, the aggregate number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shares of Common Stock that may be issued pursuant to Stock Awards from and after the Effective Date will not exceed (A) 25,729,678 shares (which number is the sum of (i) the number of shares (1,229,678) subject to the Prior Plans’ Available Reserve, (ii) an additional 12,000,000 shares approved by the shareholders in 2018, and (iii) an additional 12,500,000 shares approved by the shareholders in 2020), </w:t>
      </w:r>
      <w:r>
        <w:rPr>
          <w:rFonts w:ascii="Arial" w:cs="Arial" w:eastAsia="Arial" w:hAnsi="Arial"/>
          <w:sz w:val="19"/>
          <w:szCs w:val="19"/>
          <w:i w:val="1"/>
          <w:iCs w:val="1"/>
          <w:color w:val="auto"/>
        </w:rPr>
        <w:t>plus</w:t>
      </w:r>
      <w:r>
        <w:rPr>
          <w:rFonts w:ascii="Arial" w:cs="Arial" w:eastAsia="Arial" w:hAnsi="Arial"/>
          <w:sz w:val="19"/>
          <w:szCs w:val="19"/>
          <w:color w:val="auto"/>
        </w:rPr>
        <w:t xml:space="preserve"> (B) the Prior Plans’ Returning Shares, if any, which become available for grant under this Plan from time to time (such aggregate number of shares described in (A) and (B) above, the “</w:t>
      </w:r>
      <w:r>
        <w:rPr>
          <w:rFonts w:ascii="Arial" w:cs="Arial" w:eastAsia="Arial" w:hAnsi="Arial"/>
          <w:sz w:val="19"/>
          <w:szCs w:val="19"/>
          <w:b w:val="1"/>
          <w:bCs w:val="1"/>
          <w:i w:val="1"/>
          <w:iCs w:val="1"/>
          <w:color w:val="auto"/>
        </w:rPr>
        <w:t>Share Reserve</w:t>
      </w:r>
      <w:r>
        <w:rPr>
          <w:rFonts w:ascii="Arial" w:cs="Arial" w:eastAsia="Arial" w:hAnsi="Arial"/>
          <w:sz w:val="19"/>
          <w:szCs w:val="19"/>
          <w:color w:val="auto"/>
        </w:rPr>
        <w:t>”).</w:t>
      </w:r>
    </w:p>
    <w:p>
      <w:pPr>
        <w:spacing w:after="0" w:line="145" w:lineRule="exact"/>
        <w:rPr>
          <w:sz w:val="20"/>
          <w:szCs w:val="20"/>
          <w:color w:val="auto"/>
        </w:rPr>
      </w:pPr>
    </w:p>
    <w:p>
      <w:pPr>
        <w:jc w:val="both"/>
        <w:ind w:firstLine="1727"/>
        <w:spacing w:after="0" w:line="283"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For clarity, the Share Reserve in this Section 3(a) is a limitation on the number of</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43"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Subject to Section 3(b), the number of shares of Common Stock available for</w:t>
      </w:r>
      <w:r>
        <w:rPr>
          <w:rFonts w:ascii="Arial" w:cs="Arial" w:eastAsia="Arial" w:hAnsi="Arial"/>
          <w:sz w:val="22"/>
          <w:szCs w:val="22"/>
          <w:b w:val="1"/>
          <w:bCs w:val="1"/>
          <w:color w:val="auto"/>
        </w:rPr>
        <w:t xml:space="preserve"> </w:t>
      </w:r>
      <w:r>
        <w:rPr>
          <w:rFonts w:ascii="Arial" w:cs="Arial" w:eastAsia="Arial" w:hAnsi="Arial"/>
          <w:sz w:val="22"/>
          <w:szCs w:val="22"/>
          <w:color w:val="auto"/>
        </w:rPr>
        <w:t>issuance under the Plan will be reduced by: (A) one share for each share of Common Stock issued pursuant to an Option or SAR with respect to which the exercise or strike price is at least 100% of the Fair Market Value of the Common Stock subject to the Option or SAR on the date of grant; and (B) one and one tenths (1.1) shares for each share of Common Stock issued pursuant to a Full Value Award.</w:t>
      </w:r>
    </w:p>
    <w:p>
      <w:pPr>
        <w:spacing w:after="0" w:line="182" w:lineRule="exact"/>
        <w:rPr>
          <w:sz w:val="20"/>
          <w:szCs w:val="20"/>
          <w:color w:val="auto"/>
        </w:rPr>
      </w:pPr>
    </w:p>
    <w:p>
      <w:pPr>
        <w:ind w:left="2440" w:hanging="1568"/>
        <w:spacing w:after="0"/>
        <w:tabs>
          <w:tab w:leader="none" w:pos="244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Reversion of Shares to the Share Reserve.</w:t>
      </w:r>
    </w:p>
    <w:p>
      <w:pPr>
        <w:spacing w:after="0" w:line="206"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b w:val="1"/>
          <w:bCs w:val="1"/>
          <w:color w:val="auto"/>
        </w:rPr>
        <w:t xml:space="preserve">Shares Available For Subsequent Issuance. </w:t>
      </w:r>
      <w:r>
        <w:rPr>
          <w:rFonts w:ascii="Arial" w:cs="Arial" w:eastAsia="Arial" w:hAnsi="Arial"/>
          <w:sz w:val="19"/>
          <w:szCs w:val="19"/>
          <w:color w:val="auto"/>
        </w:rPr>
        <w:t>If (A) any shares of Common Stock</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subject to a Stock Award are not issued because such Stock Award or any portion thereof expires or otherwise terminates without all of the shares covered by such Stock Award having been issued or is settled in cash (</w:t>
      </w:r>
      <w:r>
        <w:rPr>
          <w:rFonts w:ascii="Arial" w:cs="Arial" w:eastAsia="Arial" w:hAnsi="Arial"/>
          <w:sz w:val="19"/>
          <w:szCs w:val="19"/>
          <w:i w:val="1"/>
          <w:iCs w:val="1"/>
          <w:color w:val="auto"/>
        </w:rPr>
        <w:t>i.e.</w:t>
      </w:r>
      <w:r>
        <w:rPr>
          <w:rFonts w:ascii="Arial" w:cs="Arial" w:eastAsia="Arial" w:hAnsi="Arial"/>
          <w:sz w:val="19"/>
          <w:szCs w:val="19"/>
          <w:color w:val="auto"/>
        </w:rPr>
        <w:t>, the Participant receives cash rather than stock), (B) any shares of Common Stock issued pursuant to a Stock Award are forfeited back to or repurchased by the Company because of the failure to meet a contingency or condition required for the vesting of such shares, or (C) with respect to a Full Value Award, any shares of Common Stock are reacquired or withheld (or not issued) by the Company to satisfy a tax withholding obligation in connection with such Full Value Award, such shares will again become available for issuance under the Plan (collectively, the “</w:t>
      </w:r>
      <w:r>
        <w:rPr>
          <w:rFonts w:ascii="Arial" w:cs="Arial" w:eastAsia="Arial" w:hAnsi="Arial"/>
          <w:sz w:val="19"/>
          <w:szCs w:val="19"/>
          <w:b w:val="1"/>
          <w:bCs w:val="1"/>
          <w:i w:val="1"/>
          <w:iCs w:val="1"/>
          <w:color w:val="auto"/>
        </w:rPr>
        <w:t>2018 Plan Returning Shares</w:t>
      </w:r>
      <w:r>
        <w:rPr>
          <w:rFonts w:ascii="Arial" w:cs="Arial" w:eastAsia="Arial" w:hAnsi="Arial"/>
          <w:sz w:val="19"/>
          <w:szCs w:val="19"/>
          <w:color w:val="auto"/>
        </w:rPr>
        <w:t>”). For each (1) 2018 Plan Returning Share subject to a Full Value Award or</w:t>
      </w:r>
    </w:p>
    <w:p>
      <w:pPr>
        <w:spacing w:after="0" w:line="6" w:lineRule="exact"/>
        <w:rPr>
          <w:sz w:val="20"/>
          <w:szCs w:val="20"/>
          <w:color w:val="auto"/>
        </w:rPr>
      </w:pPr>
    </w:p>
    <w:p>
      <w:pPr>
        <w:ind w:firstLine="8"/>
        <w:spacing w:after="0" w:line="236" w:lineRule="auto"/>
        <w:tabs>
          <w:tab w:leader="none" w:pos="316" w:val="left"/>
        </w:tabs>
        <w:numPr>
          <w:ilvl w:val="0"/>
          <w:numId w:val="32"/>
        </w:numPr>
        <w:rPr>
          <w:rFonts w:ascii="Arial" w:cs="Arial" w:eastAsia="Arial" w:hAnsi="Arial"/>
          <w:sz w:val="22"/>
          <w:szCs w:val="22"/>
          <w:color w:val="auto"/>
        </w:rPr>
      </w:pPr>
      <w:r>
        <w:rPr>
          <w:rFonts w:ascii="Arial" w:cs="Arial" w:eastAsia="Arial" w:hAnsi="Arial"/>
          <w:sz w:val="22"/>
          <w:szCs w:val="22"/>
          <w:color w:val="auto"/>
        </w:rPr>
        <w:t>Prior Plans’ Returning Share subject to a stock award other than a Prior Plans’ Appreciation Award, the number of shares of Common Stock available for issuance under the Plan will increase by one and one tenths (1.1) shares.</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5.</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3" w:name="page74"/>
    <w:bookmarkEnd w:id="73"/>
    <w:p>
      <w:pPr>
        <w:ind w:left="1740"/>
        <w:spacing w:after="0"/>
        <w:tabs>
          <w:tab w:leader="none" w:pos="392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b w:val="1"/>
          <w:bCs w:val="1"/>
          <w:color w:val="auto"/>
        </w:rPr>
        <w:t xml:space="preserve">Shares Not Available For Subsequent Issuance.  </w:t>
      </w:r>
      <w:r>
        <w:rPr>
          <w:rFonts w:ascii="Arial" w:cs="Arial" w:eastAsia="Arial" w:hAnsi="Arial"/>
          <w:sz w:val="19"/>
          <w:szCs w:val="19"/>
          <w:color w:val="auto"/>
        </w:rPr>
        <w:t>Any shares of Common Stock</w:t>
      </w:r>
    </w:p>
    <w:p>
      <w:pPr>
        <w:spacing w:after="0" w:line="49"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reacquired or withheld (or not issued) by the Company to satisfy the exercise or purchase price of a Stock Award will no longer be available for issuance under the Plan, including any shares subject to a Stock Award that are not delivered to a Participant because such Stock Award is exercised through a reduction of shares subject to such Stock Award (</w:t>
      </w:r>
      <w:r>
        <w:rPr>
          <w:rFonts w:ascii="Arial" w:cs="Arial" w:eastAsia="Arial" w:hAnsi="Arial"/>
          <w:sz w:val="21"/>
          <w:szCs w:val="21"/>
          <w:i w:val="1"/>
          <w:iCs w:val="1"/>
          <w:color w:val="auto"/>
        </w:rPr>
        <w:t>i.e</w:t>
      </w:r>
      <w:r>
        <w:rPr>
          <w:rFonts w:ascii="Arial" w:cs="Arial" w:eastAsia="Arial" w:hAnsi="Arial"/>
          <w:sz w:val="21"/>
          <w:szCs w:val="21"/>
          <w:color w:val="auto"/>
        </w:rPr>
        <w:t>., “net exercised”). In addition, any shares reacquired or withheld (or not issued) by the Company to satisfy a tax withholding obligation in connection with an Option or Stock Appreciation Right or a Prior Plans’ Appreciation Award, or any shares repurchased by the Company on the open market with the proceeds of the exercise or strike price of an Option or Stock Appreciation Right or a Prior Plans’ Appreciation Award will no longer be available for issuance under the Plan.</w:t>
      </w:r>
    </w:p>
    <w:p>
      <w:pPr>
        <w:spacing w:after="0" w:line="181" w:lineRule="exact"/>
        <w:rPr>
          <w:sz w:val="20"/>
          <w:szCs w:val="20"/>
          <w:color w:val="auto"/>
        </w:rPr>
      </w:pPr>
    </w:p>
    <w:p>
      <w:pPr>
        <w:jc w:val="both"/>
        <w:ind w:firstLine="872"/>
        <w:spacing w:after="0" w:line="243" w:lineRule="auto"/>
        <w:tabs>
          <w:tab w:leader="none" w:pos="2399" w:val="left"/>
        </w:tabs>
        <w:numPr>
          <w:ilvl w:val="1"/>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Incentive Stock Option Limit. </w:t>
      </w:r>
      <w:r>
        <w:rPr>
          <w:rFonts w:ascii="Arial" w:cs="Arial" w:eastAsia="Arial" w:hAnsi="Arial"/>
          <w:sz w:val="22"/>
          <w:szCs w:val="22"/>
          <w:color w:val="auto"/>
        </w:rPr>
        <w:t>Subject to the Share Reserve and Section 9(a) relating to</w:t>
      </w:r>
      <w:r>
        <w:rPr>
          <w:rFonts w:ascii="Arial" w:cs="Arial" w:eastAsia="Arial" w:hAnsi="Arial"/>
          <w:sz w:val="22"/>
          <w:szCs w:val="22"/>
          <w:b w:val="1"/>
          <w:bCs w:val="1"/>
          <w:color w:val="auto"/>
        </w:rPr>
        <w:t xml:space="preserve"> </w:t>
      </w:r>
      <w:r>
        <w:rPr>
          <w:rFonts w:ascii="Arial" w:cs="Arial" w:eastAsia="Arial" w:hAnsi="Arial"/>
          <w:sz w:val="22"/>
          <w:szCs w:val="22"/>
          <w:color w:val="auto"/>
        </w:rPr>
        <w:t>Capitalization Adjustments, the aggregate maximum number of shares of Common Stock that may be issued pursuant to the exercise of Incentive Stock Options will be 9,000,000 shares of Common Stock.</w:t>
      </w:r>
    </w:p>
    <w:p>
      <w:pPr>
        <w:spacing w:after="0" w:line="176" w:lineRule="exact"/>
        <w:rPr>
          <w:rFonts w:ascii="Arial" w:cs="Arial" w:eastAsia="Arial" w:hAnsi="Arial"/>
          <w:sz w:val="22"/>
          <w:szCs w:val="22"/>
          <w:b w:val="1"/>
          <w:bCs w:val="1"/>
          <w:color w:val="auto"/>
        </w:rPr>
      </w:pPr>
    </w:p>
    <w:p>
      <w:pPr>
        <w:ind w:firstLine="872"/>
        <w:spacing w:after="0" w:line="280" w:lineRule="auto"/>
        <w:tabs>
          <w:tab w:leader="none" w:pos="2423" w:val="left"/>
        </w:tabs>
        <w:numPr>
          <w:ilvl w:val="1"/>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Source of Shares. </w:t>
      </w:r>
      <w:r>
        <w:rPr>
          <w:rFonts w:ascii="Arial" w:cs="Arial" w:eastAsia="Arial" w:hAnsi="Arial"/>
          <w:sz w:val="21"/>
          <w:szCs w:val="21"/>
          <w:color w:val="auto"/>
        </w:rPr>
        <w:t>The stock issuable under the Plan will be shares of authorized but unissued or</w:t>
      </w:r>
      <w:r>
        <w:rPr>
          <w:rFonts w:ascii="Arial" w:cs="Arial" w:eastAsia="Arial" w:hAnsi="Arial"/>
          <w:sz w:val="21"/>
          <w:szCs w:val="21"/>
          <w:b w:val="1"/>
          <w:bCs w:val="1"/>
          <w:color w:val="auto"/>
        </w:rPr>
        <w:t xml:space="preserve"> </w:t>
      </w:r>
      <w:r>
        <w:rPr>
          <w:rFonts w:ascii="Arial" w:cs="Arial" w:eastAsia="Arial" w:hAnsi="Arial"/>
          <w:sz w:val="21"/>
          <w:szCs w:val="21"/>
          <w:color w:val="auto"/>
        </w:rPr>
        <w:t>reacquired Common Stock, including shares repurchased by the Company on the open market or otherwise.</w:t>
      </w:r>
    </w:p>
    <w:p>
      <w:pPr>
        <w:spacing w:after="0" w:line="138" w:lineRule="exact"/>
        <w:rPr>
          <w:rFonts w:ascii="Arial" w:cs="Arial" w:eastAsia="Arial" w:hAnsi="Arial"/>
          <w:sz w:val="21"/>
          <w:szCs w:val="21"/>
          <w:b w:val="1"/>
          <w:bCs w:val="1"/>
          <w:color w:val="auto"/>
        </w:rPr>
      </w:pPr>
    </w:p>
    <w:p>
      <w:pPr>
        <w:ind w:left="1500" w:hanging="1492"/>
        <w:spacing w:after="0"/>
        <w:tabs>
          <w:tab w:leader="none" w:pos="15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LIGIBILITY</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75" w:lineRule="auto"/>
        <w:tabs>
          <w:tab w:leader="none" w:pos="2411" w:val="left"/>
        </w:tabs>
        <w:numPr>
          <w:ilvl w:val="1"/>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Eligibility for Specific Stock Awards. </w:t>
      </w:r>
      <w:r>
        <w:rPr>
          <w:rFonts w:ascii="Arial" w:cs="Arial" w:eastAsia="Arial" w:hAnsi="Arial"/>
          <w:sz w:val="19"/>
          <w:szCs w:val="19"/>
          <w:color w:val="auto"/>
        </w:rPr>
        <w:t>Incentive Stock Options may be granted only to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of the Company or a “parent 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200" w:lineRule="exact"/>
        <w:rPr>
          <w:rFonts w:ascii="Arial" w:cs="Arial" w:eastAsia="Arial" w:hAnsi="Arial"/>
          <w:sz w:val="19"/>
          <w:szCs w:val="19"/>
          <w:b w:val="1"/>
          <w:bCs w:val="1"/>
          <w:color w:val="auto"/>
        </w:rPr>
      </w:pPr>
    </w:p>
    <w:p>
      <w:pPr>
        <w:spacing w:after="0" w:line="200" w:lineRule="exact"/>
        <w:rPr>
          <w:rFonts w:ascii="Arial" w:cs="Arial" w:eastAsia="Arial" w:hAnsi="Arial"/>
          <w:sz w:val="19"/>
          <w:szCs w:val="19"/>
          <w:b w:val="1"/>
          <w:bCs w:val="1"/>
          <w:color w:val="auto"/>
        </w:rPr>
      </w:pPr>
    </w:p>
    <w:p>
      <w:pPr>
        <w:jc w:val="both"/>
        <w:ind w:firstLine="872"/>
        <w:spacing w:after="0" w:line="243" w:lineRule="auto"/>
        <w:tabs>
          <w:tab w:leader="none" w:pos="2423" w:val="left"/>
        </w:tabs>
        <w:numPr>
          <w:ilvl w:val="1"/>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Ten Percent Stockholders. </w:t>
      </w:r>
      <w:r>
        <w:rPr>
          <w:rFonts w:ascii="Arial" w:cs="Arial" w:eastAsia="Arial" w:hAnsi="Arial"/>
          <w:sz w:val="22"/>
          <w:szCs w:val="22"/>
          <w:color w:val="auto"/>
        </w:rPr>
        <w:t>A Ten Percent Stockholder will not be granted an Incentive Stock</w:t>
      </w:r>
      <w:r>
        <w:rPr>
          <w:rFonts w:ascii="Arial" w:cs="Arial" w:eastAsia="Arial" w:hAnsi="Arial"/>
          <w:sz w:val="22"/>
          <w:szCs w:val="22"/>
          <w:b w:val="1"/>
          <w:bCs w:val="1"/>
          <w:color w:val="auto"/>
        </w:rPr>
        <w:t xml:space="preserve"> </w:t>
      </w:r>
      <w:r>
        <w:rPr>
          <w:rFonts w:ascii="Arial" w:cs="Arial" w:eastAsia="Arial" w:hAnsi="Arial"/>
          <w:sz w:val="22"/>
          <w:szCs w:val="22"/>
          <w:color w:val="auto"/>
        </w:rPr>
        <w:t>Option unless the exercise price of such Option is at least 110% of the Fair Market Value on the date of grant and the Option is not exercisable after the expiration of five years from the date of grant.</w:t>
      </w:r>
    </w:p>
    <w:p>
      <w:pPr>
        <w:spacing w:after="0" w:line="176" w:lineRule="exact"/>
        <w:rPr>
          <w:rFonts w:ascii="Arial" w:cs="Arial" w:eastAsia="Arial" w:hAnsi="Arial"/>
          <w:sz w:val="22"/>
          <w:szCs w:val="22"/>
          <w:b w:val="1"/>
          <w:bCs w:val="1"/>
          <w:color w:val="auto"/>
        </w:rPr>
      </w:pPr>
    </w:p>
    <w:p>
      <w:pPr>
        <w:jc w:val="both"/>
        <w:ind w:left="1740" w:firstLine="726"/>
        <w:spacing w:after="0" w:line="236" w:lineRule="auto"/>
        <w:tabs>
          <w:tab w:leader="none" w:pos="4006" w:val="left"/>
        </w:tabs>
        <w:numPr>
          <w:ilvl w:val="2"/>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Limitation on Grants to Non-Employee Directors. </w:t>
      </w:r>
      <w:r>
        <w:rPr>
          <w:rFonts w:ascii="Arial" w:cs="Arial" w:eastAsia="Arial" w:hAnsi="Arial"/>
          <w:sz w:val="22"/>
          <w:szCs w:val="22"/>
          <w:color w:val="auto"/>
        </w:rPr>
        <w:t>The maximum number of</w:t>
      </w:r>
      <w:r>
        <w:rPr>
          <w:rFonts w:ascii="Arial" w:cs="Arial" w:eastAsia="Arial" w:hAnsi="Arial"/>
          <w:sz w:val="22"/>
          <w:szCs w:val="22"/>
          <w:b w:val="1"/>
          <w:bCs w:val="1"/>
          <w:color w:val="auto"/>
        </w:rPr>
        <w:t xml:space="preserve"> </w:t>
      </w:r>
      <w:r>
        <w:rPr>
          <w:rFonts w:ascii="Arial" w:cs="Arial" w:eastAsia="Arial" w:hAnsi="Arial"/>
          <w:sz w:val="22"/>
          <w:szCs w:val="22"/>
          <w:color w:val="auto"/>
        </w:rPr>
        <w:t>shares of Common Stock subject to Stock Awards granted under the Plan or otherwise during any one calendar year to any Non-Employee Director, taken together with any cash fees paid by the Company to such Non-Employee Director during such calendar year for service on the Board, will not exceed $500,000 in total value (calculating the value of any such Stock Awards based on the grant date fair value of such Stock Awards for financial reporting purposes).</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6.</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ind w:left="300" w:hanging="292"/>
        <w:spacing w:after="0"/>
        <w:tabs>
          <w:tab w:leader="none" w:pos="300" w:val="left"/>
        </w:tabs>
        <w:numPr>
          <w:ilvl w:val="0"/>
          <w:numId w:val="35"/>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ROVISIONS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ELATING TO</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22"/>
          <w:szCs w:val="22"/>
          <w:b w:val="1"/>
          <w:bCs w:val="1"/>
          <w:color w:val="auto"/>
        </w:rPr>
        <w:t>.</w:t>
      </w:r>
    </w:p>
    <w:p>
      <w:pPr>
        <w:spacing w:after="0" w:line="212" w:lineRule="exact"/>
        <w:rPr>
          <w:sz w:val="20"/>
          <w:szCs w:val="20"/>
          <w:color w:val="auto"/>
        </w:rPr>
      </w:pPr>
    </w:p>
    <w:p>
      <w:pPr>
        <w:jc w:val="both"/>
        <w:ind w:firstLine="864"/>
        <w:spacing w:after="0" w:line="233" w:lineRule="auto"/>
        <w:rPr>
          <w:sz w:val="20"/>
          <w:szCs w:val="20"/>
          <w:color w:val="auto"/>
        </w:rPr>
      </w:pPr>
      <w:r>
        <w:rPr>
          <w:rFonts w:ascii="Arial" w:cs="Arial" w:eastAsia="Arial" w:hAnsi="Arial"/>
          <w:sz w:val="22"/>
          <w:szCs w:val="22"/>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22"/>
          <w:szCs w:val="22"/>
          <w:i w:val="1"/>
          <w:iCs w:val="1"/>
          <w:color w:val="auto"/>
        </w:rPr>
        <w:t>provided, however</w:t>
      </w:r>
      <w:r>
        <w:rPr>
          <w:rFonts w:ascii="Arial" w:cs="Arial" w:eastAsia="Arial" w:hAnsi="Arial"/>
          <w:sz w:val="22"/>
          <w:szCs w:val="22"/>
          <w:color w:val="auto"/>
        </w:rPr>
        <w:t>, that each Stock Award Agreement will conform to (through incorporation of provisions hereof by reference in the applicable Stock Award Agreement or otherwise) the substance of each of the following provisions:</w:t>
      </w:r>
    </w:p>
    <w:p>
      <w:pPr>
        <w:spacing w:after="0" w:line="187" w:lineRule="exact"/>
        <w:rPr>
          <w:sz w:val="20"/>
          <w:szCs w:val="20"/>
          <w:color w:val="auto"/>
        </w:rPr>
      </w:pPr>
    </w:p>
    <w:p>
      <w:pPr>
        <w:jc w:val="both"/>
        <w:ind w:firstLine="872"/>
        <w:spacing w:after="0" w:line="243" w:lineRule="auto"/>
        <w:tabs>
          <w:tab w:leader="none" w:pos="2411"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Subject to the provisions of Section 4(b) regarding Ten Percent Stockholders, no Option or</w:t>
      </w:r>
      <w:r>
        <w:rPr>
          <w:rFonts w:ascii="Arial" w:cs="Arial" w:eastAsia="Arial" w:hAnsi="Arial"/>
          <w:sz w:val="22"/>
          <w:szCs w:val="22"/>
          <w:b w:val="1"/>
          <w:bCs w:val="1"/>
          <w:color w:val="auto"/>
        </w:rPr>
        <w:t xml:space="preserve"> </w:t>
      </w:r>
      <w:r>
        <w:rPr>
          <w:rFonts w:ascii="Arial" w:cs="Arial" w:eastAsia="Arial" w:hAnsi="Arial"/>
          <w:sz w:val="22"/>
          <w:szCs w:val="22"/>
          <w:color w:val="auto"/>
        </w:rPr>
        <w:t>SAR will be exercisable after the expiration of ten years from the date of its grant or such shorter period specified in the Stock Award Agreement.</w:t>
      </w:r>
    </w:p>
    <w:p>
      <w:pPr>
        <w:spacing w:after="0" w:line="176" w:lineRule="exact"/>
        <w:rPr>
          <w:rFonts w:ascii="Arial" w:cs="Arial" w:eastAsia="Arial" w:hAnsi="Arial"/>
          <w:sz w:val="22"/>
          <w:szCs w:val="22"/>
          <w:b w:val="1"/>
          <w:bCs w:val="1"/>
          <w:color w:val="auto"/>
        </w:rPr>
      </w:pPr>
    </w:p>
    <w:p>
      <w:pPr>
        <w:jc w:val="both"/>
        <w:ind w:firstLine="872"/>
        <w:spacing w:after="0" w:line="278" w:lineRule="auto"/>
        <w:tabs>
          <w:tab w:leader="none" w:pos="2423" w:val="left"/>
        </w:tabs>
        <w:numPr>
          <w:ilvl w:val="0"/>
          <w:numId w:val="3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Price. </w:t>
      </w:r>
      <w:r>
        <w:rPr>
          <w:rFonts w:ascii="Arial" w:cs="Arial" w:eastAsia="Arial" w:hAnsi="Arial"/>
          <w:sz w:val="19"/>
          <w:szCs w:val="19"/>
          <w:color w:val="auto"/>
        </w:rPr>
        <w:t>Subject to the provisions of Section 4(b) regarding Ten Percent Stockholders, the</w:t>
      </w:r>
      <w:r>
        <w:rPr>
          <w:rFonts w:ascii="Arial" w:cs="Arial" w:eastAsia="Arial" w:hAnsi="Arial"/>
          <w:sz w:val="19"/>
          <w:szCs w:val="19"/>
          <w:b w:val="1"/>
          <w:bCs w:val="1"/>
          <w:color w:val="auto"/>
        </w:rPr>
        <w:t xml:space="preserve"> </w:t>
      </w:r>
      <w:r>
        <w:rPr>
          <w:rFonts w:ascii="Arial" w:cs="Arial" w:eastAsia="Arial" w:hAnsi="Arial"/>
          <w:sz w:val="19"/>
          <w:szCs w:val="19"/>
          <w:color w:val="auto"/>
        </w:rPr>
        <w:t>exercise or strike price of each Option or 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45" w:lineRule="exact"/>
        <w:rPr>
          <w:rFonts w:ascii="Arial" w:cs="Arial" w:eastAsia="Arial" w:hAnsi="Arial"/>
          <w:sz w:val="19"/>
          <w:szCs w:val="19"/>
          <w:b w:val="1"/>
          <w:bCs w:val="1"/>
          <w:color w:val="auto"/>
        </w:rPr>
      </w:pPr>
    </w:p>
    <w:p>
      <w:pPr>
        <w:jc w:val="both"/>
        <w:ind w:firstLine="872"/>
        <w:spacing w:after="0" w:line="236" w:lineRule="auto"/>
        <w:tabs>
          <w:tab w:leader="none" w:pos="2399"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Purchase Price for Options. </w:t>
      </w:r>
      <w:r>
        <w:rPr>
          <w:rFonts w:ascii="Arial" w:cs="Arial" w:eastAsia="Arial" w:hAnsi="Arial"/>
          <w:sz w:val="22"/>
          <w:szCs w:val="22"/>
          <w:color w:val="auto"/>
        </w:rPr>
        <w:t>The purchase price of Common Stock acquired pursuant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ectPr>
          <w:pgSz w:w="11900" w:h="16838" w:orient="portrait"/>
          <w:cols w:equalWidth="0" w:num="1">
            <w:col w:w="11240"/>
          </w:cols>
          <w:pgMar w:left="320" w:top="328" w:right="339" w:bottom="1440" w:gutter="0" w:footer="0" w:header="0"/>
        </w:sectPr>
      </w:pPr>
    </w:p>
    <w:p>
      <w:pPr>
        <w:spacing w:after="0" w:line="182"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color w:val="auto"/>
        </w:rPr>
        <w:t>by cash, check, bank draft or money order payable to the Company;</w:t>
      </w:r>
    </w:p>
    <w:p>
      <w:pPr>
        <w:spacing w:after="0" w:line="216" w:lineRule="exact"/>
        <w:rPr>
          <w:sz w:val="20"/>
          <w:szCs w:val="20"/>
          <w:color w:val="auto"/>
        </w:rPr>
      </w:pPr>
    </w:p>
    <w:p>
      <w:pPr>
        <w:sectPr>
          <w:pgSz w:w="11900" w:h="16838" w:orient="portrait"/>
          <w:cols w:equalWidth="0" w:num="2">
            <w:col w:w="3160" w:space="720"/>
            <w:col w:w="7360"/>
          </w:cols>
          <w:pgMar w:left="320" w:top="328" w:right="339" w:bottom="1440" w:gutter="0" w:footer="0" w:header="0"/>
          <w:type w:val="continuous"/>
        </w:sectPr>
      </w:pPr>
    </w:p>
    <w:p>
      <w:pPr>
        <w:spacing w:after="0" w:line="18"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pursuant to a program developed under Regulation T as promulgated by the Federal</w:t>
      </w:r>
    </w:p>
    <w:p>
      <w:pPr>
        <w:sectPr>
          <w:pgSz w:w="11900" w:h="16838" w:orient="portrait"/>
          <w:cols w:equalWidth="0" w:num="1">
            <w:col w:w="11240"/>
          </w:cols>
          <w:pgMar w:left="320" w:top="328" w:right="3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ectPr>
          <w:pgSz w:w="11900" w:h="16838" w:orient="portrait"/>
          <w:cols w:equalWidth="0" w:num="1">
            <w:col w:w="11240"/>
          </w:cols>
          <w:pgMar w:left="320" w:top="328" w:right="339" w:bottom="1440" w:gutter="0" w:footer="0" w:header="0"/>
          <w:type w:val="continuous"/>
        </w:sectPr>
      </w:pPr>
    </w:p>
    <w:p>
      <w:pPr>
        <w:spacing w:after="0" w:line="180"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(iii)</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by delivery to the Company (either by actual delivery or attestation) of shares of</w:t>
      </w:r>
    </w:p>
    <w:p>
      <w:pPr>
        <w:spacing w:after="0" w:line="45" w:lineRule="exact"/>
        <w:rPr>
          <w:sz w:val="20"/>
          <w:szCs w:val="20"/>
          <w:color w:val="auto"/>
        </w:rPr>
      </w:pPr>
    </w:p>
    <w:p>
      <w:pPr>
        <w:sectPr>
          <w:pgSz w:w="11900" w:h="16838" w:orient="portrait"/>
          <w:cols w:equalWidth="0" w:num="2">
            <w:col w:w="3280" w:space="720"/>
            <w:col w:w="7240"/>
          </w:cols>
          <w:pgMar w:left="320" w:top="328" w:right="339" w:bottom="1440" w:gutter="0" w:footer="0" w:header="0"/>
          <w:type w:val="continuous"/>
        </w:sectPr>
      </w:pPr>
    </w:p>
    <w:p>
      <w:pPr>
        <w:spacing w:after="0"/>
        <w:rPr>
          <w:sz w:val="20"/>
          <w:szCs w:val="20"/>
          <w:color w:val="auto"/>
        </w:rPr>
      </w:pPr>
      <w:r>
        <w:rPr>
          <w:rFonts w:ascii="Arial" w:cs="Arial" w:eastAsia="Arial" w:hAnsi="Arial"/>
          <w:sz w:val="22"/>
          <w:szCs w:val="22"/>
          <w:color w:val="auto"/>
        </w:rPr>
        <w:t>Common Stock;</w:t>
      </w:r>
    </w:p>
    <w:p>
      <w:pPr>
        <w:spacing w:after="0" w:line="179" w:lineRule="exact"/>
        <w:rPr>
          <w:sz w:val="20"/>
          <w:szCs w:val="20"/>
          <w:color w:val="auto"/>
        </w:rPr>
      </w:pPr>
    </w:p>
    <w:p>
      <w:pPr>
        <w:ind w:left="1740"/>
        <w:spacing w:after="0"/>
        <w:tabs>
          <w:tab w:leader="none" w:pos="3980" w:val="left"/>
        </w:tabs>
        <w:rPr>
          <w:sz w:val="20"/>
          <w:szCs w:val="20"/>
          <w:color w:val="auto"/>
        </w:rPr>
      </w:pPr>
      <w:r>
        <w:rPr>
          <w:rFonts w:ascii="Arial" w:cs="Arial" w:eastAsia="Arial" w:hAnsi="Arial"/>
          <w:sz w:val="21"/>
          <w:szCs w:val="21"/>
          <w:b w:val="1"/>
          <w:bCs w:val="1"/>
          <w:color w:val="auto"/>
        </w:rPr>
        <w:t>(iv)</w:t>
      </w:r>
      <w:r>
        <w:rPr>
          <w:sz w:val="20"/>
          <w:szCs w:val="20"/>
          <w:color w:val="auto"/>
        </w:rPr>
        <w:tab/>
      </w:r>
      <w:r>
        <w:rPr>
          <w:rFonts w:ascii="Arial" w:cs="Arial" w:eastAsia="Arial" w:hAnsi="Arial"/>
          <w:sz w:val="21"/>
          <w:szCs w:val="21"/>
          <w:color w:val="auto"/>
        </w:rPr>
        <w:t>if an Option is a Nonstatutory Stock Option, by a “net exercise” arrangement</w:t>
      </w:r>
    </w:p>
    <w:p>
      <w:pPr>
        <w:sectPr>
          <w:pgSz w:w="11900" w:h="16838" w:orient="portrait"/>
          <w:cols w:equalWidth="0" w:num="1">
            <w:col w:w="11240"/>
          </w:cols>
          <w:pgMar w:left="320" w:top="328" w:right="33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auto"/>
        </w:rPr>
        <w:t>pursuant to which the Company will reduce the number of shares of Common Stock</w:t>
      </w:r>
    </w:p>
    <w:p>
      <w:pPr>
        <w:spacing w:after="0" w:line="3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7.</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75" w:name="page76"/>
    <w:bookmarkEnd w:id="75"/>
    <w:p>
      <w:pPr>
        <w:jc w:val="both"/>
        <w:spacing w:after="0" w:line="271" w:lineRule="auto"/>
        <w:rPr>
          <w:sz w:val="20"/>
          <w:szCs w:val="20"/>
          <w:color w:val="auto"/>
        </w:rPr>
      </w:pPr>
      <w:r>
        <w:rPr>
          <w:rFonts w:ascii="Arial" w:cs="Arial" w:eastAsia="Arial" w:hAnsi="Arial"/>
          <w:sz w:val="19"/>
          <w:szCs w:val="19"/>
          <w:color w:val="auto"/>
        </w:rPr>
        <w:t xml:space="preserve">issuable upon exercise by the largest whole number of shares with a Fair Market Value that does not exceed the aggregate exercise price;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w:t>
      </w:r>
    </w:p>
    <w:p>
      <w:pPr>
        <w:spacing w:after="0" w:line="3" w:lineRule="exact"/>
        <w:rPr>
          <w:sz w:val="20"/>
          <w:szCs w:val="20"/>
          <w:color w:val="auto"/>
        </w:rPr>
      </w:pPr>
    </w:p>
    <w:p>
      <w:pPr>
        <w:ind w:right="20" w:firstLine="8"/>
        <w:spacing w:after="0" w:line="308" w:lineRule="auto"/>
        <w:tabs>
          <w:tab w:leader="none" w:pos="358" w:val="left"/>
        </w:tabs>
        <w:numPr>
          <w:ilvl w:val="0"/>
          <w:numId w:val="37"/>
        </w:numPr>
        <w:rPr>
          <w:rFonts w:ascii="Arial" w:cs="Arial" w:eastAsia="Arial" w:hAnsi="Arial"/>
          <w:sz w:val="19"/>
          <w:szCs w:val="19"/>
          <w:color w:val="auto"/>
        </w:rPr>
      </w:pPr>
      <w:r>
        <w:rPr>
          <w:rFonts w:ascii="Arial" w:cs="Arial" w:eastAsia="Arial" w:hAnsi="Arial"/>
          <w:sz w:val="19"/>
          <w:szCs w:val="19"/>
          <w:color w:val="auto"/>
        </w:rPr>
        <w:t>shares issuable upon exercise are used to pay the exercise price pursuant to the “net exercise,” (B) shares are delivered to the Participant as a result of such exercise, and (C) shares are withheld to satisfy tax withholding obligations; or</w:t>
      </w:r>
    </w:p>
    <w:p>
      <w:pPr>
        <w:spacing w:after="0" w:line="117" w:lineRule="exact"/>
        <w:rPr>
          <w:sz w:val="20"/>
          <w:szCs w:val="20"/>
          <w:color w:val="auto"/>
        </w:rPr>
      </w:pPr>
    </w:p>
    <w:p>
      <w:pPr>
        <w:ind w:right="20" w:firstLine="1727"/>
        <w:spacing w:after="0" w:line="256" w:lineRule="auto"/>
        <w:rPr>
          <w:sz w:val="20"/>
          <w:szCs w:val="20"/>
          <w:color w:val="auto"/>
        </w:rPr>
      </w:pPr>
      <w:r>
        <w:rPr>
          <w:rFonts w:ascii="Arial" w:cs="Arial" w:eastAsia="Arial" w:hAnsi="Arial"/>
          <w:sz w:val="22"/>
          <w:szCs w:val="22"/>
          <w:b w:val="1"/>
          <w:bCs w:val="1"/>
          <w:color w:val="auto"/>
        </w:rPr>
        <w:t xml:space="preserve">(v) </w:t>
      </w:r>
      <w:r>
        <w:rPr>
          <w:rFonts w:ascii="Arial" w:cs="Arial" w:eastAsia="Arial" w:hAnsi="Arial"/>
          <w:sz w:val="22"/>
          <w:szCs w:val="22"/>
          <w:color w:val="auto"/>
        </w:rPr>
        <w:t>in any other form of legal consideration that may be acceptable to the Board and</w:t>
      </w:r>
      <w:r>
        <w:rPr>
          <w:rFonts w:ascii="Arial" w:cs="Arial" w:eastAsia="Arial" w:hAnsi="Arial"/>
          <w:sz w:val="22"/>
          <w:szCs w:val="22"/>
          <w:b w:val="1"/>
          <w:bCs w:val="1"/>
          <w:color w:val="auto"/>
        </w:rPr>
        <w:t xml:space="preserve"> </w:t>
      </w:r>
      <w:r>
        <w:rPr>
          <w:rFonts w:ascii="Arial" w:cs="Arial" w:eastAsia="Arial" w:hAnsi="Arial"/>
          <w:sz w:val="22"/>
          <w:szCs w:val="22"/>
          <w:color w:val="auto"/>
        </w:rPr>
        <w:t>specified in the applicable Stock Award Agreement.</w:t>
      </w:r>
    </w:p>
    <w:p>
      <w:pPr>
        <w:spacing w:after="0" w:line="162" w:lineRule="exact"/>
        <w:rPr>
          <w:sz w:val="20"/>
          <w:szCs w:val="20"/>
          <w:color w:val="auto"/>
        </w:rPr>
      </w:pPr>
    </w:p>
    <w:p>
      <w:pPr>
        <w:jc w:val="both"/>
        <w:ind w:right="20" w:firstLine="872"/>
        <w:spacing w:after="0" w:line="275" w:lineRule="auto"/>
        <w:tabs>
          <w:tab w:leader="none" w:pos="2423" w:val="left"/>
        </w:tabs>
        <w:numPr>
          <w:ilvl w:val="1"/>
          <w:numId w:val="3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Exercise and Payment of a SAR. </w:t>
      </w:r>
      <w:r>
        <w:rPr>
          <w:rFonts w:ascii="Arial" w:cs="Arial" w:eastAsia="Arial" w:hAnsi="Arial"/>
          <w:sz w:val="19"/>
          <w:szCs w:val="19"/>
          <w:color w:val="auto"/>
        </w:rPr>
        <w:t>To exercise any outstanding SAR, the Participant must provide</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of exercise to the Company in compliance with the provisions of the Stock Award Agreement evidencing such SAR. The appreciation distribution payable on the exercise of a SAR will be not greater than an amount equal to the excess of</w:t>
      </w:r>
    </w:p>
    <w:p>
      <w:pPr>
        <w:spacing w:after="0" w:line="1" w:lineRule="exact"/>
        <w:rPr>
          <w:rFonts w:ascii="Arial" w:cs="Arial" w:eastAsia="Arial" w:hAnsi="Arial"/>
          <w:sz w:val="19"/>
          <w:szCs w:val="19"/>
          <w:b w:val="1"/>
          <w:bCs w:val="1"/>
          <w:color w:val="auto"/>
        </w:rPr>
      </w:pPr>
    </w:p>
    <w:p>
      <w:pPr>
        <w:jc w:val="both"/>
        <w:ind w:firstLine="8"/>
        <w:spacing w:after="0" w:line="244" w:lineRule="auto"/>
        <w:tabs>
          <w:tab w:leader="none" w:pos="366"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76" w:lineRule="exact"/>
        <w:rPr>
          <w:rFonts w:ascii="Arial" w:cs="Arial" w:eastAsia="Arial" w:hAnsi="Arial"/>
          <w:sz w:val="21"/>
          <w:szCs w:val="21"/>
          <w:color w:val="auto"/>
        </w:rPr>
      </w:pPr>
    </w:p>
    <w:p>
      <w:pPr>
        <w:jc w:val="both"/>
        <w:ind w:firstLine="872"/>
        <w:spacing w:after="0" w:line="237" w:lineRule="auto"/>
        <w:tabs>
          <w:tab w:leader="none" w:pos="2399" w:val="left"/>
        </w:tabs>
        <w:numPr>
          <w:ilvl w:val="1"/>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Transferability of Options and SARs. </w:t>
      </w:r>
      <w:r>
        <w:rPr>
          <w:rFonts w:ascii="Arial" w:cs="Arial" w:eastAsia="Arial" w:hAnsi="Arial"/>
          <w:sz w:val="22"/>
          <w:szCs w:val="22"/>
          <w:color w:val="auto"/>
        </w:rPr>
        <w:t>The Board may, in its sole discretion, impose such</w:t>
      </w:r>
      <w:r>
        <w:rPr>
          <w:rFonts w:ascii="Arial" w:cs="Arial" w:eastAsia="Arial" w:hAnsi="Arial"/>
          <w:sz w:val="22"/>
          <w:szCs w:val="22"/>
          <w:b w:val="1"/>
          <w:bCs w:val="1"/>
          <w:color w:val="auto"/>
        </w:rPr>
        <w:t xml:space="preserve"> </w:t>
      </w:r>
      <w:r>
        <w:rPr>
          <w:rFonts w:ascii="Arial" w:cs="Arial" w:eastAsia="Arial" w:hAnsi="Arial"/>
          <w:sz w:val="22"/>
          <w:szCs w:val="22"/>
          <w:color w:val="auto"/>
        </w:rPr>
        <w:t>limitations on the transferability of Options and SARs as the Board will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spacing w:after="0" w:line="18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 Restrictions on Transfer. </w:t>
      </w:r>
      <w:r>
        <w:rPr>
          <w:rFonts w:ascii="Arial" w:cs="Arial" w:eastAsia="Arial" w:hAnsi="Arial"/>
          <w:sz w:val="22"/>
          <w:szCs w:val="22"/>
          <w:color w:val="auto"/>
        </w:rPr>
        <w:t>An Option or SAR will not be transferable except by will</w:t>
      </w:r>
      <w:r>
        <w:rPr>
          <w:rFonts w:ascii="Arial" w:cs="Arial" w:eastAsia="Arial" w:hAnsi="Arial"/>
          <w:sz w:val="22"/>
          <w:szCs w:val="22"/>
          <w:b w:val="1"/>
          <w:bCs w:val="1"/>
          <w:color w:val="auto"/>
        </w:rPr>
        <w:t xml:space="preserve"> </w:t>
      </w:r>
      <w:r>
        <w:rPr>
          <w:rFonts w:ascii="Arial" w:cs="Arial" w:eastAsia="Arial" w:hAnsi="Arial"/>
          <w:sz w:val="22"/>
          <w:szCs w:val="22"/>
          <w:color w:val="auto"/>
        </w:rPr>
        <w:t>or by the laws of descent and distribution (and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182" w:lineRule="exact"/>
        <w:rPr>
          <w:sz w:val="20"/>
          <w:szCs w:val="20"/>
          <w:color w:val="auto"/>
        </w:rPr>
      </w:pPr>
    </w:p>
    <w:p>
      <w:pPr>
        <w:jc w:val="both"/>
        <w:ind w:firstLine="1727"/>
        <w:spacing w:after="0" w:line="289" w:lineRule="auto"/>
        <w:rPr>
          <w:sz w:val="20"/>
          <w:szCs w:val="20"/>
          <w:color w:val="auto"/>
        </w:rPr>
      </w:pPr>
      <w:r>
        <w:rPr>
          <w:rFonts w:ascii="Arial" w:cs="Arial" w:eastAsia="Arial" w:hAnsi="Arial"/>
          <w:sz w:val="19"/>
          <w:szCs w:val="19"/>
          <w:b w:val="1"/>
          <w:bCs w:val="1"/>
          <w:color w:val="auto"/>
        </w:rPr>
        <w:t xml:space="preserve">(ii) Domestic Relations Orders. </w:t>
      </w:r>
      <w:r>
        <w:rPr>
          <w:rFonts w:ascii="Arial" w:cs="Arial" w:eastAsia="Arial" w:hAnsi="Arial"/>
          <w:sz w:val="19"/>
          <w:szCs w:val="19"/>
          <w:color w:val="auto"/>
        </w:rPr>
        <w:t>Subject to the approval of the Board or a duly</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authorized Officer, an Option or SAR may be 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36"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(iii) Beneficiary Designation. </w:t>
      </w:r>
      <w:r>
        <w:rPr>
          <w:rFonts w:ascii="Arial" w:cs="Arial" w:eastAsia="Arial" w:hAnsi="Arial"/>
          <w:sz w:val="22"/>
          <w:szCs w:val="22"/>
          <w:color w:val="auto"/>
        </w:rPr>
        <w:t>Subject to the approval of the Board or a duly</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a Participant may, by delivering written notice to the Company, in a form</w:t>
      </w:r>
    </w:p>
    <w:p>
      <w:pPr>
        <w:spacing w:after="0" w:line="2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8.</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both"/>
        <w:spacing w:after="0" w:line="279" w:lineRule="auto"/>
        <w:rPr>
          <w:sz w:val="20"/>
          <w:szCs w:val="20"/>
          <w:color w:val="auto"/>
        </w:rPr>
      </w:pPr>
      <w:r>
        <w:rPr>
          <w:rFonts w:ascii="Arial" w:cs="Arial" w:eastAsia="Arial" w:hAnsi="Arial"/>
          <w:sz w:val="19"/>
          <w:szCs w:val="19"/>
          <w:color w:val="auto"/>
        </w:rPr>
        <w:t>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44" w:lineRule="exact"/>
        <w:rPr>
          <w:sz w:val="20"/>
          <w:szCs w:val="20"/>
          <w:color w:val="auto"/>
        </w:rPr>
      </w:pPr>
    </w:p>
    <w:p>
      <w:pPr>
        <w:jc w:val="both"/>
        <w:ind w:firstLine="872"/>
        <w:spacing w:after="0" w:line="249" w:lineRule="auto"/>
        <w:tabs>
          <w:tab w:leader="none" w:pos="2375"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Vesting Generally. </w:t>
      </w:r>
      <w:r>
        <w:rPr>
          <w:rFonts w:ascii="Arial" w:cs="Arial" w:eastAsia="Arial" w:hAnsi="Arial"/>
          <w:sz w:val="21"/>
          <w:szCs w:val="21"/>
          <w:color w:val="auto"/>
        </w:rPr>
        <w:t>The total number of shares of Common Stock subject to an Option or SAR may</w:t>
      </w:r>
      <w:r>
        <w:rPr>
          <w:rFonts w:ascii="Arial" w:cs="Arial" w:eastAsia="Arial" w:hAnsi="Arial"/>
          <w:sz w:val="21"/>
          <w:szCs w:val="21"/>
          <w:b w:val="1"/>
          <w:bCs w:val="1"/>
          <w:color w:val="auto"/>
        </w:rPr>
        <w:t xml:space="preserve"> </w:t>
      </w:r>
      <w:r>
        <w:rPr>
          <w:rFonts w:ascii="Arial" w:cs="Arial" w:eastAsia="Arial" w:hAnsi="Arial"/>
          <w:sz w:val="21"/>
          <w:szCs w:val="21"/>
          <w:color w:val="auto"/>
        </w:rPr>
        <w:t>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0" w:lineRule="exact"/>
        <w:rPr>
          <w:rFonts w:ascii="Arial" w:cs="Arial" w:eastAsia="Arial" w:hAnsi="Arial"/>
          <w:sz w:val="21"/>
          <w:szCs w:val="21"/>
          <w:b w:val="1"/>
          <w:bCs w:val="1"/>
          <w:color w:val="auto"/>
        </w:rPr>
      </w:pPr>
    </w:p>
    <w:p>
      <w:pPr>
        <w:jc w:val="both"/>
        <w:ind w:firstLine="872"/>
        <w:spacing w:after="0" w:line="246" w:lineRule="auto"/>
        <w:tabs>
          <w:tab w:leader="none" w:pos="2411"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Termination of Continuous Service. </w:t>
      </w:r>
      <w:r>
        <w:rPr>
          <w:rFonts w:ascii="Arial" w:cs="Arial" w:eastAsia="Arial" w:hAnsi="Arial"/>
          <w:sz w:val="21"/>
          <w:szCs w:val="21"/>
          <w:color w:val="auto"/>
        </w:rPr>
        <w:t>Except as otherwise provided in the applicable Stock Award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or other agreement between 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75" w:lineRule="exact"/>
        <w:rPr>
          <w:rFonts w:ascii="Arial" w:cs="Arial" w:eastAsia="Arial" w:hAnsi="Arial"/>
          <w:sz w:val="21"/>
          <w:szCs w:val="21"/>
          <w:b w:val="1"/>
          <w:bCs w:val="1"/>
          <w:color w:val="auto"/>
        </w:rPr>
      </w:pPr>
    </w:p>
    <w:p>
      <w:pPr>
        <w:jc w:val="both"/>
        <w:ind w:firstLine="872"/>
        <w:spacing w:after="0" w:line="272" w:lineRule="auto"/>
        <w:tabs>
          <w:tab w:leader="none" w:pos="2423" w:val="left"/>
        </w:tabs>
        <w:numPr>
          <w:ilvl w:val="0"/>
          <w:numId w:val="4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Extension of Termination Date. </w:t>
      </w:r>
      <w:r>
        <w:rPr>
          <w:rFonts w:ascii="Arial" w:cs="Arial" w:eastAsia="Arial" w:hAnsi="Arial"/>
          <w:sz w:val="19"/>
          <w:szCs w:val="19"/>
          <w:color w:val="auto"/>
        </w:rPr>
        <w:t>Except as otherwise provided in the applicable Stock Award</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other agreement between the Participant and the Company or an Affiliate,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w:t>
      </w:r>
    </w:p>
    <w:p>
      <w:pPr>
        <w:spacing w:after="0" w:line="28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9.</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7" w:name="page78"/>
    <w:bookmarkEnd w:id="77"/>
    <w:p>
      <w:pPr>
        <w:ind w:right="20"/>
        <w:spacing w:after="0" w:line="250" w:lineRule="auto"/>
        <w:rPr>
          <w:sz w:val="20"/>
          <w:szCs w:val="20"/>
          <w:color w:val="auto"/>
        </w:rPr>
      </w:pPr>
      <w:r>
        <w:rPr>
          <w:rFonts w:ascii="Arial" w:cs="Arial" w:eastAsia="Arial" w:hAnsi="Arial"/>
          <w:sz w:val="22"/>
          <w:szCs w:val="22"/>
          <w:color w:val="auto"/>
        </w:rPr>
        <w:t>Option or SAR would not be in violation of the Company’s insider trading policy, or (ii) the expiration of the term of the Option or SAR as set forth in the applicable Stock Award Agreement.</w:t>
      </w:r>
    </w:p>
    <w:p>
      <w:pPr>
        <w:spacing w:after="0" w:line="169" w:lineRule="exact"/>
        <w:rPr>
          <w:sz w:val="20"/>
          <w:szCs w:val="20"/>
          <w:color w:val="auto"/>
        </w:rPr>
      </w:pPr>
    </w:p>
    <w:p>
      <w:pPr>
        <w:jc w:val="both"/>
        <w:ind w:firstLine="872"/>
        <w:spacing w:after="0" w:line="276" w:lineRule="auto"/>
        <w:tabs>
          <w:tab w:leader="none" w:pos="2363"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Disability of Participant. </w:t>
      </w:r>
      <w:r>
        <w:rPr>
          <w:rFonts w:ascii="Arial" w:cs="Arial" w:eastAsia="Arial" w:hAnsi="Arial"/>
          <w:sz w:val="19"/>
          <w:szCs w:val="19"/>
          <w:color w:val="auto"/>
        </w:rPr>
        <w:t>Except as otherwise provided in the applicable Stock Award Agreement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 agreement between the 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49" w:lineRule="exact"/>
        <w:rPr>
          <w:rFonts w:ascii="Arial" w:cs="Arial" w:eastAsia="Arial" w:hAnsi="Arial"/>
          <w:sz w:val="19"/>
          <w:szCs w:val="19"/>
          <w:b w:val="1"/>
          <w:bCs w:val="1"/>
          <w:color w:val="auto"/>
        </w:rPr>
      </w:pPr>
    </w:p>
    <w:p>
      <w:pPr>
        <w:jc w:val="both"/>
        <w:ind w:firstLine="872"/>
        <w:spacing w:after="0" w:line="245" w:lineRule="auto"/>
        <w:tabs>
          <w:tab w:leader="none" w:pos="2375"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Death of Participant. </w:t>
      </w:r>
      <w:r>
        <w:rPr>
          <w:rFonts w:ascii="Arial" w:cs="Arial" w:eastAsia="Arial" w:hAnsi="Arial"/>
          <w:sz w:val="21"/>
          <w:szCs w:val="21"/>
          <w:color w:val="auto"/>
        </w:rPr>
        <w:t>Except as otherwise provided in the applicable Stock Award Agreement or</w:t>
      </w:r>
      <w:r>
        <w:rPr>
          <w:rFonts w:ascii="Arial" w:cs="Arial" w:eastAsia="Arial" w:hAnsi="Arial"/>
          <w:sz w:val="21"/>
          <w:szCs w:val="21"/>
          <w:b w:val="1"/>
          <w:bCs w:val="1"/>
          <w:color w:val="auto"/>
        </w:rPr>
        <w:t xml:space="preserve"> </w:t>
      </w:r>
      <w:r>
        <w:rPr>
          <w:rFonts w:ascii="Arial" w:cs="Arial" w:eastAsia="Arial" w:hAnsi="Arial"/>
          <w:sz w:val="21"/>
          <w:szCs w:val="21"/>
          <w:color w:val="auto"/>
        </w:rPr>
        <w:t>other agreement between the Participant 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18 months following the date of death (or such longer or shorter period specified in the Stock Award Agreement), and (ii) the expiration of the term of such Option or SAR as set forth in the Stock Award Agreement. If, after the Participant’s death, the Option or SAR (as applicable) is not exercised within the applicable time frame, the Option or SAR (as applicable) will terminate.</w:t>
      </w:r>
    </w:p>
    <w:p>
      <w:pPr>
        <w:spacing w:after="0" w:line="177" w:lineRule="exact"/>
        <w:rPr>
          <w:rFonts w:ascii="Arial" w:cs="Arial" w:eastAsia="Arial" w:hAnsi="Arial"/>
          <w:sz w:val="21"/>
          <w:szCs w:val="21"/>
          <w:b w:val="1"/>
          <w:bCs w:val="1"/>
          <w:color w:val="auto"/>
        </w:rPr>
      </w:pPr>
    </w:p>
    <w:p>
      <w:pPr>
        <w:jc w:val="both"/>
        <w:ind w:firstLine="872"/>
        <w:spacing w:after="0" w:line="276" w:lineRule="auto"/>
        <w:tabs>
          <w:tab w:leader="none" w:pos="2423" w:val="left"/>
        </w:tabs>
        <w:numPr>
          <w:ilvl w:val="0"/>
          <w:numId w:val="4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Termination due to Retirement. </w:t>
      </w:r>
      <w:r>
        <w:rPr>
          <w:rFonts w:ascii="Arial" w:cs="Arial" w:eastAsia="Arial" w:hAnsi="Arial"/>
          <w:sz w:val="19"/>
          <w:szCs w:val="19"/>
          <w:color w:val="auto"/>
        </w:rPr>
        <w:t>Except as otherwise provided in the applicable Award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or other agreement between the Participant and the Company, if a Participant’s Continuous Service terminates as a result of the Participant’s Retirement, the Participant may exercise his or her Option or SAR (to the extent that the Participant was entitled to exercise such Option or SAR as of the date of termination of Continuous Service), but only within such period of time ending on the earlier of (i) the date twenty-four (24)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49" w:lineRule="exact"/>
        <w:rPr>
          <w:rFonts w:ascii="Arial" w:cs="Arial" w:eastAsia="Arial" w:hAnsi="Arial"/>
          <w:sz w:val="19"/>
          <w:szCs w:val="19"/>
          <w:b w:val="1"/>
          <w:bCs w:val="1"/>
          <w:color w:val="auto"/>
        </w:rPr>
      </w:pPr>
    </w:p>
    <w:p>
      <w:pPr>
        <w:jc w:val="both"/>
        <w:ind w:firstLine="872"/>
        <w:spacing w:after="0" w:line="237" w:lineRule="auto"/>
        <w:tabs>
          <w:tab w:leader="none" w:pos="2363"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for Cause. </w:t>
      </w:r>
      <w:r>
        <w:rPr>
          <w:rFonts w:ascii="Arial" w:cs="Arial" w:eastAsia="Arial" w:hAnsi="Arial"/>
          <w:sz w:val="22"/>
          <w:szCs w:val="22"/>
          <w:color w:val="auto"/>
        </w:rPr>
        <w:t>Except as explicitly provided otherwise in a Participant’s 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or other individual written 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10.</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8" w:name="page79"/>
    <w:bookmarkEnd w:id="78"/>
    <w:p>
      <w:pPr>
        <w:jc w:val="both"/>
        <w:ind w:firstLine="872"/>
        <w:spacing w:after="0" w:line="271" w:lineRule="auto"/>
        <w:tabs>
          <w:tab w:leader="none" w:pos="2483" w:val="left"/>
        </w:tabs>
        <w:numPr>
          <w:ilvl w:val="1"/>
          <w:numId w:val="4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Non-Exempt Employees. </w:t>
      </w:r>
      <w:r>
        <w:rPr>
          <w:rFonts w:ascii="Arial" w:cs="Arial" w:eastAsia="Arial" w:hAnsi="Arial"/>
          <w:sz w:val="19"/>
          <w:szCs w:val="19"/>
          <w:color w:val="auto"/>
        </w:rPr>
        <w:t>If an Option or SAR is granted to an Employee who is a non-exempt</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 for purposes of the Fair Labor 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ind w:left="320" w:hanging="312"/>
        <w:spacing w:after="0"/>
        <w:tabs>
          <w:tab w:leader="none" w:pos="3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ROVISIONS OF</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THER THAN</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22"/>
          <w:szCs w:val="22"/>
          <w:b w:val="1"/>
          <w:bCs w:val="1"/>
          <w:color w:val="auto"/>
        </w:rPr>
        <w:t xml:space="preserve"> SAR</w:t>
      </w:r>
      <w:r>
        <w:rPr>
          <w:rFonts w:ascii="Arial" w:cs="Arial" w:eastAsia="Arial" w:hAnsi="Arial"/>
          <w:sz w:val="14"/>
          <w:szCs w:val="14"/>
          <w:b w:val="1"/>
          <w:bCs w:val="1"/>
          <w:color w:val="auto"/>
        </w:rPr>
        <w: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76" w:lineRule="auto"/>
        <w:tabs>
          <w:tab w:leader="none" w:pos="2411" w:val="left"/>
        </w:tabs>
        <w:numPr>
          <w:ilvl w:val="1"/>
          <w:numId w:val="4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Awards. </w:t>
      </w:r>
      <w:r>
        <w:rPr>
          <w:rFonts w:ascii="Arial" w:cs="Arial" w:eastAsia="Arial" w:hAnsi="Arial"/>
          <w:sz w:val="19"/>
          <w:szCs w:val="19"/>
          <w:color w:val="auto"/>
        </w:rPr>
        <w:t>Each Restricted Stock Award Agreement will be in such form and will</w:t>
      </w:r>
      <w:r>
        <w:rPr>
          <w:rFonts w:ascii="Arial" w:cs="Arial" w:eastAsia="Arial" w:hAnsi="Arial"/>
          <w:sz w:val="19"/>
          <w:szCs w:val="19"/>
          <w:b w:val="1"/>
          <w:bCs w:val="1"/>
          <w:color w:val="auto"/>
        </w:rPr>
        <w:t xml:space="preserve"> </w:t>
      </w:r>
      <w:r>
        <w:rPr>
          <w:rFonts w:ascii="Arial" w:cs="Arial" w:eastAsia="Arial" w:hAnsi="Arial"/>
          <w:sz w:val="19"/>
          <w:szCs w:val="19"/>
          <w:color w:val="auto"/>
        </w:rPr>
        <w:t>contain such terms and conditions as the 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50"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(i) Consideration. </w:t>
      </w:r>
      <w:r>
        <w:rPr>
          <w:rFonts w:ascii="Arial" w:cs="Arial" w:eastAsia="Arial" w:hAnsi="Arial"/>
          <w:sz w:val="22"/>
          <w:szCs w:val="22"/>
          <w:color w:val="auto"/>
        </w:rPr>
        <w:t>A Restricted Stock Award may be awarded in consideration for (A)</w:t>
      </w:r>
      <w:r>
        <w:rPr>
          <w:rFonts w:ascii="Arial" w:cs="Arial" w:eastAsia="Arial" w:hAnsi="Arial"/>
          <w:sz w:val="22"/>
          <w:szCs w:val="22"/>
          <w:b w:val="1"/>
          <w:bCs w:val="1"/>
          <w:color w:val="auto"/>
        </w:rPr>
        <w:t xml:space="preserve"> </w:t>
      </w:r>
      <w:r>
        <w:rPr>
          <w:rFonts w:ascii="Arial" w:cs="Arial" w:eastAsia="Arial" w:hAnsi="Arial"/>
          <w:sz w:val="22"/>
          <w:szCs w:val="22"/>
          <w:color w:val="auto"/>
        </w:rPr>
        <w:t>cash, check, bank draft or money order payable to the Company, (B) past services to the Company or an Affiliate, or (C) any other form of legal consideration (including future services) that may be acceptable to the Board, in its sole discretion, and permissible under applicable law.</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(ii) Vesting</w:t>
      </w:r>
      <w:r>
        <w:rPr>
          <w:rFonts w:ascii="Arial" w:cs="Arial" w:eastAsia="Arial" w:hAnsi="Arial"/>
          <w:sz w:val="22"/>
          <w:szCs w:val="22"/>
          <w:color w:val="auto"/>
        </w:rPr>
        <w:t>. Shares of Common Stock awarded under the Restricted Stock Award</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may be subject to forfeiture to the Company in accordance with a vesting schedule to be determined by the Board.</w:t>
      </w:r>
    </w:p>
    <w:p>
      <w:pPr>
        <w:spacing w:after="0" w:line="162" w:lineRule="exact"/>
        <w:rPr>
          <w:sz w:val="20"/>
          <w:szCs w:val="20"/>
          <w:color w:val="auto"/>
        </w:rPr>
      </w:pPr>
    </w:p>
    <w:p>
      <w:pPr>
        <w:ind w:left="1740"/>
        <w:spacing w:after="0"/>
        <w:tabs>
          <w:tab w:leader="none" w:pos="3980" w:val="left"/>
        </w:tabs>
        <w:rPr>
          <w:sz w:val="20"/>
          <w:szCs w:val="20"/>
          <w:color w:val="auto"/>
        </w:rPr>
      </w:pPr>
      <w:r>
        <w:rPr>
          <w:rFonts w:ascii="Arial" w:cs="Arial" w:eastAsia="Arial" w:hAnsi="Arial"/>
          <w:sz w:val="19"/>
          <w:szCs w:val="19"/>
          <w:b w:val="1"/>
          <w:bCs w:val="1"/>
          <w:color w:val="auto"/>
        </w:rPr>
        <w:t>(iii)</w:t>
      </w:r>
      <w:r>
        <w:rPr>
          <w:sz w:val="20"/>
          <w:szCs w:val="20"/>
          <w:color w:val="auto"/>
        </w:rPr>
        <w:tab/>
      </w:r>
      <w:r>
        <w:rPr>
          <w:rFonts w:ascii="Arial" w:cs="Arial" w:eastAsia="Arial" w:hAnsi="Arial"/>
          <w:sz w:val="19"/>
          <w:szCs w:val="19"/>
          <w:b w:val="1"/>
          <w:bCs w:val="1"/>
          <w:color w:val="auto"/>
        </w:rPr>
        <w:t xml:space="preserve">Termination of Participant’s Continuous Service. </w:t>
      </w:r>
      <w:r>
        <w:rPr>
          <w:rFonts w:ascii="Arial" w:cs="Arial" w:eastAsia="Arial" w:hAnsi="Arial"/>
          <w:sz w:val="19"/>
          <w:szCs w:val="19"/>
          <w:color w:val="auto"/>
        </w:rPr>
        <w:t>If a Participant’s Continuous</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Service terminates, the Company may receive through a forfeiture condition or a</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11.</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jc w:val="both"/>
        <w:spacing w:after="0" w:line="250" w:lineRule="auto"/>
        <w:rPr>
          <w:sz w:val="20"/>
          <w:szCs w:val="20"/>
          <w:color w:val="auto"/>
        </w:rPr>
      </w:pPr>
      <w:r>
        <w:rPr>
          <w:rFonts w:ascii="Arial" w:cs="Arial" w:eastAsia="Arial" w:hAnsi="Arial"/>
          <w:sz w:val="22"/>
          <w:szCs w:val="22"/>
          <w:color w:val="auto"/>
        </w:rPr>
        <w:t>repurchase right any or all of the shares of Common Stock held by the Participant as of the date of termination of Continuous Service under the terms of the Restricted Stock Award Agreement.</w:t>
      </w:r>
    </w:p>
    <w:p>
      <w:pPr>
        <w:spacing w:after="0" w:line="169" w:lineRule="exact"/>
        <w:rPr>
          <w:sz w:val="20"/>
          <w:szCs w:val="20"/>
          <w:color w:val="auto"/>
        </w:rPr>
      </w:pPr>
    </w:p>
    <w:p>
      <w:pPr>
        <w:jc w:val="both"/>
        <w:ind w:firstLine="1727"/>
        <w:spacing w:after="0" w:line="249" w:lineRule="auto"/>
        <w:rPr>
          <w:sz w:val="20"/>
          <w:szCs w:val="20"/>
          <w:color w:val="auto"/>
        </w:rPr>
      </w:pPr>
      <w:r>
        <w:rPr>
          <w:rFonts w:ascii="Arial" w:cs="Arial" w:eastAsia="Arial" w:hAnsi="Arial"/>
          <w:sz w:val="21"/>
          <w:szCs w:val="21"/>
          <w:b w:val="1"/>
          <w:bCs w:val="1"/>
          <w:color w:val="auto"/>
        </w:rPr>
        <w:t xml:space="preserve">(iv) Transferability. </w:t>
      </w:r>
      <w:r>
        <w:rPr>
          <w:rFonts w:ascii="Arial" w:cs="Arial" w:eastAsia="Arial" w:hAnsi="Arial"/>
          <w:sz w:val="21"/>
          <w:szCs w:val="21"/>
          <w:color w:val="auto"/>
        </w:rPr>
        <w:t>Rights to acquire shares of Common Stock under the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Award Agreement will be transferable by 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 Restricted Stock Award Agreement to the contrary, no Restricted Stock Award may be transferred to any financial institution without prior stockholder approval.</w:t>
      </w:r>
    </w:p>
    <w:p>
      <w:pPr>
        <w:spacing w:after="0" w:line="171" w:lineRule="exact"/>
        <w:rPr>
          <w:sz w:val="20"/>
          <w:szCs w:val="20"/>
          <w:color w:val="auto"/>
        </w:rPr>
      </w:pPr>
    </w:p>
    <w:p>
      <w:pPr>
        <w:jc w:val="both"/>
        <w:ind w:firstLine="872"/>
        <w:spacing w:after="0" w:line="283" w:lineRule="auto"/>
        <w:tabs>
          <w:tab w:leader="none" w:pos="2423"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Restricted Stock Unit Awards. </w:t>
      </w:r>
      <w:r>
        <w:rPr>
          <w:rFonts w:ascii="Arial" w:cs="Arial" w:eastAsia="Arial" w:hAnsi="Arial"/>
          <w:sz w:val="19"/>
          <w:szCs w:val="19"/>
          <w:color w:val="auto"/>
        </w:rPr>
        <w:t>Each Restricted Stock Unit Award Agreement will be in such form</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contain such terms and 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43"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 Consideration. </w:t>
      </w:r>
      <w:r>
        <w:rPr>
          <w:rFonts w:ascii="Arial" w:cs="Arial" w:eastAsia="Arial" w:hAnsi="Arial"/>
          <w:sz w:val="22"/>
          <w:szCs w:val="22"/>
          <w:color w:val="auto"/>
        </w:rPr>
        <w:t>At the time of grant of a Restricted Stock Unit Award, the Board</w:t>
      </w:r>
      <w:r>
        <w:rPr>
          <w:rFonts w:ascii="Arial" w:cs="Arial" w:eastAsia="Arial" w:hAnsi="Arial"/>
          <w:sz w:val="22"/>
          <w:szCs w:val="22"/>
          <w:b w:val="1"/>
          <w:bCs w:val="1"/>
          <w:color w:val="auto"/>
        </w:rPr>
        <w:t xml:space="preserve"> </w:t>
      </w:r>
      <w:r>
        <w:rPr>
          <w:rFonts w:ascii="Arial" w:cs="Arial" w:eastAsia="Arial" w:hAnsi="Arial"/>
          <w:sz w:val="22"/>
          <w:szCs w:val="22"/>
          <w:color w:val="auto"/>
        </w:rPr>
        <w:t>will determine the consideration, if any, to be 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2"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 Vesting. </w:t>
      </w:r>
      <w:r>
        <w:rPr>
          <w:rFonts w:ascii="Arial" w:cs="Arial" w:eastAsia="Arial" w:hAnsi="Arial"/>
          <w:sz w:val="22"/>
          <w:szCs w:val="22"/>
          <w:color w:val="auto"/>
        </w:rPr>
        <w:t>At the time of the grant of a Restricted Stock Unit Award, the Board may</w:t>
      </w:r>
      <w:r>
        <w:rPr>
          <w:rFonts w:ascii="Arial" w:cs="Arial" w:eastAsia="Arial" w:hAnsi="Arial"/>
          <w:sz w:val="22"/>
          <w:szCs w:val="22"/>
          <w:b w:val="1"/>
          <w:bCs w:val="1"/>
          <w:color w:val="auto"/>
        </w:rPr>
        <w:t xml:space="preserve"> </w:t>
      </w:r>
      <w:r>
        <w:rPr>
          <w:rFonts w:ascii="Arial" w:cs="Arial" w:eastAsia="Arial" w:hAnsi="Arial"/>
          <w:sz w:val="22"/>
          <w:szCs w:val="22"/>
          <w:color w:val="auto"/>
        </w:rPr>
        <w:t>impose such restrictions on or conditions to the vesting of the Restricted Stock Unit Award as it, in its sole discretion, deems appropriate.</w:t>
      </w:r>
    </w:p>
    <w:p>
      <w:pPr>
        <w:spacing w:after="0" w:line="177"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(iii) Payment. </w:t>
      </w:r>
      <w:r>
        <w:rPr>
          <w:rFonts w:ascii="Arial" w:cs="Arial" w:eastAsia="Arial" w:hAnsi="Arial"/>
          <w:sz w:val="22"/>
          <w:szCs w:val="22"/>
          <w:color w:val="auto"/>
        </w:rPr>
        <w:t>A Restricted Stock Unit Award may be settled by the delivery of shares</w:t>
      </w:r>
      <w:r>
        <w:rPr>
          <w:rFonts w:ascii="Arial" w:cs="Arial" w:eastAsia="Arial" w:hAnsi="Arial"/>
          <w:sz w:val="22"/>
          <w:szCs w:val="22"/>
          <w:b w:val="1"/>
          <w:bCs w:val="1"/>
          <w:color w:val="auto"/>
        </w:rPr>
        <w:t xml:space="preserve"> </w:t>
      </w:r>
      <w:r>
        <w:rPr>
          <w:rFonts w:ascii="Arial" w:cs="Arial" w:eastAsia="Arial" w:hAnsi="Arial"/>
          <w:sz w:val="22"/>
          <w:szCs w:val="22"/>
          <w:color w:val="auto"/>
        </w:rPr>
        <w:t>of Common Stock, their cash equivalent, any combination thereof or in any other form of consideration, as determined by the Board and contained in the Restricted Stock Unit Award Agreement.</w:t>
      </w:r>
    </w:p>
    <w:p>
      <w:pPr>
        <w:spacing w:after="0" w:line="177"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(iv) Additional Restrictions. </w:t>
      </w:r>
      <w:r>
        <w:rPr>
          <w:rFonts w:ascii="Arial" w:cs="Arial" w:eastAsia="Arial" w:hAnsi="Arial"/>
          <w:sz w:val="22"/>
          <w:szCs w:val="22"/>
          <w:color w:val="auto"/>
        </w:rPr>
        <w:t>At the time of the grant of a Restricted Stock Unit</w:t>
      </w:r>
      <w:r>
        <w:rPr>
          <w:rFonts w:ascii="Arial" w:cs="Arial" w:eastAsia="Arial" w:hAnsi="Arial"/>
          <w:sz w:val="22"/>
          <w:szCs w:val="22"/>
          <w:b w:val="1"/>
          <w:bCs w:val="1"/>
          <w:color w:val="auto"/>
        </w:rPr>
        <w:t xml:space="preserve"> </w:t>
      </w:r>
      <w:r>
        <w:rPr>
          <w:rFonts w:ascii="Arial" w:cs="Arial" w:eastAsia="Arial" w:hAnsi="Arial"/>
          <w:sz w:val="22"/>
          <w:szCs w:val="22"/>
          <w:color w:val="auto"/>
        </w:rPr>
        <w:t>Award, the Board, as it deems appropriate, may impose such restrictions or conditions that delay the delivery of the shares of Common Stock (or their cash equivalent) subject to a Restricted Stock Unit Award to a time after the vesting of such Restricted Stock Unit Award.</w:t>
      </w:r>
    </w:p>
    <w:p>
      <w:pPr>
        <w:spacing w:after="0" w:line="180"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(v)</w:t>
      </w:r>
      <w:r>
        <w:rPr>
          <w:sz w:val="20"/>
          <w:szCs w:val="20"/>
          <w:color w:val="auto"/>
        </w:rPr>
        <w:tab/>
      </w:r>
      <w:r>
        <w:rPr>
          <w:rFonts w:ascii="Arial" w:cs="Arial" w:eastAsia="Arial" w:hAnsi="Arial"/>
          <w:sz w:val="19"/>
          <w:szCs w:val="19"/>
          <w:b w:val="1"/>
          <w:bCs w:val="1"/>
          <w:color w:val="auto"/>
        </w:rPr>
        <w:t xml:space="preserve">Termination of Participant’s Continuous Service. </w:t>
      </w:r>
      <w:r>
        <w:rPr>
          <w:rFonts w:ascii="Arial" w:cs="Arial" w:eastAsia="Arial" w:hAnsi="Arial"/>
          <w:sz w:val="19"/>
          <w:szCs w:val="19"/>
          <w:color w:val="auto"/>
        </w:rPr>
        <w:t>Except as otherwise provided</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the applicable Restricted Stock Unit Award Agreement, such portion of the Restricted Stock Unit Award that has not vested will be forfeited upon the Participant’s termination of Continuous Service.</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12.</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0" w:name="page81"/>
    <w:bookmarkEnd w:id="80"/>
    <w:p>
      <w:pPr>
        <w:ind w:left="2400" w:hanging="1528"/>
        <w:spacing w:after="0"/>
        <w:tabs>
          <w:tab w:leader="none" w:pos="2400" w:val="left"/>
        </w:tabs>
        <w:numPr>
          <w:ilvl w:val="0"/>
          <w:numId w:val="45"/>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Stock Awards.</w:t>
      </w:r>
    </w:p>
    <w:p>
      <w:pPr>
        <w:spacing w:after="0" w:line="206"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9"/>
          <w:szCs w:val="19"/>
          <w:b w:val="1"/>
          <w:bCs w:val="1"/>
          <w:color w:val="auto"/>
        </w:rPr>
        <w:t xml:space="preserve">(i) Performance Stock Awards. </w:t>
      </w:r>
      <w:r>
        <w:rPr>
          <w:rFonts w:ascii="Arial" w:cs="Arial" w:eastAsia="Arial" w:hAnsi="Arial"/>
          <w:sz w:val="19"/>
          <w:szCs w:val="19"/>
          <w:color w:val="auto"/>
        </w:rPr>
        <w:t>A Performance Stock Award is a Stock Award that is</w:t>
      </w:r>
      <w:r>
        <w:rPr>
          <w:rFonts w:ascii="Arial" w:cs="Arial" w:eastAsia="Arial" w:hAnsi="Arial"/>
          <w:sz w:val="19"/>
          <w:szCs w:val="19"/>
          <w:b w:val="1"/>
          <w:bCs w:val="1"/>
          <w:color w:val="auto"/>
        </w:rPr>
        <w:t xml:space="preserve"> </w:t>
      </w:r>
      <w:r>
        <w:rPr>
          <w:rFonts w:ascii="Arial" w:cs="Arial" w:eastAsia="Arial" w:hAnsi="Arial"/>
          <w:sz w:val="19"/>
          <w:szCs w:val="19"/>
          <w:color w:val="auto"/>
        </w:rPr>
        <w:t>payable (including that may be granted, vest 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Stock Award Agreement, the Board may determine that cash may be used in payment of Performance Stock Awards.</w:t>
      </w:r>
    </w:p>
    <w:p>
      <w:pPr>
        <w:spacing w:after="0" w:line="14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 Discretion. </w:t>
      </w:r>
      <w:r>
        <w:rPr>
          <w:rFonts w:ascii="Arial" w:cs="Arial" w:eastAsia="Arial" w:hAnsi="Arial"/>
          <w:sz w:val="22"/>
          <w:szCs w:val="22"/>
          <w:color w:val="auto"/>
        </w:rPr>
        <w:t>The Board retains the discretion to reduce or eliminate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compensation or economic benefit due upon the attainment of any Performance Goals and to define the manner of calculating the Performance Criteria it selects to use for a Performance Period.</w:t>
      </w:r>
    </w:p>
    <w:p>
      <w:pPr>
        <w:spacing w:after="0" w:line="177" w:lineRule="exact"/>
        <w:rPr>
          <w:sz w:val="20"/>
          <w:szCs w:val="20"/>
          <w:color w:val="auto"/>
        </w:rPr>
      </w:pPr>
    </w:p>
    <w:p>
      <w:pPr>
        <w:jc w:val="both"/>
        <w:ind w:firstLine="872"/>
        <w:spacing w:after="0" w:line="234" w:lineRule="auto"/>
        <w:tabs>
          <w:tab w:leader="none" w:pos="2423" w:val="left"/>
        </w:tabs>
        <w:numPr>
          <w:ilvl w:val="1"/>
          <w:numId w:val="4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Other Stock Awards. </w:t>
      </w:r>
      <w:r>
        <w:rPr>
          <w:rFonts w:ascii="Arial" w:cs="Arial" w:eastAsia="Arial" w:hAnsi="Arial"/>
          <w:sz w:val="22"/>
          <w:szCs w:val="22"/>
          <w:color w:val="auto"/>
        </w:rPr>
        <w:t>Other forms of Stock Awards valued in whole or in part by reference to,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based on, Common Stock, including the appreciation in value thereof (</w:t>
      </w:r>
      <w:r>
        <w:rPr>
          <w:rFonts w:ascii="Arial" w:cs="Arial" w:eastAsia="Arial" w:hAnsi="Arial"/>
          <w:sz w:val="22"/>
          <w:szCs w:val="22"/>
          <w:i w:val="1"/>
          <w:iCs w:val="1"/>
          <w:color w:val="auto"/>
        </w:rPr>
        <w:t>e.g</w:t>
      </w:r>
      <w:r>
        <w:rPr>
          <w:rFonts w:ascii="Arial" w:cs="Arial" w:eastAsia="Arial" w:hAnsi="Arial"/>
          <w:sz w:val="22"/>
          <w:szCs w:val="22"/>
          <w:color w:val="auto"/>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2(g)),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86" w:lineRule="exact"/>
        <w:rPr>
          <w:rFonts w:ascii="Arial" w:cs="Arial" w:eastAsia="Arial" w:hAnsi="Arial"/>
          <w:sz w:val="22"/>
          <w:szCs w:val="22"/>
          <w:b w:val="1"/>
          <w:bCs w:val="1"/>
          <w:color w:val="auto"/>
        </w:rPr>
      </w:pPr>
    </w:p>
    <w:p>
      <w:pPr>
        <w:ind w:left="660" w:hanging="652"/>
        <w:spacing w:after="0"/>
        <w:tabs>
          <w:tab w:leader="none" w:pos="66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OVENANTS OF THE</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872"/>
        <w:spacing w:after="0" w:line="256" w:lineRule="auto"/>
        <w:tabs>
          <w:tab w:leader="none" w:pos="2411" w:val="left"/>
        </w:tabs>
        <w:numPr>
          <w:ilvl w:val="1"/>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Availability of Shares. </w:t>
      </w:r>
      <w:r>
        <w:rPr>
          <w:rFonts w:ascii="Arial" w:cs="Arial" w:eastAsia="Arial" w:hAnsi="Arial"/>
          <w:sz w:val="22"/>
          <w:szCs w:val="22"/>
          <w:color w:val="auto"/>
        </w:rPr>
        <w:t>The Company will keep available at all times the number of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reasonably required to satisfy then-outstanding Stock Awards.</w:t>
      </w:r>
    </w:p>
    <w:p>
      <w:pPr>
        <w:spacing w:after="0" w:line="162" w:lineRule="exact"/>
        <w:rPr>
          <w:rFonts w:ascii="Arial" w:cs="Arial" w:eastAsia="Arial" w:hAnsi="Arial"/>
          <w:sz w:val="22"/>
          <w:szCs w:val="22"/>
          <w:b w:val="1"/>
          <w:bCs w:val="1"/>
          <w:color w:val="auto"/>
        </w:rPr>
      </w:pPr>
    </w:p>
    <w:p>
      <w:pPr>
        <w:jc w:val="both"/>
        <w:ind w:firstLine="872"/>
        <w:spacing w:after="0" w:line="245" w:lineRule="auto"/>
        <w:tabs>
          <w:tab w:leader="none" w:pos="2423" w:val="left"/>
        </w:tabs>
        <w:numPr>
          <w:ilvl w:val="1"/>
          <w:numId w:val="4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Securities Law Compliance. </w:t>
      </w:r>
      <w:r>
        <w:rPr>
          <w:rFonts w:ascii="Arial" w:cs="Arial" w:eastAsia="Arial" w:hAnsi="Arial"/>
          <w:sz w:val="21"/>
          <w:szCs w:val="21"/>
          <w:color w:val="auto"/>
        </w:rPr>
        <w:t>The Company will seek to obtain from each regulatory commission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agency having jurisdiction over the Plan the authority required to grant Stock Awards and to issue and sell shares of Common Stock upon exercise of the Stock Awards; </w:t>
      </w:r>
      <w:r>
        <w:rPr>
          <w:rFonts w:ascii="Arial" w:cs="Arial" w:eastAsia="Arial" w:hAnsi="Arial"/>
          <w:sz w:val="21"/>
          <w:szCs w:val="21"/>
          <w:i w:val="1"/>
          <w:iCs w:val="1"/>
          <w:color w:val="auto"/>
        </w:rPr>
        <w:t>provided, however</w:t>
      </w:r>
      <w:r>
        <w:rPr>
          <w:rFonts w:ascii="Arial" w:cs="Arial" w:eastAsia="Arial" w:hAnsi="Arial"/>
          <w:sz w:val="21"/>
          <w:szCs w:val="21"/>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13.</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1" w:name="page82"/>
    <w:bookmarkEnd w:id="81"/>
    <w:p>
      <w:pPr>
        <w:jc w:val="both"/>
        <w:ind w:firstLine="872"/>
        <w:spacing w:after="0" w:line="237" w:lineRule="auto"/>
        <w:tabs>
          <w:tab w:leader="none" w:pos="2399" w:val="left"/>
        </w:tabs>
        <w:numPr>
          <w:ilvl w:val="1"/>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Obligation to Notify or Minimize Taxes. </w:t>
      </w:r>
      <w:r>
        <w:rPr>
          <w:rFonts w:ascii="Arial" w:cs="Arial" w:eastAsia="Arial" w:hAnsi="Arial"/>
          <w:sz w:val="22"/>
          <w:szCs w:val="22"/>
          <w:color w:val="auto"/>
        </w:rPr>
        <w:t>The Company will have no duty or obligation to any</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Participant to advise such holder as to 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81" w:lineRule="exact"/>
        <w:rPr>
          <w:rFonts w:ascii="Arial" w:cs="Arial" w:eastAsia="Arial" w:hAnsi="Arial"/>
          <w:sz w:val="22"/>
          <w:szCs w:val="22"/>
          <w:b w:val="1"/>
          <w:bCs w:val="1"/>
          <w:color w:val="auto"/>
        </w:rPr>
      </w:pPr>
    </w:p>
    <w:p>
      <w:pPr>
        <w:ind w:left="1140" w:hanging="1132"/>
        <w:spacing w:after="0"/>
        <w:tabs>
          <w:tab w:leader="none" w:pos="1140"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M</w:t>
      </w:r>
      <w:r>
        <w:rPr>
          <w:rFonts w:ascii="Arial" w:cs="Arial" w:eastAsia="Arial" w:hAnsi="Arial"/>
          <w:sz w:val="14"/>
          <w:szCs w:val="14"/>
          <w:b w:val="1"/>
          <w:bCs w:val="1"/>
          <w:color w:val="auto"/>
        </w:rPr>
        <w:t>ISCELLANEOUS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ind w:firstLine="872"/>
        <w:spacing w:after="0" w:line="256" w:lineRule="auto"/>
        <w:tabs>
          <w:tab w:leader="none" w:pos="2411" w:val="left"/>
        </w:tabs>
        <w:numPr>
          <w:ilvl w:val="1"/>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Use of Proceeds from Sales of Common Stock. </w:t>
      </w:r>
      <w:r>
        <w:rPr>
          <w:rFonts w:ascii="Arial" w:cs="Arial" w:eastAsia="Arial" w:hAnsi="Arial"/>
          <w:sz w:val="22"/>
          <w:szCs w:val="22"/>
          <w:color w:val="auto"/>
        </w:rPr>
        <w:t>Proceeds from the sale of shares of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issued pursuant to Stock Awards will constitute general funds of the Company.</w:t>
      </w:r>
    </w:p>
    <w:p>
      <w:pPr>
        <w:spacing w:after="0" w:line="162" w:lineRule="exact"/>
        <w:rPr>
          <w:rFonts w:ascii="Arial" w:cs="Arial" w:eastAsia="Arial" w:hAnsi="Arial"/>
          <w:sz w:val="22"/>
          <w:szCs w:val="22"/>
          <w:b w:val="1"/>
          <w:bCs w:val="1"/>
          <w:color w:val="auto"/>
        </w:rPr>
      </w:pPr>
    </w:p>
    <w:p>
      <w:pPr>
        <w:jc w:val="both"/>
        <w:ind w:firstLine="872"/>
        <w:spacing w:after="0" w:line="246" w:lineRule="auto"/>
        <w:tabs>
          <w:tab w:leader="none" w:pos="2423"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Corporate Action Constituting Grant of Stock Awards. </w:t>
      </w:r>
      <w:r>
        <w:rPr>
          <w:rFonts w:ascii="Arial" w:cs="Arial" w:eastAsia="Arial" w:hAnsi="Arial"/>
          <w:sz w:val="21"/>
          <w:szCs w:val="21"/>
          <w:color w:val="auto"/>
        </w:rPr>
        <w:t>Corporate action constituting a grant by</w:t>
      </w:r>
      <w:r>
        <w:rPr>
          <w:rFonts w:ascii="Arial" w:cs="Arial" w:eastAsia="Arial" w:hAnsi="Arial"/>
          <w:sz w:val="21"/>
          <w:szCs w:val="21"/>
          <w:b w:val="1"/>
          <w:bCs w:val="1"/>
          <w:color w:val="auto"/>
        </w:rPr>
        <w:t xml:space="preserve"> </w:t>
      </w:r>
      <w:r>
        <w:rPr>
          <w:rFonts w:ascii="Arial" w:cs="Arial" w:eastAsia="Arial" w:hAnsi="Arial"/>
          <w:sz w:val="21"/>
          <w:szCs w:val="21"/>
          <w:color w:val="auto"/>
        </w:rPr>
        <w:t>the Company of a Stock Award to any 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Arial" w:cs="Arial" w:eastAsia="Arial" w:hAnsi="Arial"/>
          <w:sz w:val="21"/>
          <w:szCs w:val="21"/>
          <w:i w:val="1"/>
          <w:iCs w:val="1"/>
          <w:color w:val="auto"/>
        </w:rPr>
        <w:t>e.g</w:t>
      </w:r>
      <w:r>
        <w:rPr>
          <w:rFonts w:ascii="Arial" w:cs="Arial" w:eastAsia="Arial" w:hAnsi="Arial"/>
          <w:sz w:val="21"/>
          <w:szCs w:val="21"/>
          <w:color w:val="auto"/>
        </w:rPr>
        <w:t>., Board consents, resolutions or minutes) documenting the corporate action constituting the grant contain terms (</w:t>
      </w:r>
      <w:r>
        <w:rPr>
          <w:rFonts w:ascii="Arial" w:cs="Arial" w:eastAsia="Arial" w:hAnsi="Arial"/>
          <w:sz w:val="21"/>
          <w:szCs w:val="21"/>
          <w:i w:val="1"/>
          <w:iCs w:val="1"/>
          <w:color w:val="auto"/>
        </w:rPr>
        <w:t>e.g</w:t>
      </w:r>
      <w:r>
        <w:rPr>
          <w:rFonts w:ascii="Arial" w:cs="Arial" w:eastAsia="Arial" w:hAnsi="Arial"/>
          <w:sz w:val="21"/>
          <w:szCs w:val="21"/>
          <w:color w:val="auto"/>
        </w:rPr>
        <w:t>.,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terms in the Stock Award Agreement or related grant documents.</w:t>
      </w:r>
    </w:p>
    <w:p>
      <w:pPr>
        <w:spacing w:after="0" w:line="175" w:lineRule="exact"/>
        <w:rPr>
          <w:rFonts w:ascii="Arial" w:cs="Arial" w:eastAsia="Arial" w:hAnsi="Arial"/>
          <w:sz w:val="21"/>
          <w:szCs w:val="21"/>
          <w:b w:val="1"/>
          <w:bCs w:val="1"/>
          <w:color w:val="auto"/>
        </w:rPr>
      </w:pPr>
    </w:p>
    <w:p>
      <w:pPr>
        <w:jc w:val="both"/>
        <w:ind w:firstLine="872"/>
        <w:spacing w:after="0" w:line="237" w:lineRule="auto"/>
        <w:tabs>
          <w:tab w:leader="none" w:pos="2399" w:val="left"/>
        </w:tabs>
        <w:numPr>
          <w:ilvl w:val="1"/>
          <w:numId w:val="4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Stockholder Rights. </w:t>
      </w:r>
      <w:r>
        <w:rPr>
          <w:rFonts w:ascii="Arial" w:cs="Arial" w:eastAsia="Arial" w:hAnsi="Arial"/>
          <w:sz w:val="22"/>
          <w:szCs w:val="22"/>
          <w:color w:val="auto"/>
        </w:rPr>
        <w:t>No Participant will be deemed to be the holder of, or to have any of the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of a holder with respect to, any shares of 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81" w:lineRule="exact"/>
        <w:rPr>
          <w:rFonts w:ascii="Arial" w:cs="Arial" w:eastAsia="Arial" w:hAnsi="Arial"/>
          <w:sz w:val="22"/>
          <w:szCs w:val="22"/>
          <w:b w:val="1"/>
          <w:bCs w:val="1"/>
          <w:color w:val="auto"/>
        </w:rPr>
      </w:pPr>
    </w:p>
    <w:p>
      <w:pPr>
        <w:jc w:val="both"/>
        <w:ind w:firstLine="872"/>
        <w:spacing w:after="0" w:line="278" w:lineRule="auto"/>
        <w:tabs>
          <w:tab w:leader="none" w:pos="2423"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No Employment or Other Service Rights. </w:t>
      </w:r>
      <w:r>
        <w:rPr>
          <w:rFonts w:ascii="Arial" w:cs="Arial" w:eastAsia="Arial" w:hAnsi="Arial"/>
          <w:sz w:val="19"/>
          <w:szCs w:val="19"/>
          <w:color w:val="auto"/>
        </w:rPr>
        <w:t>Nothing in the Plan, any Stock Award Agreement or any</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instrument executed thereunder 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45" w:lineRule="exact"/>
        <w:rPr>
          <w:rFonts w:ascii="Arial" w:cs="Arial" w:eastAsia="Arial" w:hAnsi="Arial"/>
          <w:sz w:val="19"/>
          <w:szCs w:val="19"/>
          <w:b w:val="1"/>
          <w:bCs w:val="1"/>
          <w:color w:val="auto"/>
        </w:rPr>
      </w:pPr>
    </w:p>
    <w:p>
      <w:pPr>
        <w:jc w:val="both"/>
        <w:ind w:firstLine="872"/>
        <w:spacing w:after="0" w:line="289" w:lineRule="auto"/>
        <w:tabs>
          <w:tab w:leader="none" w:pos="2399" w:val="left"/>
        </w:tabs>
        <w:numPr>
          <w:ilvl w:val="1"/>
          <w:numId w:val="4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Change in Time Commitment. </w:t>
      </w:r>
      <w:r>
        <w:rPr>
          <w:rFonts w:ascii="Arial" w:cs="Arial" w:eastAsia="Arial" w:hAnsi="Arial"/>
          <w:sz w:val="19"/>
          <w:szCs w:val="19"/>
          <w:color w:val="auto"/>
        </w:rPr>
        <w:t>In the event a Participant’s regular level of time commitment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of his or her services for 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14.</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2" w:name="page83"/>
    <w:bookmarkEnd w:id="82"/>
    <w:p>
      <w:pPr>
        <w:jc w:val="both"/>
        <w:spacing w:after="0" w:line="287" w:lineRule="auto"/>
        <w:rPr>
          <w:sz w:val="20"/>
          <w:szCs w:val="20"/>
          <w:color w:val="auto"/>
        </w:rPr>
      </w:pPr>
      <w:r>
        <w:rPr>
          <w:rFonts w:ascii="Arial" w:cs="Arial" w:eastAsia="Arial" w:hAnsi="Arial"/>
          <w:sz w:val="19"/>
          <w:szCs w:val="19"/>
          <w:color w:val="auto"/>
        </w:rPr>
        <w:t>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37" w:lineRule="exact"/>
        <w:rPr>
          <w:sz w:val="20"/>
          <w:szCs w:val="20"/>
          <w:color w:val="auto"/>
        </w:rPr>
      </w:pPr>
    </w:p>
    <w:p>
      <w:pPr>
        <w:jc w:val="both"/>
        <w:ind w:firstLine="872"/>
        <w:spacing w:after="0" w:line="280" w:lineRule="auto"/>
        <w:tabs>
          <w:tab w:leader="none" w:pos="2375"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Incentive Stock Option Limitations. </w:t>
      </w:r>
      <w:r>
        <w:rPr>
          <w:rFonts w:ascii="Arial" w:cs="Arial" w:eastAsia="Arial" w:hAnsi="Arial"/>
          <w:sz w:val="19"/>
          <w:szCs w:val="19"/>
          <w:color w:val="auto"/>
        </w:rPr>
        <w:t>To the extent that the aggregate Fair Market Value (determined</w:t>
      </w:r>
      <w:r>
        <w:rPr>
          <w:rFonts w:ascii="Arial" w:cs="Arial" w:eastAsia="Arial" w:hAnsi="Arial"/>
          <w:sz w:val="19"/>
          <w:szCs w:val="19"/>
          <w:b w:val="1"/>
          <w:bCs w:val="1"/>
          <w:color w:val="auto"/>
        </w:rPr>
        <w:t xml:space="preserve"> </w:t>
      </w:r>
      <w:r>
        <w:rPr>
          <w:rFonts w:ascii="Arial" w:cs="Arial" w:eastAsia="Arial" w:hAnsi="Arial"/>
          <w:sz w:val="19"/>
          <w:szCs w:val="19"/>
          <w:color w:val="auto"/>
        </w:rPr>
        <w:t>at the time of 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44" w:lineRule="exact"/>
        <w:rPr>
          <w:rFonts w:ascii="Arial" w:cs="Arial" w:eastAsia="Arial" w:hAnsi="Arial"/>
          <w:sz w:val="19"/>
          <w:szCs w:val="19"/>
          <w:b w:val="1"/>
          <w:bCs w:val="1"/>
          <w:color w:val="auto"/>
        </w:rPr>
      </w:pPr>
    </w:p>
    <w:p>
      <w:pPr>
        <w:jc w:val="both"/>
        <w:ind w:firstLine="872"/>
        <w:spacing w:after="0" w:line="272" w:lineRule="auto"/>
        <w:tabs>
          <w:tab w:leader="none" w:pos="2411" w:val="left"/>
        </w:tabs>
        <w:numPr>
          <w:ilvl w:val="1"/>
          <w:numId w:val="5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Investment Assurances. </w:t>
      </w:r>
      <w:r>
        <w:rPr>
          <w:rFonts w:ascii="Arial" w:cs="Arial" w:eastAsia="Arial" w:hAnsi="Arial"/>
          <w:sz w:val="19"/>
          <w:szCs w:val="19"/>
          <w:color w:val="auto"/>
        </w:rPr>
        <w:t>The Company may require a Participant, as a condition of exercising or</w:t>
      </w:r>
      <w:r>
        <w:rPr>
          <w:rFonts w:ascii="Arial" w:cs="Arial" w:eastAsia="Arial" w:hAnsi="Arial"/>
          <w:sz w:val="19"/>
          <w:szCs w:val="19"/>
          <w:b w:val="1"/>
          <w:bCs w:val="1"/>
          <w:color w:val="auto"/>
        </w:rPr>
        <w:t xml:space="preserve"> </w:t>
      </w:r>
      <w:r>
        <w:rPr>
          <w:rFonts w:ascii="Arial" w:cs="Arial" w:eastAsia="Arial" w:hAnsi="Arial"/>
          <w:sz w:val="19"/>
          <w:szCs w:val="19"/>
          <w:color w:val="auto"/>
        </w:rPr>
        <w:t>acquiring Common Stock under any Stock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Stock Award; and</w:t>
      </w:r>
    </w:p>
    <w:p>
      <w:pPr>
        <w:jc w:val="both"/>
        <w:ind w:firstLine="8"/>
        <w:spacing w:after="0" w:line="272" w:lineRule="auto"/>
        <w:tabs>
          <w:tab w:leader="none" w:pos="328" w:val="left"/>
        </w:tabs>
        <w:numPr>
          <w:ilvl w:val="0"/>
          <w:numId w:val="51"/>
        </w:numPr>
        <w:rPr>
          <w:rFonts w:ascii="Arial" w:cs="Arial" w:eastAsia="Arial" w:hAnsi="Arial"/>
          <w:sz w:val="19"/>
          <w:szCs w:val="19"/>
          <w:color w:val="auto"/>
        </w:rPr>
      </w:pPr>
      <w:r>
        <w:rPr>
          <w:rFonts w:ascii="Arial" w:cs="Arial" w:eastAsia="Arial" w:hAnsi="Arial"/>
          <w:sz w:val="19"/>
          <w:szCs w:val="19"/>
          <w:color w:val="auto"/>
        </w:rPr>
        <w:t>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50" w:lineRule="exact"/>
        <w:rPr>
          <w:rFonts w:ascii="Arial" w:cs="Arial" w:eastAsia="Arial" w:hAnsi="Arial"/>
          <w:sz w:val="19"/>
          <w:szCs w:val="19"/>
          <w:color w:val="auto"/>
        </w:rPr>
      </w:pPr>
    </w:p>
    <w:p>
      <w:pPr>
        <w:jc w:val="both"/>
        <w:ind w:firstLine="872"/>
        <w:spacing w:after="0" w:line="246" w:lineRule="auto"/>
        <w:tabs>
          <w:tab w:leader="none" w:pos="2423" w:val="left"/>
        </w:tabs>
        <w:numPr>
          <w:ilvl w:val="1"/>
          <w:numId w:val="5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Withholding Obligations. </w:t>
      </w:r>
      <w:r>
        <w:rPr>
          <w:rFonts w:ascii="Arial" w:cs="Arial" w:eastAsia="Arial" w:hAnsi="Arial"/>
          <w:sz w:val="21"/>
          <w:szCs w:val="21"/>
          <w:color w:val="auto"/>
        </w:rPr>
        <w:t>Unless prohibited by the terms of a Stock Award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Company may, in its sole discretion, satisfy 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Arial" w:cs="Arial" w:eastAsia="Arial" w:hAnsi="Arial"/>
          <w:sz w:val="21"/>
          <w:szCs w:val="21"/>
          <w:i w:val="1"/>
          <w:iCs w:val="1"/>
          <w:color w:val="auto"/>
        </w:rPr>
        <w:t>provided, however,</w:t>
      </w:r>
      <w:r>
        <w:rPr>
          <w:rFonts w:ascii="Arial" w:cs="Arial" w:eastAsia="Arial" w:hAnsi="Arial"/>
          <w:sz w:val="21"/>
          <w:szCs w:val="21"/>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308"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15.</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3" w:name="page84"/>
    <w:bookmarkEnd w:id="83"/>
    <w:p>
      <w:pPr>
        <w:jc w:val="both"/>
        <w:ind w:firstLine="872"/>
        <w:spacing w:after="0" w:line="300" w:lineRule="auto"/>
        <w:tabs>
          <w:tab w:leader="none" w:pos="2363"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Electronic Delivery. </w:t>
      </w:r>
      <w:r>
        <w:rPr>
          <w:rFonts w:ascii="Arial" w:cs="Arial" w:eastAsia="Arial" w:hAnsi="Arial"/>
          <w:sz w:val="19"/>
          <w:szCs w:val="19"/>
          <w:color w:val="auto"/>
        </w:rPr>
        <w:t>Any reference herein to a “written” agreement or document will include any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or document delivered electronically, filed publicly at www.sec.gov (or any successor website thereto) or posted on the Company’s intranet (or other shared electronic medium controlled by the Company to which the Participant has access).</w:t>
      </w:r>
    </w:p>
    <w:p>
      <w:pPr>
        <w:spacing w:after="0" w:line="125" w:lineRule="exact"/>
        <w:rPr>
          <w:rFonts w:ascii="Arial" w:cs="Arial" w:eastAsia="Arial" w:hAnsi="Arial"/>
          <w:sz w:val="19"/>
          <w:szCs w:val="19"/>
          <w:b w:val="1"/>
          <w:bCs w:val="1"/>
          <w:color w:val="auto"/>
        </w:rPr>
      </w:pPr>
    </w:p>
    <w:p>
      <w:pPr>
        <w:jc w:val="both"/>
        <w:ind w:firstLine="872"/>
        <w:spacing w:after="0" w:line="234" w:lineRule="auto"/>
        <w:tabs>
          <w:tab w:leader="none" w:pos="2375"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Deferrals. </w:t>
      </w:r>
      <w:r>
        <w:rPr>
          <w:rFonts w:ascii="Arial" w:cs="Arial" w:eastAsia="Arial" w:hAnsi="Arial"/>
          <w:sz w:val="22"/>
          <w:szCs w:val="22"/>
          <w:color w:val="auto"/>
        </w:rPr>
        <w:t>To the extent permitted by applicable law, the Board, in its sole discretion, may determine</w:t>
      </w:r>
      <w:r>
        <w:rPr>
          <w:rFonts w:ascii="Arial" w:cs="Arial" w:eastAsia="Arial" w:hAnsi="Arial"/>
          <w:sz w:val="22"/>
          <w:szCs w:val="22"/>
          <w:b w:val="1"/>
          <w:bCs w:val="1"/>
          <w:color w:val="auto"/>
        </w:rPr>
        <w:t xml:space="preserve"> </w:t>
      </w:r>
      <w:r>
        <w:rPr>
          <w:rFonts w:ascii="Arial" w:cs="Arial" w:eastAsia="Arial" w:hAnsi="Arial"/>
          <w:sz w:val="22"/>
          <w:szCs w:val="22"/>
          <w:color w:val="auto"/>
        </w:rPr>
        <w:t>that the delivery of Common Stock or 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3" w:lineRule="exact"/>
        <w:rPr>
          <w:rFonts w:ascii="Arial" w:cs="Arial" w:eastAsia="Arial" w:hAnsi="Arial"/>
          <w:sz w:val="22"/>
          <w:szCs w:val="22"/>
          <w:b w:val="1"/>
          <w:bCs w:val="1"/>
          <w:color w:val="auto"/>
        </w:rPr>
      </w:pPr>
    </w:p>
    <w:p>
      <w:pPr>
        <w:jc w:val="both"/>
        <w:ind w:firstLine="872"/>
        <w:spacing w:after="0" w:line="272" w:lineRule="auto"/>
        <w:tabs>
          <w:tab w:leader="none" w:pos="2423" w:val="left"/>
        </w:tabs>
        <w:numPr>
          <w:ilvl w:val="0"/>
          <w:numId w:val="5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Compliance with Section 409A of the Code. </w:t>
      </w:r>
      <w:r>
        <w:rPr>
          <w:rFonts w:ascii="Arial" w:cs="Arial" w:eastAsia="Arial" w:hAnsi="Arial"/>
          <w:sz w:val="19"/>
          <w:szCs w:val="19"/>
          <w:color w:val="auto"/>
        </w:rPr>
        <w:t>Unless otherwise expressly provided for in a Stock</w:t>
      </w:r>
      <w:r>
        <w:rPr>
          <w:rFonts w:ascii="Arial" w:cs="Arial" w:eastAsia="Arial" w:hAnsi="Arial"/>
          <w:sz w:val="19"/>
          <w:szCs w:val="19"/>
          <w:b w:val="1"/>
          <w:bCs w:val="1"/>
          <w:color w:val="auto"/>
        </w:rPr>
        <w:t xml:space="preserve"> </w:t>
      </w:r>
      <w:r>
        <w:rPr>
          <w:rFonts w:ascii="Arial" w:cs="Arial" w:eastAsia="Arial" w:hAnsi="Arial"/>
          <w:sz w:val="19"/>
          <w:szCs w:val="19"/>
          <w:color w:val="auto"/>
        </w:rPr>
        <w:t>Award Agreement, the Plan and Stock 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 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spacing w:after="0" w:line="155" w:lineRule="exact"/>
        <w:rPr>
          <w:rFonts w:ascii="Arial" w:cs="Arial" w:eastAsia="Arial" w:hAnsi="Arial"/>
          <w:sz w:val="19"/>
          <w:szCs w:val="19"/>
          <w:b w:val="1"/>
          <w:bCs w:val="1"/>
          <w:color w:val="auto"/>
        </w:rPr>
      </w:pPr>
    </w:p>
    <w:p>
      <w:pPr>
        <w:jc w:val="both"/>
        <w:ind w:firstLine="872"/>
        <w:spacing w:after="0" w:line="234" w:lineRule="auto"/>
        <w:tabs>
          <w:tab w:leader="none" w:pos="2363"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Clawback/Recovery. </w:t>
      </w:r>
      <w:r>
        <w:rPr>
          <w:rFonts w:ascii="Arial" w:cs="Arial" w:eastAsia="Arial" w:hAnsi="Arial"/>
          <w:sz w:val="22"/>
          <w:szCs w:val="22"/>
          <w:color w:val="auto"/>
        </w:rPr>
        <w:t>All Stock Awards granted under the Plan will be subject to recoupment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31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16.</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ind w:left="820" w:hanging="812"/>
        <w:spacing w:after="0"/>
        <w:tabs>
          <w:tab w:leader="none" w:pos="82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DJUSTMENTS UPON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22"/>
          <w:szCs w:val="22"/>
          <w:b w:val="1"/>
          <w:bCs w:val="1"/>
          <w:color w:val="auto"/>
        </w:rPr>
        <w:t>; O</w:t>
      </w:r>
      <w:r>
        <w:rPr>
          <w:rFonts w:ascii="Arial" w:cs="Arial" w:eastAsia="Arial" w:hAnsi="Arial"/>
          <w:sz w:val="14"/>
          <w:szCs w:val="14"/>
          <w:b w:val="1"/>
          <w:bCs w:val="1"/>
          <w:color w:val="auto"/>
        </w:rPr>
        <w:t>THER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22"/>
          <w:szCs w:val="22"/>
          <w:b w:val="1"/>
          <w:bCs w:val="1"/>
          <w:color w:val="auto"/>
        </w:rPr>
        <w:t>.</w:t>
      </w:r>
    </w:p>
    <w:p>
      <w:pPr>
        <w:spacing w:after="0" w:line="206" w:lineRule="exact"/>
        <w:rPr>
          <w:rFonts w:ascii="Arial" w:cs="Arial" w:eastAsia="Arial" w:hAnsi="Arial"/>
          <w:sz w:val="22"/>
          <w:szCs w:val="22"/>
          <w:b w:val="1"/>
          <w:bCs w:val="1"/>
          <w:color w:val="auto"/>
        </w:rPr>
      </w:pPr>
    </w:p>
    <w:p>
      <w:pPr>
        <w:jc w:val="both"/>
        <w:ind w:firstLine="872"/>
        <w:spacing w:after="0" w:line="283" w:lineRule="auto"/>
        <w:tabs>
          <w:tab w:leader="none" w:pos="2411" w:val="left"/>
        </w:tabs>
        <w:numPr>
          <w:ilvl w:val="1"/>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Capitalization Adjustments. </w:t>
      </w:r>
      <w:r>
        <w:rPr>
          <w:rFonts w:ascii="Arial" w:cs="Arial" w:eastAsia="Arial" w:hAnsi="Arial"/>
          <w:sz w:val="19"/>
          <w:szCs w:val="19"/>
          <w:color w:val="auto"/>
        </w:rPr>
        <w:t>In the event of a Capitalization Adjustment, the Board will</w:t>
      </w:r>
      <w:r>
        <w:rPr>
          <w:rFonts w:ascii="Arial" w:cs="Arial" w:eastAsia="Arial" w:hAnsi="Arial"/>
          <w:sz w:val="19"/>
          <w:szCs w:val="19"/>
          <w:b w:val="1"/>
          <w:bCs w:val="1"/>
          <w:color w:val="auto"/>
        </w:rPr>
        <w:t xml:space="preserve"> </w:t>
      </w:r>
      <w:r>
        <w:rPr>
          <w:rFonts w:ascii="Arial" w:cs="Arial" w:eastAsia="Arial" w:hAnsi="Arial"/>
          <w:sz w:val="19"/>
          <w:szCs w:val="19"/>
          <w:color w:val="auto"/>
        </w:rPr>
        <w:t>appropriately and proportionately adjust: (i) the class(es) and maximum number of securities subject to the Plan pursuant to Section 3(a), (ii) the class(es) and maximum number of securities that may be issued pursuant to the exercise of Incentive Stock Options pursuant to Section 3(c), and (iii) the class(es) and number of securities and price per share of stock subject to outstanding Stock Awards. The Board will make such adjustments, and its determination will be final, binding and conclusive.</w:t>
      </w:r>
    </w:p>
    <w:p>
      <w:pPr>
        <w:spacing w:after="0" w:line="142" w:lineRule="exact"/>
        <w:rPr>
          <w:rFonts w:ascii="Arial" w:cs="Arial" w:eastAsia="Arial" w:hAnsi="Arial"/>
          <w:sz w:val="19"/>
          <w:szCs w:val="19"/>
          <w:b w:val="1"/>
          <w:bCs w:val="1"/>
          <w:color w:val="auto"/>
        </w:rPr>
      </w:pPr>
    </w:p>
    <w:p>
      <w:pPr>
        <w:jc w:val="both"/>
        <w:ind w:firstLine="872"/>
        <w:spacing w:after="0" w:line="246" w:lineRule="auto"/>
        <w:tabs>
          <w:tab w:leader="none" w:pos="2423" w:val="left"/>
        </w:tabs>
        <w:numPr>
          <w:ilvl w:val="1"/>
          <w:numId w:val="5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Dissolution or Liquidation. </w:t>
      </w:r>
      <w:r>
        <w:rPr>
          <w:rFonts w:ascii="Arial" w:cs="Arial" w:eastAsia="Arial" w:hAnsi="Arial"/>
          <w:sz w:val="21"/>
          <w:szCs w:val="21"/>
          <w:color w:val="auto"/>
        </w:rPr>
        <w:t>Except as otherwise provided in the Stock Award Agreement, in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21"/>
          <w:szCs w:val="21"/>
          <w:i w:val="1"/>
          <w:iCs w:val="1"/>
          <w:color w:val="auto"/>
        </w:rPr>
        <w:t>provided, however</w:t>
      </w:r>
      <w:r>
        <w:rPr>
          <w:rFonts w:ascii="Arial" w:cs="Arial" w:eastAsia="Arial" w:hAnsi="Arial"/>
          <w:sz w:val="21"/>
          <w:szCs w:val="21"/>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5" w:lineRule="exact"/>
        <w:rPr>
          <w:rFonts w:ascii="Arial" w:cs="Arial" w:eastAsia="Arial" w:hAnsi="Arial"/>
          <w:sz w:val="21"/>
          <w:szCs w:val="21"/>
          <w:b w:val="1"/>
          <w:bCs w:val="1"/>
          <w:color w:val="auto"/>
        </w:rPr>
      </w:pPr>
    </w:p>
    <w:p>
      <w:pPr>
        <w:jc w:val="both"/>
        <w:ind w:firstLine="872"/>
        <w:spacing w:after="0" w:line="283" w:lineRule="auto"/>
        <w:tabs>
          <w:tab w:leader="none" w:pos="2399" w:val="left"/>
        </w:tabs>
        <w:numPr>
          <w:ilvl w:val="1"/>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Corporate Transactions. </w:t>
      </w:r>
      <w:r>
        <w:rPr>
          <w:rFonts w:ascii="Arial" w:cs="Arial" w:eastAsia="Arial" w:hAnsi="Arial"/>
          <w:sz w:val="19"/>
          <w:szCs w:val="19"/>
          <w:color w:val="auto"/>
        </w:rPr>
        <w:t>The following provisions will apply to Stock Awards in the event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Transaction unless otherwise provided in the Stock 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43"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(i) </w:t>
      </w:r>
      <w:r>
        <w:rPr>
          <w:rFonts w:ascii="Arial" w:cs="Arial" w:eastAsia="Arial" w:hAnsi="Arial"/>
          <w:sz w:val="22"/>
          <w:szCs w:val="22"/>
          <w:color w:val="auto"/>
        </w:rPr>
        <w:t>arrange for the surviving corporation or acquiring corporation (or the surviving or</w:t>
      </w:r>
      <w:r>
        <w:rPr>
          <w:rFonts w:ascii="Arial" w:cs="Arial" w:eastAsia="Arial" w:hAnsi="Arial"/>
          <w:sz w:val="22"/>
          <w:szCs w:val="22"/>
          <w:b w:val="1"/>
          <w:bCs w:val="1"/>
          <w:color w:val="auto"/>
        </w:rPr>
        <w:t xml:space="preserve"> </w:t>
      </w:r>
      <w:r>
        <w:rPr>
          <w:rFonts w:ascii="Arial" w:cs="Arial" w:eastAsia="Arial" w:hAnsi="Arial"/>
          <w:sz w:val="22"/>
          <w:szCs w:val="22"/>
          <w:color w:val="auto"/>
        </w:rPr>
        <w:t>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arrange for the assignment of any reacquisition or repurchase rights held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in respect of Common Stock issued pursuant to the Stock Award to the surviving corporation or acquiring corporation (or the surviving or acquiring corporation’s parent company);</w:t>
      </w:r>
    </w:p>
    <w:p>
      <w:pPr>
        <w:spacing w:after="0" w:line="177"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accelerate the vesting, in whole or in part, of the Stock Award (and, if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Board may require Participants to complete and deliver</w:t>
      </w:r>
    </w:p>
    <w:p>
      <w:pPr>
        <w:spacing w:after="0" w:line="314"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17.</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jc w:val="both"/>
        <w:spacing w:after="0" w:line="250" w:lineRule="auto"/>
        <w:rPr>
          <w:sz w:val="20"/>
          <w:szCs w:val="20"/>
          <w:color w:val="auto"/>
        </w:rPr>
      </w:pPr>
      <w:r>
        <w:rPr>
          <w:rFonts w:ascii="Arial" w:cs="Arial" w:eastAsia="Arial" w:hAnsi="Arial"/>
          <w:sz w:val="22"/>
          <w:szCs w:val="22"/>
          <w:color w:val="auto"/>
        </w:rPr>
        <w:t>to the Company a notice of exercise before the effective date of a Transaction, which exercise is contingent upon the effectiveness of such Transaction;</w:t>
      </w:r>
    </w:p>
    <w:p>
      <w:pPr>
        <w:spacing w:after="0" w:line="169"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color w:val="auto"/>
        </w:rPr>
        <w:t>arrange for the lapse, in whole or in part, of any reacquisition or repurchase rights</w:t>
      </w:r>
      <w:r>
        <w:rPr>
          <w:rFonts w:ascii="Arial" w:cs="Arial" w:eastAsia="Arial" w:hAnsi="Arial"/>
          <w:sz w:val="22"/>
          <w:szCs w:val="22"/>
          <w:b w:val="1"/>
          <w:bCs w:val="1"/>
          <w:color w:val="auto"/>
        </w:rPr>
        <w:t xml:space="preserve"> </w:t>
      </w:r>
      <w:r>
        <w:rPr>
          <w:rFonts w:ascii="Arial" w:cs="Arial" w:eastAsia="Arial" w:hAnsi="Arial"/>
          <w:sz w:val="22"/>
          <w:szCs w:val="22"/>
          <w:color w:val="auto"/>
        </w:rPr>
        <w:t>held by the Company with respect to the Stock Award;</w:t>
      </w:r>
    </w:p>
    <w:p>
      <w:pPr>
        <w:spacing w:after="0" w:line="162" w:lineRule="exact"/>
        <w:rPr>
          <w:sz w:val="20"/>
          <w:szCs w:val="20"/>
          <w:color w:val="auto"/>
        </w:rPr>
      </w:pPr>
    </w:p>
    <w:p>
      <w:pPr>
        <w:ind w:left="1740"/>
        <w:spacing w:after="0"/>
        <w:tabs>
          <w:tab w:leader="none" w:pos="3920" w:val="left"/>
        </w:tabs>
        <w:rPr>
          <w:sz w:val="20"/>
          <w:szCs w:val="20"/>
          <w:color w:val="auto"/>
        </w:rPr>
      </w:pPr>
      <w:r>
        <w:rPr>
          <w:rFonts w:ascii="Arial" w:cs="Arial" w:eastAsia="Arial" w:hAnsi="Arial"/>
          <w:sz w:val="19"/>
          <w:szCs w:val="19"/>
          <w:b w:val="1"/>
          <w:bCs w:val="1"/>
          <w:color w:val="auto"/>
        </w:rPr>
        <w:t>(v)</w:t>
      </w:r>
      <w:r>
        <w:rPr>
          <w:sz w:val="20"/>
          <w:szCs w:val="20"/>
          <w:color w:val="auto"/>
        </w:rPr>
        <w:tab/>
      </w:r>
      <w:r>
        <w:rPr>
          <w:rFonts w:ascii="Arial" w:cs="Arial" w:eastAsia="Arial" w:hAnsi="Arial"/>
          <w:sz w:val="19"/>
          <w:szCs w:val="19"/>
          <w:color w:val="auto"/>
        </w:rPr>
        <w:t>cancel or arrange for the cancellation of the Stock Award, to the extent not vested or</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not exercised prior to the effective time of the Transaction, in exchange for such cash consideration, if any, as the Board, in its sole discretion, may consider appropriate; and</w:t>
      </w:r>
    </w:p>
    <w:p>
      <w:pPr>
        <w:spacing w:after="0" w:line="181" w:lineRule="exact"/>
        <w:rPr>
          <w:sz w:val="20"/>
          <w:szCs w:val="20"/>
          <w:color w:val="auto"/>
        </w:rPr>
      </w:pPr>
    </w:p>
    <w:p>
      <w:pPr>
        <w:jc w:val="both"/>
        <w:ind w:firstLine="1727"/>
        <w:spacing w:after="0" w:line="235" w:lineRule="auto"/>
        <w:rPr>
          <w:sz w:val="20"/>
          <w:szCs w:val="20"/>
          <w:color w:val="auto"/>
        </w:rPr>
      </w:pPr>
      <w:r>
        <w:rPr>
          <w:rFonts w:ascii="Arial" w:cs="Arial" w:eastAsia="Arial" w:hAnsi="Arial"/>
          <w:sz w:val="22"/>
          <w:szCs w:val="22"/>
          <w:b w:val="1"/>
          <w:bCs w:val="1"/>
          <w:color w:val="auto"/>
        </w:rPr>
        <w:t xml:space="preserve">(vi) </w:t>
      </w:r>
      <w:r>
        <w:rPr>
          <w:rFonts w:ascii="Arial" w:cs="Arial" w:eastAsia="Arial" w:hAnsi="Arial"/>
          <w:sz w:val="22"/>
          <w:szCs w:val="22"/>
          <w:color w:val="auto"/>
        </w:rPr>
        <w:t>make a payment, in such form as may be determined by the Board equal to the</w:t>
      </w:r>
      <w:r>
        <w:rPr>
          <w:rFonts w:ascii="Arial" w:cs="Arial" w:eastAsia="Arial" w:hAnsi="Arial"/>
          <w:sz w:val="22"/>
          <w:szCs w:val="22"/>
          <w:b w:val="1"/>
          <w:bCs w:val="1"/>
          <w:color w:val="auto"/>
        </w:rPr>
        <w:t xml:space="preserve"> </w:t>
      </w:r>
      <w:r>
        <w:rPr>
          <w:rFonts w:ascii="Arial" w:cs="Arial" w:eastAsia="Arial" w:hAnsi="Arial"/>
          <w:sz w:val="22"/>
          <w:szCs w:val="22"/>
          <w:color w:val="auto"/>
        </w:rPr>
        <w:t>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89"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99" w:lineRule="exact"/>
        <w:rPr>
          <w:sz w:val="20"/>
          <w:szCs w:val="20"/>
          <w:color w:val="auto"/>
        </w:rPr>
      </w:pPr>
    </w:p>
    <w:p>
      <w:pPr>
        <w:jc w:val="both"/>
        <w:ind w:firstLine="872"/>
        <w:spacing w:after="0" w:line="239" w:lineRule="auto"/>
        <w:tabs>
          <w:tab w:leader="none" w:pos="2423" w:val="left"/>
        </w:tabs>
        <w:numPr>
          <w:ilvl w:val="1"/>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Change in Control. </w:t>
      </w:r>
      <w:r>
        <w:rPr>
          <w:rFonts w:ascii="Arial" w:cs="Arial" w:eastAsia="Arial" w:hAnsi="Arial"/>
          <w:sz w:val="22"/>
          <w:szCs w:val="22"/>
          <w:color w:val="auto"/>
        </w:rPr>
        <w:t>A Stock Award may be subject to additional acceleration of vesting and</w:t>
      </w:r>
      <w:r>
        <w:rPr>
          <w:rFonts w:ascii="Arial" w:cs="Arial" w:eastAsia="Arial" w:hAnsi="Arial"/>
          <w:sz w:val="22"/>
          <w:szCs w:val="22"/>
          <w:b w:val="1"/>
          <w:bCs w:val="1"/>
          <w:color w:val="auto"/>
        </w:rPr>
        <w:t xml:space="preserve"> </w:t>
      </w:r>
      <w:r>
        <w:rPr>
          <w:rFonts w:ascii="Arial" w:cs="Arial" w:eastAsia="Arial" w:hAnsi="Arial"/>
          <w:sz w:val="22"/>
          <w:szCs w:val="22"/>
          <w:color w:val="auto"/>
        </w:rPr>
        <w:t>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80" w:lineRule="exact"/>
        <w:rPr>
          <w:rFonts w:ascii="Arial" w:cs="Arial" w:eastAsia="Arial" w:hAnsi="Arial"/>
          <w:sz w:val="22"/>
          <w:szCs w:val="22"/>
          <w:b w:val="1"/>
          <w:bCs w:val="1"/>
          <w:color w:val="auto"/>
        </w:rPr>
      </w:pPr>
    </w:p>
    <w:p>
      <w:pPr>
        <w:ind w:left="780" w:hanging="772"/>
        <w:spacing w:after="0"/>
        <w:tabs>
          <w:tab w:leader="none" w:pos="7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ERMINATION OR</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2" w:lineRule="exact"/>
        <w:rPr>
          <w:rFonts w:ascii="Arial" w:cs="Arial" w:eastAsia="Arial" w:hAnsi="Arial"/>
          <w:sz w:val="22"/>
          <w:szCs w:val="22"/>
          <w:b w:val="1"/>
          <w:bCs w:val="1"/>
          <w:color w:val="auto"/>
        </w:rPr>
      </w:pPr>
    </w:p>
    <w:p>
      <w:pPr>
        <w:jc w:val="both"/>
        <w:ind w:firstLine="872"/>
        <w:spacing w:after="0" w:line="238" w:lineRule="auto"/>
        <w:tabs>
          <w:tab w:leader="none" w:pos="2411" w:val="left"/>
        </w:tabs>
        <w:numPr>
          <w:ilvl w:val="1"/>
          <w:numId w:val="55"/>
        </w:numPr>
        <w:rPr>
          <w:rFonts w:ascii="Arial" w:cs="Arial" w:eastAsia="Arial" w:hAnsi="Arial"/>
          <w:sz w:val="22"/>
          <w:szCs w:val="22"/>
          <w:b w:val="1"/>
          <w:bCs w:val="1"/>
          <w:color w:val="auto"/>
        </w:rPr>
      </w:pPr>
      <w:r>
        <w:rPr>
          <w:rFonts w:ascii="Arial" w:cs="Arial" w:eastAsia="Arial" w:hAnsi="Arial"/>
          <w:sz w:val="22"/>
          <w:szCs w:val="22"/>
          <w:color w:val="auto"/>
        </w:rPr>
        <w:t>The Board may suspend or terminate the Plan at any time. No Incentive Stock Option will be granted after the tenth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78" w:lineRule="exact"/>
        <w:rPr>
          <w:rFonts w:ascii="Arial" w:cs="Arial" w:eastAsia="Arial" w:hAnsi="Arial"/>
          <w:sz w:val="22"/>
          <w:szCs w:val="22"/>
          <w:b w:val="1"/>
          <w:bCs w:val="1"/>
          <w:color w:val="auto"/>
        </w:rPr>
      </w:pPr>
    </w:p>
    <w:p>
      <w:pPr>
        <w:jc w:val="both"/>
        <w:ind w:right="20" w:firstLine="872"/>
        <w:spacing w:after="0" w:line="243" w:lineRule="auto"/>
        <w:tabs>
          <w:tab w:leader="none" w:pos="2423" w:val="left"/>
        </w:tabs>
        <w:numPr>
          <w:ilvl w:val="1"/>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Impairment of Rights. </w:t>
      </w:r>
      <w:r>
        <w:rPr>
          <w:rFonts w:ascii="Arial" w:cs="Arial" w:eastAsia="Arial" w:hAnsi="Arial"/>
          <w:sz w:val="22"/>
          <w:szCs w:val="22"/>
          <w:color w:val="auto"/>
        </w:rPr>
        <w:t>Suspension or termination of the Plan will not materially impair rights</w:t>
      </w:r>
      <w:r>
        <w:rPr>
          <w:rFonts w:ascii="Arial" w:cs="Arial" w:eastAsia="Arial" w:hAnsi="Arial"/>
          <w:sz w:val="22"/>
          <w:szCs w:val="22"/>
          <w:b w:val="1"/>
          <w:bCs w:val="1"/>
          <w:color w:val="auto"/>
        </w:rPr>
        <w:t xml:space="preserve"> </w:t>
      </w:r>
      <w:r>
        <w:rPr>
          <w:rFonts w:ascii="Arial" w:cs="Arial" w:eastAsia="Arial" w:hAnsi="Arial"/>
          <w:sz w:val="22"/>
          <w:szCs w:val="22"/>
          <w:color w:val="auto"/>
        </w:rPr>
        <w:t>and obligations under any Stock Award granted while the Plan is in effect except with the written consent of the affected Participant or as otherwise permitted in the Plan.</w:t>
      </w:r>
    </w:p>
    <w:p>
      <w:pPr>
        <w:spacing w:after="0" w:line="176" w:lineRule="exact"/>
        <w:rPr>
          <w:rFonts w:ascii="Arial" w:cs="Arial" w:eastAsia="Arial" w:hAnsi="Arial"/>
          <w:sz w:val="22"/>
          <w:szCs w:val="22"/>
          <w:b w:val="1"/>
          <w:bCs w:val="1"/>
          <w:color w:val="auto"/>
        </w:rPr>
      </w:pPr>
    </w:p>
    <w:p>
      <w:pPr>
        <w:ind w:left="1220" w:hanging="1212"/>
        <w:spacing w:after="0"/>
        <w:tabs>
          <w:tab w:leader="none" w:pos="122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22"/>
          <w:szCs w:val="22"/>
          <w:b w:val="1"/>
          <w:bCs w:val="1"/>
          <w:color w:val="auto"/>
        </w:rPr>
        <w:t>.</w:t>
      </w:r>
    </w:p>
    <w:p>
      <w:pPr>
        <w:spacing w:after="0" w:line="2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This Plan will become effective on the Effective Date.</w:t>
      </w:r>
    </w:p>
    <w:p>
      <w:pPr>
        <w:spacing w:after="0" w:line="200" w:lineRule="exact"/>
        <w:rPr>
          <w:sz w:val="20"/>
          <w:szCs w:val="20"/>
          <w:color w:val="auto"/>
        </w:rPr>
      </w:pPr>
    </w:p>
    <w:p>
      <w:pPr>
        <w:spacing w:after="0"/>
        <w:tabs>
          <w:tab w:leader="none" w:pos="1800" w:val="left"/>
        </w:tabs>
        <w:rPr>
          <w:sz w:val="20"/>
          <w:szCs w:val="20"/>
          <w:color w:val="auto"/>
        </w:rPr>
      </w:pPr>
      <w:r>
        <w:rPr>
          <w:rFonts w:ascii="Arial" w:cs="Arial" w:eastAsia="Arial" w:hAnsi="Arial"/>
          <w:sz w:val="22"/>
          <w:szCs w:val="22"/>
          <w:b w:val="1"/>
          <w:bCs w:val="1"/>
          <w:color w:val="auto"/>
        </w:rPr>
        <w:t>12.</w:t>
      </w:r>
      <w:r>
        <w:rPr>
          <w:sz w:val="20"/>
          <w:szCs w:val="20"/>
          <w:color w:val="auto"/>
        </w:rPr>
        <w:tab/>
      </w:r>
      <w:r>
        <w:rPr>
          <w:rFonts w:ascii="Arial" w:cs="Arial" w:eastAsia="Arial" w:hAnsi="Arial"/>
          <w:sz w:val="22"/>
          <w:szCs w:val="22"/>
          <w:b w:val="1"/>
          <w:bCs w:val="1"/>
          <w:color w:val="auto"/>
        </w:rPr>
        <w:t>C</w:t>
      </w:r>
      <w:r>
        <w:rPr>
          <w:rFonts w:ascii="Arial" w:cs="Arial" w:eastAsia="Arial" w:hAnsi="Arial"/>
          <w:sz w:val="14"/>
          <w:szCs w:val="14"/>
          <w:b w:val="1"/>
          <w:bCs w:val="1"/>
          <w:color w:val="auto"/>
        </w:rPr>
        <w:t>HOICE OF</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22"/>
          <w:szCs w:val="22"/>
          <w:b w:val="1"/>
          <w:bCs w:val="1"/>
          <w:color w:val="auto"/>
        </w:rPr>
        <w:t>.</w:t>
      </w:r>
    </w:p>
    <w:p>
      <w:pPr>
        <w:spacing w:after="0" w:line="21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laws of the State of Delaware will govern all questions concerning the construction, validity and interpretation of this Plan, without regard to that state’s conflict of laws rules.</w:t>
      </w:r>
    </w:p>
    <w:p>
      <w:pPr>
        <w:spacing w:after="0" w:line="200" w:lineRule="exact"/>
        <w:rPr>
          <w:sz w:val="20"/>
          <w:szCs w:val="20"/>
          <w:color w:val="auto"/>
        </w:rPr>
      </w:pPr>
    </w:p>
    <w:p>
      <w:pPr>
        <w:spacing w:after="0" w:line="317"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18.</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6" w:name="page87"/>
    <w:bookmarkEnd w:id="86"/>
    <w:p>
      <w:pPr>
        <w:ind w:left="300" w:hanging="292"/>
        <w:spacing w:after="0"/>
        <w:tabs>
          <w:tab w:leader="none" w:pos="300" w:val="left"/>
        </w:tabs>
        <w:numPr>
          <w:ilvl w:val="0"/>
          <w:numId w:val="56"/>
        </w:numPr>
        <w:rPr>
          <w:rFonts w:ascii="Arial" w:cs="Arial" w:eastAsia="Arial" w:hAnsi="Arial"/>
          <w:sz w:val="20"/>
          <w:szCs w:val="20"/>
          <w:b w:val="1"/>
          <w:bCs w:val="1"/>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EFINITIONS</w:t>
      </w:r>
      <w:r>
        <w:rPr>
          <w:rFonts w:ascii="Arial" w:cs="Arial" w:eastAsia="Arial" w:hAnsi="Arial"/>
          <w:sz w:val="20"/>
          <w:szCs w:val="20"/>
          <w:b w:val="1"/>
          <w:bCs w:val="1"/>
          <w:color w:val="auto"/>
        </w:rPr>
        <w:t xml:space="preserve">. </w:t>
      </w:r>
      <w:r>
        <w:rPr>
          <w:rFonts w:ascii="Arial" w:cs="Arial" w:eastAsia="Arial" w:hAnsi="Arial"/>
          <w:sz w:val="20"/>
          <w:szCs w:val="20"/>
          <w:color w:val="auto"/>
        </w:rPr>
        <w:t>As used in the Plan, the following definitions will apply to the capitalized terms indicated below:</w:t>
      </w:r>
    </w:p>
    <w:p>
      <w:pPr>
        <w:spacing w:after="0" w:line="235" w:lineRule="exact"/>
        <w:rPr>
          <w:rFonts w:ascii="Arial" w:cs="Arial" w:eastAsia="Arial" w:hAnsi="Arial"/>
          <w:sz w:val="20"/>
          <w:szCs w:val="20"/>
          <w:b w:val="1"/>
          <w:bCs w:val="1"/>
          <w:color w:val="auto"/>
        </w:rPr>
      </w:pPr>
    </w:p>
    <w:p>
      <w:pPr>
        <w:jc w:val="both"/>
        <w:ind w:firstLine="872"/>
        <w:spacing w:after="0"/>
        <w:tabs>
          <w:tab w:leader="none" w:pos="2465"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186" w:lineRule="exact"/>
        <w:rPr>
          <w:rFonts w:ascii="Arial" w:cs="Arial" w:eastAsia="Arial" w:hAnsi="Arial"/>
          <w:sz w:val="22"/>
          <w:szCs w:val="22"/>
          <w:b w:val="1"/>
          <w:bCs w:val="1"/>
          <w:color w:val="auto"/>
        </w:rPr>
      </w:pPr>
    </w:p>
    <w:p>
      <w:pPr>
        <w:ind w:left="2440" w:hanging="1568"/>
        <w:spacing w:after="0"/>
        <w:tabs>
          <w:tab w:leader="none" w:pos="2440"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Board of Directors of the Company.</w:t>
      </w:r>
    </w:p>
    <w:p>
      <w:pPr>
        <w:spacing w:after="0" w:line="206" w:lineRule="exact"/>
        <w:rPr>
          <w:rFonts w:ascii="Arial" w:cs="Arial" w:eastAsia="Arial" w:hAnsi="Arial"/>
          <w:sz w:val="22"/>
          <w:szCs w:val="22"/>
          <w:b w:val="1"/>
          <w:bCs w:val="1"/>
          <w:color w:val="auto"/>
        </w:rPr>
      </w:pPr>
    </w:p>
    <w:p>
      <w:pPr>
        <w:jc w:val="both"/>
        <w:ind w:firstLine="872"/>
        <w:spacing w:after="0" w:line="234" w:lineRule="auto"/>
        <w:tabs>
          <w:tab w:leader="none" w:pos="2399" w:val="left"/>
        </w:tabs>
        <w:numPr>
          <w:ilvl w:val="1"/>
          <w:numId w:val="56"/>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Capitalization Adjustment</w:t>
      </w:r>
      <w:r>
        <w:rPr>
          <w:rFonts w:ascii="Arial" w:cs="Arial" w:eastAsia="Arial" w:hAnsi="Arial"/>
          <w:sz w:val="22"/>
          <w:szCs w:val="22"/>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6" w:lineRule="exact"/>
        <w:rPr>
          <w:rFonts w:ascii="Arial" w:cs="Arial" w:eastAsia="Arial" w:hAnsi="Arial"/>
          <w:sz w:val="22"/>
          <w:szCs w:val="22"/>
          <w:b w:val="1"/>
          <w:bCs w:val="1"/>
          <w:color w:val="auto"/>
        </w:rPr>
      </w:pPr>
    </w:p>
    <w:p>
      <w:pPr>
        <w:jc w:val="both"/>
        <w:ind w:firstLine="872"/>
        <w:spacing w:after="0" w:line="244" w:lineRule="auto"/>
        <w:tabs>
          <w:tab w:leader="none" w:pos="2423" w:val="left"/>
        </w:tabs>
        <w:numPr>
          <w:ilvl w:val="1"/>
          <w:numId w:val="56"/>
        </w:numPr>
        <w:rPr>
          <w:rFonts w:ascii="Arial" w:cs="Arial" w:eastAsia="Arial" w:hAnsi="Arial"/>
          <w:sz w:val="21"/>
          <w:szCs w:val="21"/>
          <w:b w:val="1"/>
          <w:bCs w:val="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Cause</w:t>
      </w:r>
      <w:r>
        <w:rPr>
          <w:rFonts w:ascii="Arial" w:cs="Arial" w:eastAsia="Arial" w:hAnsi="Arial"/>
          <w:sz w:val="21"/>
          <w:szCs w:val="21"/>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0"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(e) </w:t>
      </w: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in a single transaction or in a series of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of any one or more of the following events:</w:t>
      </w:r>
    </w:p>
    <w:p>
      <w:pPr>
        <w:spacing w:after="0" w:line="162"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any Exchange Act Person becomes the Owner, directly or indirectly, of securities of</w:t>
      </w:r>
    </w:p>
    <w:p>
      <w:pPr>
        <w:spacing w:after="0" w:line="49" w:lineRule="exact"/>
        <w:rPr>
          <w:sz w:val="20"/>
          <w:szCs w:val="20"/>
          <w:color w:val="auto"/>
        </w:rPr>
      </w:pPr>
    </w:p>
    <w:p>
      <w:pPr>
        <w:jc w:val="both"/>
        <w:spacing w:after="0" w:line="266" w:lineRule="auto"/>
        <w:rPr>
          <w:sz w:val="20"/>
          <w:szCs w:val="20"/>
          <w:color w:val="auto"/>
        </w:rPr>
      </w:pPr>
      <w:r>
        <w:rPr>
          <w:rFonts w:ascii="Arial" w:cs="Arial" w:eastAsia="Arial" w:hAnsi="Arial"/>
          <w:sz w:val="19"/>
          <w:szCs w:val="19"/>
          <w:color w:val="auto"/>
        </w:rPr>
        <w:t>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spacing w:after="0" w:line="3" w:lineRule="exact"/>
        <w:rPr>
          <w:sz w:val="20"/>
          <w:szCs w:val="20"/>
          <w:color w:val="auto"/>
        </w:rPr>
      </w:pPr>
    </w:p>
    <w:p>
      <w:pPr>
        <w:ind w:firstLine="8"/>
        <w:spacing w:after="0" w:line="236" w:lineRule="auto"/>
        <w:tabs>
          <w:tab w:leader="none" w:pos="361" w:val="left"/>
        </w:tabs>
        <w:numPr>
          <w:ilvl w:val="0"/>
          <w:numId w:val="57"/>
        </w:numPr>
        <w:rPr>
          <w:rFonts w:ascii="Arial" w:cs="Arial" w:eastAsia="Arial" w:hAnsi="Arial"/>
          <w:sz w:val="22"/>
          <w:szCs w:val="22"/>
          <w:color w:val="auto"/>
        </w:rPr>
      </w:pPr>
      <w:r>
        <w:rPr>
          <w:rFonts w:ascii="Arial" w:cs="Arial" w:eastAsia="Arial" w:hAnsi="Arial"/>
          <w:sz w:val="22"/>
          <w:szCs w:val="22"/>
          <w:color w:val="auto"/>
        </w:rPr>
        <w:t>on account of the acquisition of securities of the Company by an investor, any affiliate thereof or any other Exchange Act Person that acquires the Company’s securities in a transaction or series</w:t>
      </w:r>
    </w:p>
    <w:p>
      <w:pPr>
        <w:spacing w:after="0" w:line="313" w:lineRule="exact"/>
        <w:rPr>
          <w:sz w:val="20"/>
          <w:szCs w:val="20"/>
          <w:color w:val="auto"/>
        </w:rPr>
      </w:pPr>
    </w:p>
    <w:p>
      <w:pPr>
        <w:ind w:left="880"/>
        <w:spacing w:after="0"/>
        <w:rPr>
          <w:sz w:val="20"/>
          <w:szCs w:val="20"/>
          <w:color w:val="auto"/>
        </w:rPr>
      </w:pPr>
      <w:r>
        <w:rPr>
          <w:rFonts w:ascii="Arial" w:cs="Arial" w:eastAsia="Arial" w:hAnsi="Arial"/>
          <w:sz w:val="22"/>
          <w:szCs w:val="22"/>
          <w:color w:val="auto"/>
        </w:rPr>
        <w:t>19.</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7" w:name="page88"/>
    <w:bookmarkEnd w:id="87"/>
    <w:p>
      <w:pPr>
        <w:jc w:val="both"/>
        <w:spacing w:after="0" w:line="275" w:lineRule="auto"/>
        <w:rPr>
          <w:sz w:val="20"/>
          <w:szCs w:val="20"/>
          <w:color w:val="auto"/>
        </w:rPr>
      </w:pPr>
      <w:r>
        <w:rPr>
          <w:rFonts w:ascii="Arial" w:cs="Arial" w:eastAsia="Arial" w:hAnsi="Arial"/>
          <w:sz w:val="19"/>
          <w:szCs w:val="19"/>
          <w:color w:val="auto"/>
        </w:rPr>
        <w:t>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9"/>
          <w:szCs w:val="19"/>
          <w:b w:val="1"/>
          <w:bCs w:val="1"/>
          <w:i w:val="1"/>
          <w:iCs w:val="1"/>
          <w:color w:val="auto"/>
        </w:rPr>
        <w:t>Subject Person</w:t>
      </w:r>
      <w:r>
        <w:rPr>
          <w:rFonts w:ascii="Arial" w:cs="Arial" w:eastAsia="Arial" w:hAnsi="Arial"/>
          <w:sz w:val="19"/>
          <w:szCs w:val="19"/>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51" w:lineRule="exact"/>
        <w:rPr>
          <w:sz w:val="20"/>
          <w:szCs w:val="20"/>
          <w:color w:val="auto"/>
        </w:rPr>
      </w:pPr>
    </w:p>
    <w:p>
      <w:pPr>
        <w:jc w:val="both"/>
        <w:ind w:firstLine="1727"/>
        <w:spacing w:after="0" w:line="278" w:lineRule="auto"/>
        <w:rPr>
          <w:sz w:val="20"/>
          <w:szCs w:val="20"/>
          <w:color w:val="auto"/>
        </w:rPr>
      </w:pPr>
      <w:r>
        <w:rPr>
          <w:rFonts w:ascii="Arial" w:cs="Arial" w:eastAsia="Arial" w:hAnsi="Arial"/>
          <w:sz w:val="19"/>
          <w:szCs w:val="19"/>
          <w:b w:val="1"/>
          <w:bCs w:val="1"/>
          <w:color w:val="auto"/>
        </w:rPr>
        <w:t xml:space="preserve">(ii) </w:t>
      </w:r>
      <w:r>
        <w:rPr>
          <w:rFonts w:ascii="Arial" w:cs="Arial" w:eastAsia="Arial" w:hAnsi="Arial"/>
          <w:sz w:val="19"/>
          <w:szCs w:val="19"/>
          <w:color w:val="auto"/>
        </w:rPr>
        <w:t>there is consummated a merger, consolidation or similar transaction involving</w:t>
      </w:r>
      <w:r>
        <w:rPr>
          <w:rFonts w:ascii="Arial" w:cs="Arial" w:eastAsia="Arial" w:hAnsi="Arial"/>
          <w:sz w:val="19"/>
          <w:szCs w:val="19"/>
          <w:b w:val="1"/>
          <w:bCs w:val="1"/>
          <w:color w:val="auto"/>
        </w:rPr>
        <w:t xml:space="preserve"> </w:t>
      </w:r>
      <w:r>
        <w:rPr>
          <w:rFonts w:ascii="Arial" w:cs="Arial" w:eastAsia="Arial" w:hAnsi="Arial"/>
          <w:sz w:val="19"/>
          <w:szCs w:val="19"/>
          <w:color w:val="auto"/>
        </w:rPr>
        <w:t>(directly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45"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the stockholders of the Company approve or the Board approves a plan of complete</w:t>
      </w:r>
      <w:r>
        <w:rPr>
          <w:rFonts w:ascii="Arial" w:cs="Arial" w:eastAsia="Arial" w:hAnsi="Arial"/>
          <w:sz w:val="22"/>
          <w:szCs w:val="22"/>
          <w:b w:val="1"/>
          <w:bCs w:val="1"/>
          <w:color w:val="auto"/>
        </w:rPr>
        <w:t xml:space="preserve"> </w:t>
      </w:r>
      <w:r>
        <w:rPr>
          <w:rFonts w:ascii="Arial" w:cs="Arial" w:eastAsia="Arial" w:hAnsi="Arial"/>
          <w:sz w:val="22"/>
          <w:szCs w:val="22"/>
          <w:color w:val="auto"/>
        </w:rPr>
        <w:t>dissolution or liquidation of the Company, or a complete dissolution or liquidation of the Company will otherwise occur, except for a liquidation into a parent corporation;</w:t>
      </w:r>
    </w:p>
    <w:p>
      <w:pPr>
        <w:spacing w:after="0" w:line="177" w:lineRule="exact"/>
        <w:rPr>
          <w:sz w:val="20"/>
          <w:szCs w:val="20"/>
          <w:color w:val="auto"/>
        </w:rPr>
      </w:pPr>
    </w:p>
    <w:p>
      <w:pPr>
        <w:jc w:val="both"/>
        <w:ind w:firstLine="1727"/>
        <w:spacing w:after="0" w:line="236" w:lineRule="auto"/>
        <w:rPr>
          <w:sz w:val="20"/>
          <w:szCs w:val="20"/>
          <w:color w:val="auto"/>
        </w:rPr>
      </w:pPr>
      <w:r>
        <w:rPr>
          <w:rFonts w:ascii="Arial" w:cs="Arial" w:eastAsia="Arial" w:hAnsi="Arial"/>
          <w:sz w:val="22"/>
          <w:szCs w:val="22"/>
          <w:b w:val="1"/>
          <w:bCs w:val="1"/>
          <w:color w:val="auto"/>
        </w:rPr>
        <w:t xml:space="preserve">(iv) </w:t>
      </w:r>
      <w:r>
        <w:rPr>
          <w:rFonts w:ascii="Arial" w:cs="Arial" w:eastAsia="Arial" w:hAnsi="Arial"/>
          <w:sz w:val="22"/>
          <w:szCs w:val="22"/>
          <w:color w:val="auto"/>
        </w:rPr>
        <w:t>there is consummated a sale, lease, exclusive license or other disposition of all or</w:t>
      </w:r>
      <w:r>
        <w:rPr>
          <w:rFonts w:ascii="Arial" w:cs="Arial" w:eastAsia="Arial" w:hAnsi="Arial"/>
          <w:sz w:val="22"/>
          <w:szCs w:val="22"/>
          <w:b w:val="1"/>
          <w:bCs w:val="1"/>
          <w:color w:val="auto"/>
        </w:rPr>
        <w:t xml:space="preserve"> </w:t>
      </w:r>
      <w:r>
        <w:rPr>
          <w:rFonts w:ascii="Arial" w:cs="Arial" w:eastAsia="Arial" w:hAnsi="Arial"/>
          <w:sz w:val="22"/>
          <w:szCs w:val="22"/>
          <w:color w:val="auto"/>
        </w:rPr>
        <w:t>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(v) </w:t>
      </w:r>
      <w:r>
        <w:rPr>
          <w:rFonts w:ascii="Arial" w:cs="Arial" w:eastAsia="Arial" w:hAnsi="Arial"/>
          <w:sz w:val="22"/>
          <w:szCs w:val="22"/>
          <w:color w:val="auto"/>
        </w:rPr>
        <w:t>individuals who, on the date the Plan is adopted by the Board, are members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(the “</w:t>
      </w:r>
      <w:r>
        <w:rPr>
          <w:rFonts w:ascii="Arial" w:cs="Arial" w:eastAsia="Arial" w:hAnsi="Arial"/>
          <w:sz w:val="22"/>
          <w:szCs w:val="22"/>
          <w:b w:val="1"/>
          <w:bCs w:val="1"/>
          <w:i w:val="1"/>
          <w:iCs w:val="1"/>
          <w:color w:val="auto"/>
        </w:rPr>
        <w:t>Incumbent Board</w:t>
      </w:r>
      <w:r>
        <w:rPr>
          <w:rFonts w:ascii="Arial" w:cs="Arial" w:eastAsia="Arial" w:hAnsi="Arial"/>
          <w:sz w:val="22"/>
          <w:szCs w:val="22"/>
          <w:color w:val="auto"/>
        </w:rPr>
        <w:t xml:space="preserve">”) cease for any reason to constitute at least a majority of the members of the Board;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the appointment or election (or nomination for election) of any new Board member was approved or</w:t>
      </w:r>
      <w:r>
        <w:rPr>
          <w:rFonts w:ascii="Arial" w:cs="Arial" w:eastAsia="Arial" w:hAnsi="Arial"/>
          <w:sz w:val="22"/>
          <w:szCs w:val="22"/>
          <w:i w:val="1"/>
          <w:iCs w:val="1"/>
          <w:color w:val="auto"/>
        </w:rPr>
        <w:t xml:space="preserve"> </w:t>
      </w:r>
      <w:r>
        <w:rPr>
          <w:rFonts w:ascii="Arial" w:cs="Arial" w:eastAsia="Arial" w:hAnsi="Arial"/>
          <w:sz w:val="22"/>
          <w:szCs w:val="22"/>
          <w:color w:val="auto"/>
        </w:rPr>
        <w:t>recommended by a majority vote of the members of the Incumbent Board then still in office, such new member will, for purposes of this Plan, be considered as a member of the Incumbent Board.</w:t>
      </w:r>
    </w:p>
    <w:p>
      <w:pPr>
        <w:spacing w:after="0" w:line="188"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9"/>
          <w:szCs w:val="19"/>
          <w:color w:val="auto"/>
        </w:rPr>
        <w:t>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w:t>
      </w:r>
    </w:p>
    <w:p>
      <w:pPr>
        <w:spacing w:after="0" w:line="26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20.</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8" w:name="page89"/>
    <w:bookmarkEnd w:id="88"/>
    <w:p>
      <w:pPr>
        <w:spacing w:after="0" w:line="250" w:lineRule="auto"/>
        <w:rPr>
          <w:sz w:val="20"/>
          <w:szCs w:val="20"/>
          <w:color w:val="auto"/>
        </w:rPr>
      </w:pPr>
      <w:r>
        <w:rPr>
          <w:rFonts w:ascii="Arial" w:cs="Arial" w:eastAsia="Arial" w:hAnsi="Arial"/>
          <w:sz w:val="22"/>
          <w:szCs w:val="22"/>
          <w:color w:val="auto"/>
        </w:rPr>
        <w:t xml:space="preserve">to such agreement; </w:t>
      </w:r>
      <w:r>
        <w:rPr>
          <w:rFonts w:ascii="Arial" w:cs="Arial" w:eastAsia="Arial" w:hAnsi="Arial"/>
          <w:sz w:val="22"/>
          <w:szCs w:val="22"/>
          <w:i w:val="1"/>
          <w:iCs w:val="1"/>
          <w:color w:val="auto"/>
        </w:rPr>
        <w:t>provided, however</w:t>
      </w:r>
      <w:r>
        <w:rPr>
          <w:rFonts w:ascii="Arial" w:cs="Arial" w:eastAsia="Arial" w:hAnsi="Arial"/>
          <w:sz w:val="22"/>
          <w:szCs w:val="22"/>
          <w:color w:val="auto"/>
        </w:rPr>
        <w:t>, that if no definition of Change in Control or any analogous term is set forth in such an individual written agreement, the foregoing definition will apply.</w:t>
      </w:r>
    </w:p>
    <w:p>
      <w:pPr>
        <w:sectPr>
          <w:pgSz w:w="11900" w:h="16838" w:orient="portrait"/>
          <w:cols w:equalWidth="0" w:num="1">
            <w:col w:w="11240"/>
          </w:cols>
          <w:pgMar w:left="320" w:top="334" w:right="339" w:bottom="1440" w:gutter="0" w:footer="0" w:header="0"/>
        </w:sectPr>
      </w:pPr>
    </w:p>
    <w:p>
      <w:pPr>
        <w:spacing w:after="0" w:line="169"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(f)</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and guidance thereunder.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Code</w:t>
      </w:r>
      <w:r>
        <w:rPr>
          <w:rFonts w:ascii="Arial" w:cs="Arial" w:eastAsia="Arial" w:hAnsi="Arial"/>
          <w:sz w:val="19"/>
          <w:szCs w:val="19"/>
          <w:color w:val="auto"/>
        </w:rPr>
        <w:t>” means the Internal Revenue Code of 1986, as amended, including any applicable regulations</w:t>
      </w:r>
    </w:p>
    <w:p>
      <w:pPr>
        <w:spacing w:after="0" w:line="461" w:lineRule="exact"/>
        <w:rPr>
          <w:sz w:val="20"/>
          <w:szCs w:val="20"/>
          <w:color w:val="auto"/>
        </w:rPr>
      </w:pPr>
    </w:p>
    <w:p>
      <w:pPr>
        <w:sectPr>
          <w:pgSz w:w="11900" w:h="16838" w:orient="portrait"/>
          <w:cols w:equalWidth="0" w:num="2">
            <w:col w:w="2180" w:space="200"/>
            <w:col w:w="8860"/>
          </w:cols>
          <w:pgMar w:left="320" w:top="334" w:right="339" w:bottom="1440" w:gutter="0" w:footer="0" w:header="0"/>
          <w:type w:val="continuous"/>
        </w:sectPr>
      </w:pPr>
    </w:p>
    <w:p>
      <w:pPr>
        <w:spacing w:after="0" w:line="17"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(g) </w:t>
      </w: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a committee of one or more Directors to whom authority has been delegated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in accordance with Section 2(c).</w:t>
      </w:r>
    </w:p>
    <w:p>
      <w:pPr>
        <w:sectPr>
          <w:pgSz w:w="11900" w:h="16838" w:orient="portrait"/>
          <w:cols w:equalWidth="0" w:num="1">
            <w:col w:w="11240"/>
          </w:cols>
          <w:pgMar w:left="320" w:top="334" w:right="339" w:bottom="1440" w:gutter="0" w:footer="0" w:header="0"/>
          <w:type w:val="continuous"/>
        </w:sectPr>
      </w:pPr>
    </w:p>
    <w:p>
      <w:pPr>
        <w:spacing w:after="0" w:line="162"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(h)</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means the common stock of the Company.</w:t>
      </w:r>
    </w:p>
    <w:p>
      <w:pPr>
        <w:spacing w:after="0" w:line="200" w:lineRule="exact"/>
        <w:rPr>
          <w:sz w:val="20"/>
          <w:szCs w:val="20"/>
          <w:color w:val="auto"/>
        </w:rPr>
      </w:pPr>
    </w:p>
    <w:p>
      <w:pPr>
        <w:sectPr>
          <w:pgSz w:w="11900" w:h="16838" w:orient="portrait"/>
          <w:cols w:equalWidth="0" w:num="2">
            <w:col w:w="1720" w:space="720"/>
            <w:col w:w="8800"/>
          </w:cols>
          <w:pgMar w:left="320" w:top="334" w:right="339" w:bottom="1440" w:gutter="0" w:footer="0" w:header="0"/>
          <w:type w:val="continuous"/>
        </w:sectPr>
      </w:pPr>
    </w:p>
    <w:p>
      <w:pPr>
        <w:spacing w:after="0" w:line="35"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means MannKind Corporation, a Delaware corporation.</w:t>
      </w:r>
    </w:p>
    <w:p>
      <w:pPr>
        <w:spacing w:after="0" w:line="216" w:lineRule="exact"/>
        <w:rPr>
          <w:sz w:val="20"/>
          <w:szCs w:val="20"/>
          <w:color w:val="auto"/>
        </w:rPr>
      </w:pPr>
    </w:p>
    <w:p>
      <w:pPr>
        <w:sectPr>
          <w:pgSz w:w="11900" w:h="16838" w:orient="portrait"/>
          <w:cols w:equalWidth="0" w:num="2">
            <w:col w:w="1660" w:space="720"/>
            <w:col w:w="8860"/>
          </w:cols>
          <w:pgMar w:left="320" w:top="334" w:right="339" w:bottom="1440" w:gutter="0" w:footer="0" w:header="0"/>
          <w:type w:val="continuous"/>
        </w:sectPr>
      </w:pPr>
    </w:p>
    <w:p>
      <w:pPr>
        <w:spacing w:after="0" w:line="18"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b w:val="1"/>
          <w:bCs w:val="1"/>
          <w:color w:val="auto"/>
        </w:rPr>
        <w:t>(j)</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Consultant</w:t>
      </w:r>
      <w:r>
        <w:rPr>
          <w:rFonts w:ascii="Arial" w:cs="Arial" w:eastAsia="Arial" w:hAnsi="Arial"/>
          <w:sz w:val="19"/>
          <w:szCs w:val="19"/>
          <w:color w:val="auto"/>
        </w:rPr>
        <w:t>” means any person, including an advisor, who is (i) engaged by the Company or an</w:t>
      </w:r>
    </w:p>
    <w:p>
      <w:pPr>
        <w:sectPr>
          <w:pgSz w:w="11900" w:h="16838" w:orient="portrait"/>
          <w:cols w:equalWidth="0" w:num="1">
            <w:col w:w="11240"/>
          </w:cols>
          <w:pgMar w:left="320" w:top="334" w:right="339" w:bottom="1440" w:gutter="0" w:footer="0" w:header="0"/>
          <w:type w:val="continuous"/>
        </w:sectPr>
      </w:pP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5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 xml:space="preserve">(k) </w:t>
      </w:r>
      <w:r>
        <w:rPr>
          <w:rFonts w:ascii="Arial" w:cs="Arial" w:eastAsia="Arial" w:hAnsi="Arial"/>
          <w:sz w:val="19"/>
          <w:szCs w:val="19"/>
          <w:color w:val="auto"/>
        </w:rPr>
        <w:t>“</w:t>
      </w:r>
      <w:r>
        <w:rPr>
          <w:rFonts w:ascii="Arial" w:cs="Arial" w:eastAsia="Arial" w:hAnsi="Arial"/>
          <w:sz w:val="19"/>
          <w:szCs w:val="19"/>
          <w:b w:val="1"/>
          <w:bCs w:val="1"/>
          <w:i w:val="1"/>
          <w:iCs w:val="1"/>
          <w:color w:val="auto"/>
        </w:rPr>
        <w:t>Continuous Service</w:t>
      </w:r>
      <w:r>
        <w:rPr>
          <w:rFonts w:ascii="Arial" w:cs="Arial" w:eastAsia="Arial" w:hAnsi="Arial"/>
          <w:sz w:val="19"/>
          <w:szCs w:val="19"/>
          <w:color w:val="auto"/>
        </w:rPr>
        <w:t>” means that the Participant’s service with the Company or an Affiliate,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200" w:lineRule="exact"/>
        <w:rPr>
          <w:sz w:val="20"/>
          <w:szCs w:val="20"/>
          <w:color w:val="auto"/>
        </w:rPr>
      </w:pPr>
    </w:p>
    <w:p>
      <w:pPr>
        <w:spacing w:after="0" w:line="207" w:lineRule="exact"/>
        <w:rPr>
          <w:sz w:val="20"/>
          <w:szCs w:val="20"/>
          <w:color w:val="auto"/>
        </w:rPr>
      </w:pPr>
    </w:p>
    <w:p>
      <w:pPr>
        <w:ind w:right="20" w:firstLine="864"/>
        <w:spacing w:after="0" w:line="256" w:lineRule="auto"/>
        <w:rPr>
          <w:sz w:val="20"/>
          <w:szCs w:val="20"/>
          <w:color w:val="auto"/>
        </w:rPr>
      </w:pPr>
      <w:r>
        <w:rPr>
          <w:rFonts w:ascii="Arial" w:cs="Arial" w:eastAsia="Arial" w:hAnsi="Arial"/>
          <w:sz w:val="22"/>
          <w:szCs w:val="22"/>
          <w:b w:val="1"/>
          <w:bCs w:val="1"/>
          <w:color w:val="auto"/>
        </w:rPr>
        <w:t xml:space="preserve">(l) </w:t>
      </w:r>
      <w:r>
        <w:rPr>
          <w:rFonts w:ascii="Arial" w:cs="Arial" w:eastAsia="Arial" w:hAnsi="Arial"/>
          <w:sz w:val="22"/>
          <w:szCs w:val="22"/>
          <w:color w:val="auto"/>
        </w:rPr>
        <w:t>“</w:t>
      </w:r>
      <w:r>
        <w:rPr>
          <w:rFonts w:ascii="Arial" w:cs="Arial" w:eastAsia="Arial" w:hAnsi="Arial"/>
          <w:sz w:val="22"/>
          <w:szCs w:val="22"/>
          <w:b w:val="1"/>
          <w:bCs w:val="1"/>
          <w:i w:val="1"/>
          <w:iCs w:val="1"/>
          <w:color w:val="auto"/>
        </w:rPr>
        <w:t>Corporate Transaction</w:t>
      </w:r>
      <w:r>
        <w:rPr>
          <w:rFonts w:ascii="Arial" w:cs="Arial" w:eastAsia="Arial" w:hAnsi="Arial"/>
          <w:sz w:val="22"/>
          <w:szCs w:val="22"/>
          <w:color w:val="auto"/>
        </w:rPr>
        <w:t>” means the consummation, in a single transaction or in a series of related</w:t>
      </w:r>
      <w:r>
        <w:rPr>
          <w:rFonts w:ascii="Arial" w:cs="Arial" w:eastAsia="Arial" w:hAnsi="Arial"/>
          <w:sz w:val="22"/>
          <w:szCs w:val="22"/>
          <w:b w:val="1"/>
          <w:bCs w:val="1"/>
          <w:color w:val="auto"/>
        </w:rPr>
        <w:t xml:space="preserve"> </w:t>
      </w:r>
      <w:r>
        <w:rPr>
          <w:rFonts w:ascii="Arial" w:cs="Arial" w:eastAsia="Arial" w:hAnsi="Arial"/>
          <w:sz w:val="22"/>
          <w:szCs w:val="22"/>
          <w:color w:val="auto"/>
        </w:rPr>
        <w:t>transactions, of any one or more of the following events:</w:t>
      </w:r>
    </w:p>
    <w:p>
      <w:pPr>
        <w:sectPr>
          <w:pgSz w:w="11900" w:h="16838" w:orient="portrait"/>
          <w:cols w:equalWidth="0" w:num="1">
            <w:col w:w="11240"/>
          </w:cols>
          <w:pgMar w:left="320" w:top="334" w:right="339" w:bottom="1440" w:gutter="0" w:footer="0" w:header="0"/>
          <w:type w:val="continuous"/>
        </w:sectPr>
      </w:pPr>
    </w:p>
    <w:p>
      <w:pPr>
        <w:spacing w:after="0" w:line="162" w:lineRule="exact"/>
        <w:rPr>
          <w:sz w:val="20"/>
          <w:szCs w:val="20"/>
          <w:color w:val="auto"/>
        </w:rPr>
      </w:pPr>
    </w:p>
    <w:p>
      <w:pPr>
        <w:ind w:left="1740"/>
        <w:spacing w:after="0"/>
        <w:rPr>
          <w:sz w:val="20"/>
          <w:szCs w:val="20"/>
          <w:color w:val="auto"/>
        </w:rPr>
      </w:pPr>
      <w:r>
        <w:rPr>
          <w:rFonts w:ascii="Arial" w:cs="Arial" w:eastAsia="Arial" w:hAnsi="Arial"/>
          <w:sz w:val="21"/>
          <w:szCs w:val="21"/>
          <w:b w:val="1"/>
          <w:bCs w:val="1"/>
          <w:color w:val="auto"/>
        </w:rPr>
        <w:t>(i)</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auto"/>
        </w:rPr>
        <w:t>a sale, lease or other disposition of all or substantially all of the assets of the</w:t>
      </w:r>
    </w:p>
    <w:p>
      <w:pPr>
        <w:spacing w:after="0" w:line="33" w:lineRule="exact"/>
        <w:rPr>
          <w:sz w:val="20"/>
          <w:szCs w:val="20"/>
          <w:color w:val="auto"/>
        </w:rPr>
      </w:pPr>
    </w:p>
    <w:p>
      <w:pPr>
        <w:sectPr>
          <w:pgSz w:w="11900" w:h="16838" w:orient="portrait"/>
          <w:cols w:equalWidth="0" w:num="2">
            <w:col w:w="3160" w:space="720"/>
            <w:col w:w="7360"/>
          </w:cols>
          <w:pgMar w:left="320" w:top="334" w:right="339" w:bottom="1440" w:gutter="0" w:footer="0" w:header="0"/>
          <w:type w:val="continuous"/>
        </w:sectPr>
      </w:pPr>
    </w:p>
    <w:p>
      <w:pPr>
        <w:spacing w:after="0"/>
        <w:rPr>
          <w:sz w:val="20"/>
          <w:szCs w:val="20"/>
          <w:color w:val="auto"/>
        </w:rPr>
      </w:pPr>
      <w:r>
        <w:rPr>
          <w:rFonts w:ascii="Arial" w:cs="Arial" w:eastAsia="Arial" w:hAnsi="Arial"/>
          <w:sz w:val="19"/>
          <w:szCs w:val="19"/>
          <w:color w:val="auto"/>
        </w:rPr>
        <w:t>Company;</w:t>
      </w:r>
    </w:p>
    <w:p>
      <w:pPr>
        <w:sectPr>
          <w:pgSz w:w="11900" w:h="16838" w:orient="portrait"/>
          <w:cols w:equalWidth="0" w:num="1">
            <w:col w:w="11240"/>
          </w:cols>
          <w:pgMar w:left="320" w:top="334" w:right="339" w:bottom="1440" w:gutter="0" w:footer="0" w:header="0"/>
          <w:type w:val="continuous"/>
        </w:sectPr>
      </w:pPr>
    </w:p>
    <w:p>
      <w:pPr>
        <w:spacing w:after="0" w:line="3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21.</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89" w:name="page90"/>
    <w:bookmarkEnd w:id="89"/>
    <w:p>
      <w:pPr>
        <w:ind w:left="1740"/>
        <w:spacing w:after="0"/>
        <w:rPr>
          <w:sz w:val="20"/>
          <w:szCs w:val="20"/>
          <w:color w:val="auto"/>
        </w:rPr>
      </w:pPr>
      <w:r>
        <w:rPr>
          <w:rFonts w:ascii="Arial" w:cs="Arial" w:eastAsia="Arial" w:hAnsi="Arial"/>
          <w:sz w:val="22"/>
          <w:szCs w:val="22"/>
          <w:b w:val="1"/>
          <w:bCs w:val="1"/>
          <w:color w:val="auto"/>
        </w:rPr>
        <w:t>(ii)</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securities of the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color w:val="auto"/>
        </w:rPr>
        <w:t>a sale or other disposition of at least ninety percent (90%) of the outstanding</w:t>
      </w:r>
    </w:p>
    <w:p>
      <w:pPr>
        <w:spacing w:after="0" w:line="438" w:lineRule="exact"/>
        <w:rPr>
          <w:sz w:val="20"/>
          <w:szCs w:val="20"/>
          <w:color w:val="auto"/>
        </w:rPr>
      </w:pPr>
    </w:p>
    <w:p>
      <w:pPr>
        <w:sectPr>
          <w:pgSz w:w="11900" w:h="16838" w:orient="portrait"/>
          <w:cols w:equalWidth="0" w:num="2">
            <w:col w:w="3220" w:space="720"/>
            <w:col w:w="7300"/>
          </w:cols>
          <w:pgMar w:left="320" w:top="328" w:right="339" w:bottom="1440" w:gutter="0" w:footer="0" w:header="0"/>
        </w:sectPr>
      </w:pPr>
    </w:p>
    <w:p>
      <w:pPr>
        <w:spacing w:after="0" w:line="17" w:lineRule="exact"/>
        <w:rPr>
          <w:sz w:val="20"/>
          <w:szCs w:val="20"/>
          <w:color w:val="auto"/>
        </w:rPr>
      </w:pPr>
    </w:p>
    <w:p>
      <w:pPr>
        <w:ind w:left="1740"/>
        <w:spacing w:after="0"/>
        <w:rPr>
          <w:sz w:val="20"/>
          <w:szCs w:val="20"/>
          <w:color w:val="auto"/>
        </w:rPr>
      </w:pPr>
      <w:r>
        <w:rPr>
          <w:rFonts w:ascii="Arial" w:cs="Arial" w:eastAsia="Arial" w:hAnsi="Arial"/>
          <w:sz w:val="22"/>
          <w:szCs w:val="22"/>
          <w:b w:val="1"/>
          <w:bCs w:val="1"/>
          <w:color w:val="auto"/>
        </w:rPr>
        <w:t>(iii)</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surviving corporation; or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21"/>
          <w:szCs w:val="21"/>
          <w:color w:val="auto"/>
        </w:rPr>
        <w:t>a merger, consolidation or similar transaction in which the Company is not the</w:t>
      </w:r>
    </w:p>
    <w:p>
      <w:pPr>
        <w:spacing w:after="0" w:line="438" w:lineRule="exact"/>
        <w:rPr>
          <w:sz w:val="20"/>
          <w:szCs w:val="20"/>
          <w:color w:val="auto"/>
        </w:rPr>
      </w:pPr>
    </w:p>
    <w:p>
      <w:pPr>
        <w:sectPr>
          <w:pgSz w:w="11900" w:h="16838" w:orient="portrait"/>
          <w:cols w:equalWidth="0" w:num="2">
            <w:col w:w="3280" w:space="720"/>
            <w:col w:w="7240"/>
          </w:cols>
          <w:pgMar w:left="320" w:top="328" w:right="339" w:bottom="1440" w:gutter="0" w:footer="0" w:header="0"/>
          <w:type w:val="continuous"/>
        </w:sectPr>
      </w:pPr>
    </w:p>
    <w:p>
      <w:pPr>
        <w:spacing w:after="0" w:line="17" w:lineRule="exact"/>
        <w:rPr>
          <w:sz w:val="20"/>
          <w:szCs w:val="20"/>
          <w:color w:val="auto"/>
        </w:rPr>
      </w:pPr>
    </w:p>
    <w:p>
      <w:pPr>
        <w:ind w:left="1740"/>
        <w:spacing w:after="0"/>
        <w:tabs>
          <w:tab w:leader="none" w:pos="3980" w:val="left"/>
        </w:tabs>
        <w:rPr>
          <w:sz w:val="20"/>
          <w:szCs w:val="20"/>
          <w:color w:val="auto"/>
        </w:rPr>
      </w:pPr>
      <w:r>
        <w:rPr>
          <w:rFonts w:ascii="Arial" w:cs="Arial" w:eastAsia="Arial" w:hAnsi="Arial"/>
          <w:sz w:val="19"/>
          <w:szCs w:val="19"/>
          <w:b w:val="1"/>
          <w:bCs w:val="1"/>
          <w:color w:val="auto"/>
        </w:rPr>
        <w:t>(iv)</w:t>
      </w:r>
      <w:r>
        <w:rPr>
          <w:sz w:val="20"/>
          <w:szCs w:val="20"/>
          <w:color w:val="auto"/>
        </w:rPr>
        <w:tab/>
      </w:r>
      <w:r>
        <w:rPr>
          <w:rFonts w:ascii="Arial" w:cs="Arial" w:eastAsia="Arial" w:hAnsi="Arial"/>
          <w:sz w:val="19"/>
          <w:szCs w:val="19"/>
          <w:color w:val="auto"/>
        </w:rPr>
        <w:t>a reverse merger, consolidation or similar transaction in which the Company is the</w:t>
      </w:r>
    </w:p>
    <w:p>
      <w:pPr>
        <w:sectPr>
          <w:pgSz w:w="11900" w:h="16838" w:orient="portrait"/>
          <w:cols w:equalWidth="0" w:num="1">
            <w:col w:w="11240"/>
          </w:cols>
          <w:pgMar w:left="320" w:top="328" w:right="3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86" w:lineRule="exact"/>
        <w:rPr>
          <w:sz w:val="20"/>
          <w:szCs w:val="20"/>
          <w:color w:val="auto"/>
        </w:rPr>
      </w:pPr>
    </w:p>
    <w:p>
      <w:pPr>
        <w:jc w:val="both"/>
        <w:ind w:firstLine="864"/>
        <w:spacing w:after="0"/>
        <w:rPr>
          <w:sz w:val="20"/>
          <w:szCs w:val="20"/>
          <w:color w:val="auto"/>
        </w:rPr>
      </w:pPr>
      <w:r>
        <w:rPr>
          <w:rFonts w:ascii="Arial" w:cs="Arial" w:eastAsia="Arial" w:hAnsi="Arial"/>
          <w:sz w:val="22"/>
          <w:szCs w:val="22"/>
          <w:color w:val="auto"/>
        </w:rPr>
        <w:t>Notwithstanding the foregoing definition or any other provision of this Plan, the term Corporate Transaction will not include a sale of assets, merger or other transaction effected exclusively for the purpose of changing the domicile of the Company.</w:t>
      </w:r>
    </w:p>
    <w:p>
      <w:pPr>
        <w:sectPr>
          <w:pgSz w:w="11900" w:h="16838" w:orient="portrait"/>
          <w:cols w:equalWidth="0" w:num="1">
            <w:col w:w="11240"/>
          </w:cols>
          <w:pgMar w:left="320" w:top="328" w:right="339" w:bottom="1440" w:gutter="0" w:footer="0" w:header="0"/>
          <w:type w:val="continuous"/>
        </w:sectPr>
      </w:pPr>
    </w:p>
    <w:p>
      <w:pPr>
        <w:spacing w:after="0" w:line="180"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Director</w:t>
      </w:r>
      <w:r>
        <w:rPr>
          <w:rFonts w:ascii="Arial" w:cs="Arial" w:eastAsia="Arial" w:hAnsi="Arial"/>
          <w:sz w:val="19"/>
          <w:szCs w:val="19"/>
          <w:color w:val="auto"/>
        </w:rPr>
        <w:t>” means a member of the Board.</w:t>
      </w:r>
    </w:p>
    <w:p>
      <w:pPr>
        <w:spacing w:after="0" w:line="200" w:lineRule="exact"/>
        <w:rPr>
          <w:sz w:val="20"/>
          <w:szCs w:val="20"/>
          <w:color w:val="auto"/>
        </w:rPr>
      </w:pPr>
    </w:p>
    <w:p>
      <w:pPr>
        <w:sectPr>
          <w:pgSz w:w="11900" w:h="16838" w:orient="portrait"/>
          <w:cols w:equalWidth="0" w:num="2">
            <w:col w:w="1780" w:space="720"/>
            <w:col w:w="8740"/>
          </w:cols>
          <w:pgMar w:left="320" w:top="328" w:right="339" w:bottom="1440" w:gutter="0" w:footer="0" w:header="0"/>
          <w:type w:val="continuous"/>
        </w:sectPr>
      </w:pPr>
    </w:p>
    <w:p>
      <w:pPr>
        <w:spacing w:after="0" w:line="35"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b w:val="1"/>
          <w:bCs w:val="1"/>
          <w:color w:val="auto"/>
        </w:rPr>
        <w:t>(n)</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Disability</w:t>
      </w:r>
      <w:r>
        <w:rPr>
          <w:rFonts w:ascii="Arial" w:cs="Arial" w:eastAsia="Arial" w:hAnsi="Arial"/>
          <w:sz w:val="19"/>
          <w:szCs w:val="19"/>
          <w:color w:val="auto"/>
        </w:rPr>
        <w:t>” means, with respect to a Participant,  the inability of such Participant to engage in any</w:t>
      </w:r>
    </w:p>
    <w:p>
      <w:pPr>
        <w:sectPr>
          <w:pgSz w:w="11900" w:h="16838" w:orient="portrait"/>
          <w:cols w:equalWidth="0" w:num="1">
            <w:col w:w="11240"/>
          </w:cols>
          <w:pgMar w:left="320" w:top="328" w:right="339" w:bottom="1440" w:gutter="0" w:footer="0" w:header="0"/>
          <w:type w:val="continuous"/>
        </w:sectPr>
      </w:pPr>
    </w:p>
    <w:p>
      <w:pPr>
        <w:spacing w:after="0" w:line="62" w:lineRule="exact"/>
        <w:rPr>
          <w:sz w:val="20"/>
          <w:szCs w:val="20"/>
          <w:color w:val="auto"/>
        </w:rPr>
      </w:pPr>
    </w:p>
    <w:p>
      <w:pPr>
        <w:jc w:val="both"/>
        <w:spacing w:after="0" w:line="230" w:lineRule="auto"/>
        <w:rPr>
          <w:sz w:val="20"/>
          <w:szCs w:val="20"/>
          <w:color w:val="auto"/>
        </w:rPr>
      </w:pPr>
      <w:r>
        <w:rPr>
          <w:rFonts w:ascii="Arial" w:cs="Arial" w:eastAsia="Arial" w:hAnsi="Arial"/>
          <w:sz w:val="22"/>
          <w:szCs w:val="22"/>
          <w:color w:val="auto"/>
        </w:rPr>
        <w:t>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(o) </w:t>
      </w: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means the effective date of this Plan document, which is the date of the annual</w:t>
      </w:r>
      <w:r>
        <w:rPr>
          <w:rFonts w:ascii="Arial" w:cs="Arial" w:eastAsia="Arial" w:hAnsi="Arial"/>
          <w:sz w:val="22"/>
          <w:szCs w:val="22"/>
          <w:b w:val="1"/>
          <w:bCs w:val="1"/>
          <w:color w:val="auto"/>
        </w:rPr>
        <w:t xml:space="preserve"> </w:t>
      </w:r>
      <w:r>
        <w:rPr>
          <w:rFonts w:ascii="Arial" w:cs="Arial" w:eastAsia="Arial" w:hAnsi="Arial"/>
          <w:sz w:val="22"/>
          <w:szCs w:val="22"/>
          <w:color w:val="auto"/>
        </w:rPr>
        <w:t>meeting of stockholders of the Company held in 2018, provided this Plan is approved by the Company’s stockholders at such meeting.</w:t>
      </w:r>
    </w:p>
    <w:p>
      <w:pPr>
        <w:spacing w:after="0" w:line="17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(p) </w:t>
      </w:r>
      <w:r>
        <w:rPr>
          <w:rFonts w:ascii="Arial" w:cs="Arial" w:eastAsia="Arial" w:hAnsi="Arial"/>
          <w:sz w:val="22"/>
          <w:szCs w:val="22"/>
          <w:color w:val="auto"/>
        </w:rPr>
        <w:t>“</w:t>
      </w:r>
      <w:r>
        <w:rPr>
          <w:rFonts w:ascii="Arial" w:cs="Arial" w:eastAsia="Arial" w:hAnsi="Arial"/>
          <w:sz w:val="22"/>
          <w:szCs w:val="22"/>
          <w:b w:val="1"/>
          <w:bCs w:val="1"/>
          <w:i w:val="1"/>
          <w:iCs w:val="1"/>
          <w:color w:val="auto"/>
        </w:rPr>
        <w:t>Employee</w:t>
      </w:r>
      <w:r>
        <w:rPr>
          <w:rFonts w:ascii="Arial" w:cs="Arial" w:eastAsia="Arial" w:hAnsi="Arial"/>
          <w:sz w:val="22"/>
          <w:szCs w:val="22"/>
          <w:color w:val="auto"/>
        </w:rPr>
        <w:t>” means any person employed by the Company or an Affiliate. However, service solely as</w:t>
      </w:r>
      <w:r>
        <w:rPr>
          <w:rFonts w:ascii="Arial" w:cs="Arial" w:eastAsia="Arial" w:hAnsi="Arial"/>
          <w:sz w:val="22"/>
          <w:szCs w:val="22"/>
          <w:b w:val="1"/>
          <w:bCs w:val="1"/>
          <w:color w:val="auto"/>
        </w:rPr>
        <w:t xml:space="preserve"> </w:t>
      </w:r>
      <w:r>
        <w:rPr>
          <w:rFonts w:ascii="Arial" w:cs="Arial" w:eastAsia="Arial" w:hAnsi="Arial"/>
          <w:sz w:val="22"/>
          <w:szCs w:val="22"/>
          <w:color w:val="auto"/>
        </w:rPr>
        <w:t>a Director, or payment of a fee for such services, will not cause a Director to be considered an “Employee” for purposes of the Plan.</w:t>
      </w:r>
    </w:p>
    <w:p>
      <w:pPr>
        <w:sectPr>
          <w:pgSz w:w="11900" w:h="16838" w:orient="portrait"/>
          <w:cols w:equalWidth="0" w:num="1">
            <w:col w:w="11240"/>
          </w:cols>
          <w:pgMar w:left="320" w:top="328" w:right="339" w:bottom="1440" w:gutter="0" w:footer="0" w:header="0"/>
          <w:type w:val="continuous"/>
        </w:sectPr>
      </w:pPr>
    </w:p>
    <w:p>
      <w:pPr>
        <w:spacing w:after="0" w:line="177"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(q)</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Entity</w:t>
      </w:r>
      <w:r>
        <w:rPr>
          <w:rFonts w:ascii="Arial" w:cs="Arial" w:eastAsia="Arial" w:hAnsi="Arial"/>
          <w:sz w:val="19"/>
          <w:szCs w:val="19"/>
          <w:color w:val="auto"/>
        </w:rPr>
        <w:t>” means a corporation, partnership, limited liability company or other entity.</w:t>
      </w:r>
    </w:p>
    <w:p>
      <w:pPr>
        <w:spacing w:after="0" w:line="200" w:lineRule="exact"/>
        <w:rPr>
          <w:sz w:val="20"/>
          <w:szCs w:val="20"/>
          <w:color w:val="auto"/>
        </w:rPr>
      </w:pPr>
    </w:p>
    <w:p>
      <w:pPr>
        <w:sectPr>
          <w:pgSz w:w="11900" w:h="16838" w:orient="portrait"/>
          <w:cols w:equalWidth="0" w:num="2">
            <w:col w:w="1720" w:space="720"/>
            <w:col w:w="8800"/>
          </w:cols>
          <w:pgMar w:left="320" w:top="328" w:right="339" w:bottom="1440" w:gutter="0" w:footer="0" w:header="0"/>
          <w:type w:val="continuous"/>
        </w:sectPr>
      </w:pPr>
    </w:p>
    <w:p>
      <w:pPr>
        <w:spacing w:after="0" w:line="35"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(r) </w:t>
      </w: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and the rules and</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w:t>
      </w:r>
    </w:p>
    <w:p>
      <w:pPr>
        <w:spacing w:after="0" w:line="162"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auto"/>
        </w:rPr>
        <w:t>(s)</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Exchange Act Person</w:t>
      </w:r>
      <w:r>
        <w:rPr>
          <w:rFonts w:ascii="Arial" w:cs="Arial" w:eastAsia="Arial" w:hAnsi="Arial"/>
          <w:sz w:val="19"/>
          <w:szCs w:val="19"/>
          <w:color w:val="auto"/>
        </w:rPr>
        <w:t>” means any natural person, Entity or “group” (within the meaning of Section</w:t>
      </w:r>
    </w:p>
    <w:p>
      <w:pPr>
        <w:sectPr>
          <w:pgSz w:w="11900" w:h="16838" w:orient="portrait"/>
          <w:cols w:equalWidth="0" w:num="1">
            <w:col w:w="11240"/>
          </w:cols>
          <w:pgMar w:left="320" w:top="328" w:right="339" w:bottom="1440" w:gutter="0" w:footer="0" w:header="0"/>
          <w:type w:val="continuous"/>
        </w:sectPr>
      </w:pP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w:t>
      </w:r>
    </w:p>
    <w:p>
      <w:pPr>
        <w:spacing w:after="0" w:line="28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22.</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90" w:name="page91"/>
    <w:bookmarkEnd w:id="90"/>
    <w:p>
      <w:pPr>
        <w:spacing w:after="0"/>
        <w:rPr>
          <w:sz w:val="20"/>
          <w:szCs w:val="20"/>
          <w:color w:val="auto"/>
        </w:rPr>
      </w:pPr>
      <w:r>
        <w:rPr>
          <w:rFonts w:ascii="Arial" w:cs="Arial" w:eastAsia="Arial" w:hAnsi="Arial"/>
          <w:sz w:val="19"/>
          <w:szCs w:val="19"/>
          <w:color w:val="auto"/>
        </w:rPr>
        <w:t>than fifty percent (50%) of the combined voting power of the Company’s then outstanding securities.</w:t>
      </w:r>
    </w:p>
    <w:p>
      <w:pPr>
        <w:sectPr>
          <w:pgSz w:w="11900" w:h="16838" w:orient="portrait"/>
          <w:cols w:equalWidth="0" w:num="1">
            <w:col w:w="11240"/>
          </w:cols>
          <w:pgMar w:left="320" w:top="334" w:right="339" w:bottom="1440" w:gutter="0" w:footer="0" w:header="0"/>
        </w:sectPr>
      </w:pPr>
    </w:p>
    <w:p>
      <w:pPr>
        <w:spacing w:after="0" w:line="235"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Fair Market Value</w:t>
      </w:r>
      <w:r>
        <w:rPr>
          <w:rFonts w:ascii="Arial" w:cs="Arial" w:eastAsia="Arial" w:hAnsi="Arial"/>
          <w:sz w:val="19"/>
          <w:szCs w:val="19"/>
          <w:color w:val="auto"/>
        </w:rPr>
        <w:t>” means, as of any date, the value of the Common Stock determined as follows:</w:t>
      </w:r>
    </w:p>
    <w:p>
      <w:pPr>
        <w:spacing w:after="0" w:line="200" w:lineRule="exact"/>
        <w:rPr>
          <w:sz w:val="20"/>
          <w:szCs w:val="20"/>
          <w:color w:val="auto"/>
        </w:rPr>
      </w:pPr>
    </w:p>
    <w:p>
      <w:pPr>
        <w:sectPr>
          <w:pgSz w:w="11900" w:h="16838" w:orient="portrait"/>
          <w:cols w:equalWidth="0" w:num="2">
            <w:col w:w="1660" w:space="720"/>
            <w:col w:w="8860"/>
          </w:cols>
          <w:pgMar w:left="320" w:top="334" w:right="339" w:bottom="1440" w:gutter="0" w:footer="0" w:header="0"/>
          <w:type w:val="continuous"/>
        </w:sectPr>
      </w:pPr>
    </w:p>
    <w:p>
      <w:pPr>
        <w:spacing w:after="0" w:line="35" w:lineRule="exact"/>
        <w:rPr>
          <w:sz w:val="20"/>
          <w:szCs w:val="20"/>
          <w:color w:val="auto"/>
        </w:rPr>
      </w:pPr>
    </w:p>
    <w:p>
      <w:pPr>
        <w:ind w:left="1740"/>
        <w:spacing w:after="0"/>
        <w:tabs>
          <w:tab w:leader="none" w:pos="3860" w:val="left"/>
        </w:tabs>
        <w:rPr>
          <w:sz w:val="20"/>
          <w:szCs w:val="20"/>
          <w:color w:val="auto"/>
        </w:rPr>
      </w:pPr>
      <w:r>
        <w:rPr>
          <w:rFonts w:ascii="Arial" w:cs="Arial" w:eastAsia="Arial" w:hAnsi="Arial"/>
          <w:sz w:val="19"/>
          <w:szCs w:val="19"/>
          <w:b w:val="1"/>
          <w:bCs w:val="1"/>
          <w:color w:val="auto"/>
        </w:rPr>
        <w:t>(i)</w:t>
      </w:r>
      <w:r>
        <w:rPr>
          <w:sz w:val="20"/>
          <w:szCs w:val="20"/>
          <w:color w:val="auto"/>
        </w:rPr>
        <w:tab/>
      </w:r>
      <w:r>
        <w:rPr>
          <w:rFonts w:ascii="Arial" w:cs="Arial" w:eastAsia="Arial" w:hAnsi="Arial"/>
          <w:sz w:val="19"/>
          <w:szCs w:val="19"/>
          <w:color w:val="auto"/>
        </w:rPr>
        <w:t>If the Common Stock is listed on any established stock exchange or traded on any</w:t>
      </w:r>
    </w:p>
    <w:p>
      <w:pPr>
        <w:sectPr>
          <w:pgSz w:w="11900" w:h="16838" w:orient="portrait"/>
          <w:cols w:equalWidth="0" w:num="1">
            <w:col w:w="11240"/>
          </w:cols>
          <w:pgMar w:left="320" w:top="334" w:right="339" w:bottom="1440" w:gutter="0" w:footer="0" w:header="0"/>
          <w:type w:val="continuous"/>
        </w:sectPr>
      </w:pPr>
    </w:p>
    <w:p>
      <w:pPr>
        <w:spacing w:after="0" w:line="62"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43"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(ii) </w:t>
      </w:r>
      <w:r>
        <w:rPr>
          <w:rFonts w:ascii="Arial" w:cs="Arial" w:eastAsia="Arial" w:hAnsi="Arial"/>
          <w:sz w:val="22"/>
          <w:szCs w:val="22"/>
          <w:color w:val="auto"/>
        </w:rPr>
        <w:t>Unless otherwise provided by the Board, if there is no closing sales price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on the date of determination, then the Fair Market Value will be the closing selling price on the last preceding date for which such quotation exists.</w:t>
      </w:r>
    </w:p>
    <w:p>
      <w:pPr>
        <w:spacing w:after="0" w:line="177"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(iii) </w:t>
      </w:r>
      <w:r>
        <w:rPr>
          <w:rFonts w:ascii="Arial" w:cs="Arial" w:eastAsia="Arial" w:hAnsi="Arial"/>
          <w:sz w:val="22"/>
          <w:szCs w:val="22"/>
          <w:color w:val="auto"/>
        </w:rPr>
        <w:t>In the absence of such markets for the Common Stock, the Fair Market Value will</w:t>
      </w:r>
      <w:r>
        <w:rPr>
          <w:rFonts w:ascii="Arial" w:cs="Arial" w:eastAsia="Arial" w:hAnsi="Arial"/>
          <w:sz w:val="22"/>
          <w:szCs w:val="22"/>
          <w:b w:val="1"/>
          <w:bCs w:val="1"/>
          <w:color w:val="auto"/>
        </w:rPr>
        <w:t xml:space="preserve"> </w:t>
      </w:r>
      <w:r>
        <w:rPr>
          <w:rFonts w:ascii="Arial" w:cs="Arial" w:eastAsia="Arial" w:hAnsi="Arial"/>
          <w:sz w:val="22"/>
          <w:szCs w:val="22"/>
          <w:color w:val="auto"/>
        </w:rPr>
        <w:t>be determined by the Board in good faith and in a manner that complies with Sections 409A and 422 of the Code.</w:t>
      </w:r>
    </w:p>
    <w:p>
      <w:pPr>
        <w:spacing w:after="0" w:line="162" w:lineRule="exact"/>
        <w:rPr>
          <w:sz w:val="20"/>
          <w:szCs w:val="20"/>
          <w:color w:val="auto"/>
        </w:rPr>
      </w:pPr>
    </w:p>
    <w:p>
      <w:pPr>
        <w:ind w:left="880"/>
        <w:spacing w:after="0"/>
        <w:tabs>
          <w:tab w:leader="none" w:pos="2420" w:val="left"/>
        </w:tabs>
        <w:rPr>
          <w:sz w:val="20"/>
          <w:szCs w:val="20"/>
          <w:color w:val="auto"/>
        </w:rPr>
      </w:pPr>
      <w:r>
        <w:rPr>
          <w:rFonts w:ascii="Arial" w:cs="Arial" w:eastAsia="Arial" w:hAnsi="Arial"/>
          <w:sz w:val="19"/>
          <w:szCs w:val="19"/>
          <w:b w:val="1"/>
          <w:bCs w:val="1"/>
          <w:color w:val="auto"/>
        </w:rPr>
        <w:t>(u)</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Full Value Award</w:t>
      </w:r>
      <w:r>
        <w:rPr>
          <w:rFonts w:ascii="Arial" w:cs="Arial" w:eastAsia="Arial" w:hAnsi="Arial"/>
          <w:sz w:val="19"/>
          <w:szCs w:val="19"/>
          <w:color w:val="auto"/>
        </w:rPr>
        <w:t>” means a Stock Award that is not an Option or SAR with respect to which the</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exercise or strike price is at least 100% of the Fair Market Value of the Common Stock subject to the Option or SAR on the date of grant.</w:t>
      </w:r>
    </w:p>
    <w:p>
      <w:pPr>
        <w:spacing w:after="0" w:line="18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(v) </w:t>
      </w:r>
      <w:r>
        <w:rPr>
          <w:rFonts w:ascii="Arial" w:cs="Arial" w:eastAsia="Arial" w:hAnsi="Arial"/>
          <w:sz w:val="22"/>
          <w:szCs w:val="22"/>
          <w:color w:val="auto"/>
        </w:rPr>
        <w:t>“</w:t>
      </w:r>
      <w:r>
        <w:rPr>
          <w:rFonts w:ascii="Arial" w:cs="Arial" w:eastAsia="Arial" w:hAnsi="Arial"/>
          <w:sz w:val="22"/>
          <w:szCs w:val="22"/>
          <w:b w:val="1"/>
          <w:bCs w:val="1"/>
          <w:i w:val="1"/>
          <w:iCs w:val="1"/>
          <w:color w:val="auto"/>
        </w:rPr>
        <w:t>Incentive Stock Option</w:t>
      </w:r>
      <w:r>
        <w:rPr>
          <w:rFonts w:ascii="Arial" w:cs="Arial" w:eastAsia="Arial" w:hAnsi="Arial"/>
          <w:sz w:val="22"/>
          <w:szCs w:val="22"/>
          <w:color w:val="auto"/>
        </w:rPr>
        <w:t>” means an option granted pursuant to Section 5 that is intended to be, and</w:t>
      </w:r>
      <w:r>
        <w:rPr>
          <w:rFonts w:ascii="Arial" w:cs="Arial" w:eastAsia="Arial" w:hAnsi="Arial"/>
          <w:sz w:val="22"/>
          <w:szCs w:val="22"/>
          <w:b w:val="1"/>
          <w:bCs w:val="1"/>
          <w:color w:val="auto"/>
        </w:rPr>
        <w:t xml:space="preserve"> </w:t>
      </w:r>
      <w:r>
        <w:rPr>
          <w:rFonts w:ascii="Arial" w:cs="Arial" w:eastAsia="Arial" w:hAnsi="Arial"/>
          <w:sz w:val="22"/>
          <w:szCs w:val="22"/>
          <w:color w:val="auto"/>
        </w:rPr>
        <w:t>that qualifies as, an “incentive stock option” within the meaning of Section 422 of the Code.</w:t>
      </w:r>
    </w:p>
    <w:p>
      <w:pPr>
        <w:spacing w:after="0" w:line="162"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(w)</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means a Director who either (i) is not a current employee or officer of the</w:t>
      </w:r>
    </w:p>
    <w:p>
      <w:pPr>
        <w:spacing w:after="0" w:line="4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9"/>
          <w:szCs w:val="19"/>
          <w:b w:val="1"/>
          <w:bCs w:val="1"/>
          <w:i w:val="1"/>
          <w:iCs w:val="1"/>
          <w:color w:val="auto"/>
        </w:rPr>
        <w:t>Regulation S-K</w:t>
      </w:r>
      <w:r>
        <w:rPr>
          <w:rFonts w:ascii="Arial" w:cs="Arial" w:eastAsia="Arial" w:hAnsi="Arial"/>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ectPr>
          <w:pgSz w:w="11900" w:h="16838" w:orient="portrait"/>
          <w:cols w:equalWidth="0" w:num="1">
            <w:col w:w="11240"/>
          </w:cols>
          <w:pgMar w:left="320" w:top="334" w:right="339" w:bottom="1440" w:gutter="0" w:footer="0" w:header="0"/>
          <w:type w:val="continuous"/>
        </w:sectPr>
      </w:pPr>
    </w:p>
    <w:p>
      <w:pPr>
        <w:spacing w:after="0" w:line="148"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(x)</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an Incentive Stock Option.</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Nonstatutory Stock Option</w:t>
      </w:r>
      <w:r>
        <w:rPr>
          <w:rFonts w:ascii="Arial" w:cs="Arial" w:eastAsia="Arial" w:hAnsi="Arial"/>
          <w:sz w:val="19"/>
          <w:szCs w:val="19"/>
          <w:color w:val="auto"/>
        </w:rPr>
        <w:t>” means any option granted pursuant to Section 5 that does not qualify as</w:t>
      </w:r>
    </w:p>
    <w:p>
      <w:pPr>
        <w:spacing w:after="0" w:line="460" w:lineRule="exact"/>
        <w:rPr>
          <w:sz w:val="20"/>
          <w:szCs w:val="20"/>
          <w:color w:val="auto"/>
        </w:rPr>
      </w:pPr>
    </w:p>
    <w:p>
      <w:pPr>
        <w:sectPr>
          <w:pgSz w:w="11900" w:h="16838" w:orient="portrait"/>
          <w:cols w:equalWidth="0" w:num="2">
            <w:col w:w="2320" w:space="100"/>
            <w:col w:w="8820"/>
          </w:cols>
          <w:pgMar w:left="320" w:top="334" w:right="339" w:bottom="1440" w:gutter="0" w:footer="0" w:header="0"/>
          <w:type w:val="continuous"/>
        </w:sectPr>
      </w:pPr>
    </w:p>
    <w:p>
      <w:pPr>
        <w:spacing w:after="0" w:line="17" w:lineRule="exact"/>
        <w:rPr>
          <w:sz w:val="20"/>
          <w:szCs w:val="20"/>
          <w:color w:val="auto"/>
        </w:rPr>
      </w:pPr>
    </w:p>
    <w:p>
      <w:pPr>
        <w:ind w:left="880"/>
        <w:spacing w:after="0"/>
        <w:rPr>
          <w:sz w:val="20"/>
          <w:szCs w:val="20"/>
          <w:color w:val="auto"/>
        </w:rPr>
      </w:pPr>
      <w:r>
        <w:rPr>
          <w:rFonts w:ascii="Arial" w:cs="Arial" w:eastAsia="Arial" w:hAnsi="Arial"/>
          <w:sz w:val="22"/>
          <w:szCs w:val="22"/>
          <w:b w:val="1"/>
          <w:bCs w:val="1"/>
          <w:color w:val="auto"/>
        </w:rPr>
        <w:t>(y)</w:t>
      </w:r>
    </w:p>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Exchange Act.</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Officer</w:t>
      </w:r>
      <w:r>
        <w:rPr>
          <w:rFonts w:ascii="Arial" w:cs="Arial" w:eastAsia="Arial" w:hAnsi="Arial"/>
          <w:sz w:val="19"/>
          <w:szCs w:val="19"/>
          <w:color w:val="auto"/>
        </w:rPr>
        <w:t>” means a person who is an officer of the Company within the meaning of Section 16 of the</w:t>
      </w:r>
    </w:p>
    <w:p>
      <w:pPr>
        <w:spacing w:after="0" w:line="460" w:lineRule="exact"/>
        <w:rPr>
          <w:sz w:val="20"/>
          <w:szCs w:val="20"/>
          <w:color w:val="auto"/>
        </w:rPr>
      </w:pPr>
    </w:p>
    <w:p>
      <w:pPr>
        <w:sectPr>
          <w:pgSz w:w="11900" w:h="16838" w:orient="portrait"/>
          <w:cols w:equalWidth="0" w:num="2">
            <w:col w:w="1700" w:space="720"/>
            <w:col w:w="8820"/>
          </w:cols>
          <w:pgMar w:left="320" w:top="334" w:right="339" w:bottom="1440" w:gutter="0" w:footer="0" w:header="0"/>
          <w:type w:val="continuous"/>
        </w:sectPr>
      </w:pPr>
    </w:p>
    <w:p>
      <w:pPr>
        <w:spacing w:after="0" w:line="17"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19"/>
          <w:szCs w:val="19"/>
          <w:b w:val="1"/>
          <w:bCs w:val="1"/>
          <w:color w:val="auto"/>
        </w:rPr>
        <w:t>(z)</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means an Incentive Stock Option or a Nonstatutory Stock Option to purchase shares of</w:t>
      </w:r>
    </w:p>
    <w:p>
      <w:pPr>
        <w:sectPr>
          <w:pgSz w:w="11900" w:h="16838" w:orient="portrait"/>
          <w:cols w:equalWidth="0" w:num="1">
            <w:col w:w="11240"/>
          </w:cols>
          <w:pgMar w:left="320" w:top="334"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color w:val="auto"/>
        </w:rPr>
        <w:t>Common Stock granted pursuant to the Plan.</w:t>
      </w:r>
    </w:p>
    <w:p>
      <w:pPr>
        <w:spacing w:after="0" w:line="33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23.</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type w:val="continuous"/>
        </w:sectPr>
      </w:pPr>
    </w:p>
    <w:bookmarkStart w:id="91" w:name="page92"/>
    <w:bookmarkEnd w:id="91"/>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(aa)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 Agreement</w:t>
      </w:r>
      <w:r>
        <w:rPr>
          <w:rFonts w:ascii="Arial" w:cs="Arial" w:eastAsia="Arial" w:hAnsi="Arial"/>
          <w:sz w:val="22"/>
          <w:szCs w:val="22"/>
          <w:color w:val="auto"/>
        </w:rPr>
        <w:t>” means a written agreement between the Company and an Optionholder</w:t>
      </w:r>
      <w:r>
        <w:rPr>
          <w:rFonts w:ascii="Arial" w:cs="Arial" w:eastAsia="Arial" w:hAnsi="Arial"/>
          <w:sz w:val="22"/>
          <w:szCs w:val="22"/>
          <w:b w:val="1"/>
          <w:bCs w:val="1"/>
          <w:color w:val="auto"/>
        </w:rPr>
        <w:t xml:space="preserve"> </w:t>
      </w:r>
      <w:r>
        <w:rPr>
          <w:rFonts w:ascii="Arial" w:cs="Arial" w:eastAsia="Arial" w:hAnsi="Arial"/>
          <w:sz w:val="22"/>
          <w:szCs w:val="22"/>
          <w:color w:val="auto"/>
        </w:rPr>
        <w:t>evidencing the terms and conditions of an Option grant. Each Option Agreement will be subject to the terms and conditions of the Plan.</w:t>
      </w:r>
    </w:p>
    <w:p>
      <w:pPr>
        <w:spacing w:after="0" w:line="177"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(bb) </w:t>
      </w:r>
      <w:r>
        <w:rPr>
          <w:rFonts w:ascii="Arial" w:cs="Arial" w:eastAsia="Arial" w:hAnsi="Arial"/>
          <w:sz w:val="22"/>
          <w:szCs w:val="22"/>
          <w:color w:val="auto"/>
        </w:rPr>
        <w:t>“</w:t>
      </w:r>
      <w:r>
        <w:rPr>
          <w:rFonts w:ascii="Arial" w:cs="Arial" w:eastAsia="Arial" w:hAnsi="Arial"/>
          <w:sz w:val="22"/>
          <w:szCs w:val="22"/>
          <w:b w:val="1"/>
          <w:bCs w:val="1"/>
          <w:i w:val="1"/>
          <w:iCs w:val="1"/>
          <w:color w:val="auto"/>
        </w:rPr>
        <w:t>Optionholder</w:t>
      </w:r>
      <w:r>
        <w:rPr>
          <w:rFonts w:ascii="Arial" w:cs="Arial" w:eastAsia="Arial" w:hAnsi="Arial"/>
          <w:sz w:val="22"/>
          <w:szCs w:val="22"/>
          <w:color w:val="auto"/>
        </w:rPr>
        <w:t>” means a person to whom an Option is granted pursuant to the Plan or, if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such other person who holds an outstanding Option.</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(cc) </w:t>
      </w:r>
      <w:r>
        <w:rPr>
          <w:rFonts w:ascii="Arial" w:cs="Arial" w:eastAsia="Arial" w:hAnsi="Arial"/>
          <w:sz w:val="22"/>
          <w:szCs w:val="22"/>
          <w:color w:val="auto"/>
        </w:rPr>
        <w:t>“</w:t>
      </w:r>
      <w:r>
        <w:rPr>
          <w:rFonts w:ascii="Arial" w:cs="Arial" w:eastAsia="Arial" w:hAnsi="Arial"/>
          <w:sz w:val="22"/>
          <w:szCs w:val="22"/>
          <w:b w:val="1"/>
          <w:bCs w:val="1"/>
          <w:i w:val="1"/>
          <w:iCs w:val="1"/>
          <w:color w:val="auto"/>
        </w:rPr>
        <w:t>Other Stock Award</w:t>
      </w:r>
      <w:r>
        <w:rPr>
          <w:rFonts w:ascii="Arial" w:cs="Arial" w:eastAsia="Arial" w:hAnsi="Arial"/>
          <w:sz w:val="22"/>
          <w:szCs w:val="22"/>
          <w:color w:val="auto"/>
        </w:rPr>
        <w:t>” means an award based in whole or in part by reference to the Common Stock</w:t>
      </w:r>
      <w:r>
        <w:rPr>
          <w:rFonts w:ascii="Arial" w:cs="Arial" w:eastAsia="Arial" w:hAnsi="Arial"/>
          <w:sz w:val="22"/>
          <w:szCs w:val="22"/>
          <w:b w:val="1"/>
          <w:bCs w:val="1"/>
          <w:color w:val="auto"/>
        </w:rPr>
        <w:t xml:space="preserve"> </w:t>
      </w:r>
      <w:r>
        <w:rPr>
          <w:rFonts w:ascii="Arial" w:cs="Arial" w:eastAsia="Arial" w:hAnsi="Arial"/>
          <w:sz w:val="22"/>
          <w:szCs w:val="22"/>
          <w:color w:val="auto"/>
        </w:rPr>
        <w:t>which is granted pursuant to the terms and conditions of Section 6(d).</w:t>
      </w:r>
    </w:p>
    <w:p>
      <w:pPr>
        <w:spacing w:after="0" w:line="162" w:lineRule="exact"/>
        <w:rPr>
          <w:sz w:val="20"/>
          <w:szCs w:val="20"/>
          <w:color w:val="auto"/>
        </w:rPr>
      </w:pPr>
    </w:p>
    <w:p>
      <w:pPr>
        <w:ind w:left="880"/>
        <w:spacing w:after="0"/>
        <w:tabs>
          <w:tab w:leader="none" w:pos="2540" w:val="left"/>
        </w:tabs>
        <w:rPr>
          <w:sz w:val="20"/>
          <w:szCs w:val="20"/>
          <w:color w:val="auto"/>
        </w:rPr>
      </w:pPr>
      <w:r>
        <w:rPr>
          <w:rFonts w:ascii="Arial" w:cs="Arial" w:eastAsia="Arial" w:hAnsi="Arial"/>
          <w:sz w:val="19"/>
          <w:szCs w:val="19"/>
          <w:b w:val="1"/>
          <w:bCs w:val="1"/>
          <w:color w:val="auto"/>
        </w:rPr>
        <w:t>(dd)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Other Stock Award Agreement</w:t>
      </w:r>
      <w:r>
        <w:rPr>
          <w:rFonts w:ascii="Arial" w:cs="Arial" w:eastAsia="Arial" w:hAnsi="Arial"/>
          <w:sz w:val="19"/>
          <w:szCs w:val="19"/>
          <w:color w:val="auto"/>
        </w:rPr>
        <w:t>” means a written agreement between the Company and a holder of</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an Other Stock Award evidencing the terms and conditions of an Other Stock Award grant. Each Other Stock Award Agreement will be subject to the terms and conditions of the Plan.</w:t>
      </w:r>
    </w:p>
    <w:p>
      <w:pPr>
        <w:spacing w:after="0" w:line="18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(ee) </w:t>
      </w:r>
      <w:r>
        <w:rPr>
          <w:rFonts w:ascii="Arial" w:cs="Arial" w:eastAsia="Arial" w:hAnsi="Arial"/>
          <w:sz w:val="22"/>
          <w:szCs w:val="22"/>
          <w:color w:val="auto"/>
        </w:rPr>
        <w:t>“</w:t>
      </w:r>
      <w:r>
        <w:rPr>
          <w:rFonts w:ascii="Arial" w:cs="Arial" w:eastAsia="Arial" w:hAnsi="Arial"/>
          <w:sz w:val="22"/>
          <w:szCs w:val="22"/>
          <w:b w:val="1"/>
          <w:bCs w:val="1"/>
          <w:i w:val="1"/>
          <w:iCs w:val="1"/>
          <w:color w:val="auto"/>
        </w:rPr>
        <w:t>Own,</w:t>
      </w:r>
      <w:r>
        <w:rPr>
          <w:rFonts w:ascii="Arial" w:cs="Arial" w:eastAsia="Arial" w:hAnsi="Arial"/>
          <w:sz w:val="22"/>
          <w:szCs w:val="22"/>
          <w:color w:val="auto"/>
        </w:rPr>
        <w:t>” “</w:t>
      </w:r>
      <w:r>
        <w:rPr>
          <w:rFonts w:ascii="Arial" w:cs="Arial" w:eastAsia="Arial" w:hAnsi="Arial"/>
          <w:sz w:val="22"/>
          <w:szCs w:val="22"/>
          <w:b w:val="1"/>
          <w:bCs w:val="1"/>
          <w:i w:val="1"/>
          <w:iCs w:val="1"/>
          <w:color w:val="auto"/>
        </w:rPr>
        <w:t>Owned,</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w:t>
      </w:r>
      <w:r>
        <w:rPr>
          <w:rFonts w:ascii="Arial" w:cs="Arial" w:eastAsia="Arial" w:hAnsi="Arial"/>
          <w:sz w:val="22"/>
          <w:szCs w:val="22"/>
          <w:color w:val="auto"/>
        </w:rPr>
        <w:t>” “</w:t>
      </w:r>
      <w:r>
        <w:rPr>
          <w:rFonts w:ascii="Arial" w:cs="Arial" w:eastAsia="Arial" w:hAnsi="Arial"/>
          <w:sz w:val="22"/>
          <w:szCs w:val="22"/>
          <w:b w:val="1"/>
          <w:bCs w:val="1"/>
          <w:i w:val="1"/>
          <w:iCs w:val="1"/>
          <w:color w:val="auto"/>
        </w:rPr>
        <w:t>Ownership</w:t>
      </w:r>
      <w:r>
        <w:rPr>
          <w:rFonts w:ascii="Arial" w:cs="Arial" w:eastAsia="Arial" w:hAnsi="Arial"/>
          <w:sz w:val="22"/>
          <w:szCs w:val="22"/>
          <w:color w:val="auto"/>
        </w:rPr>
        <w:t>” A person or Entity will be deemed to “Own,” to have</w:t>
      </w:r>
      <w:r>
        <w:rPr>
          <w:rFonts w:ascii="Arial" w:cs="Arial" w:eastAsia="Arial" w:hAnsi="Arial"/>
          <w:sz w:val="22"/>
          <w:szCs w:val="22"/>
          <w:b w:val="1"/>
          <w:bCs w:val="1"/>
          <w:color w:val="auto"/>
        </w:rPr>
        <w:t xml:space="preserve"> </w:t>
      </w:r>
      <w:r>
        <w:rPr>
          <w:rFonts w:ascii="Arial" w:cs="Arial" w:eastAsia="Arial" w:hAnsi="Arial"/>
          <w:sz w:val="22"/>
          <w:szCs w:val="22"/>
          <w:color w:val="auto"/>
        </w:rPr>
        <w:t>“Owned,”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(ff) </w:t>
      </w: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means a person to whom a Stock Award is granted pursuant to the Plan or, if</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such other person who holds an outstanding Stock Award.</w:t>
      </w:r>
    </w:p>
    <w:p>
      <w:pPr>
        <w:spacing w:after="0" w:line="16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19"/>
          <w:szCs w:val="19"/>
          <w:b w:val="1"/>
          <w:bCs w:val="1"/>
          <w:color w:val="auto"/>
        </w:rPr>
        <w:t>(gg)</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Criteria</w:t>
      </w:r>
      <w:r>
        <w:rPr>
          <w:rFonts w:ascii="Arial" w:cs="Arial" w:eastAsia="Arial" w:hAnsi="Arial"/>
          <w:sz w:val="19"/>
          <w:szCs w:val="19"/>
          <w:color w:val="auto"/>
        </w:rPr>
        <w:t>” means the one or more criteria that the Board shall select for purposes of</w:t>
      </w:r>
    </w:p>
    <w:p>
      <w:pPr>
        <w:spacing w:after="0" w:line="4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establishing the Performance Goals for a Performance Period. The Performance Criteria that shall be used to establish such Performance Goals may be based on any one of, or combination of, the following: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(xxiii) debt levels; (xxix) operating profit or net operating profit; (xxx) workforce diversity; (xxxi) growth of net income or operating income; (xxxii) billings; and (xxxiv) other measures of performance selected by the Board. Partial achievement of the specified criteria may result in the payment or vesting corresponding to the degree of achievement as specified in the Stock Award Agreement. The Board shall, in its sole discretion, define the manner of calculating the Performance Criteria it selects to use for such Performance Period.</w:t>
      </w:r>
    </w:p>
    <w:p>
      <w:pPr>
        <w:spacing w:after="0" w:line="153"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(hh) </w:t>
      </w:r>
      <w:r>
        <w:rPr>
          <w:rFonts w:ascii="Arial" w:cs="Arial" w:eastAsia="Arial" w:hAnsi="Arial"/>
          <w:sz w:val="22"/>
          <w:szCs w:val="22"/>
          <w:color w:val="auto"/>
        </w:rPr>
        <w:t>“</w:t>
      </w:r>
      <w:r>
        <w:rPr>
          <w:rFonts w:ascii="Arial" w:cs="Arial" w:eastAsia="Arial" w:hAnsi="Arial"/>
          <w:sz w:val="22"/>
          <w:szCs w:val="22"/>
          <w:b w:val="1"/>
          <w:bCs w:val="1"/>
          <w:i w:val="1"/>
          <w:iCs w:val="1"/>
          <w:color w:val="auto"/>
        </w:rPr>
        <w:t>Performance Goals</w:t>
      </w:r>
      <w:r>
        <w:rPr>
          <w:rFonts w:ascii="Arial" w:cs="Arial" w:eastAsia="Arial" w:hAnsi="Arial"/>
          <w:sz w:val="22"/>
          <w:szCs w:val="22"/>
          <w:color w:val="auto"/>
        </w:rPr>
        <w:t>” means, for a Performance Period, the one or more goals established by the</w:t>
      </w:r>
      <w:r>
        <w:rPr>
          <w:rFonts w:ascii="Arial" w:cs="Arial" w:eastAsia="Arial" w:hAnsi="Arial"/>
          <w:sz w:val="22"/>
          <w:szCs w:val="22"/>
          <w:b w:val="1"/>
          <w:bCs w:val="1"/>
          <w:color w:val="auto"/>
        </w:rPr>
        <w:t xml:space="preserve"> </w:t>
      </w:r>
      <w:r>
        <w:rPr>
          <w:rFonts w:ascii="Arial" w:cs="Arial" w:eastAsia="Arial" w:hAnsi="Arial"/>
          <w:sz w:val="22"/>
          <w:szCs w:val="22"/>
          <w:color w:val="auto"/>
        </w:rPr>
        <w:t>Board for the Performance Period based upon the Performance Criteria.</w:t>
      </w:r>
    </w:p>
    <w:p>
      <w:pPr>
        <w:spacing w:after="0" w:line="295"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24.</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2" w:name="page93"/>
    <w:bookmarkEnd w:id="92"/>
    <w:p>
      <w:pPr>
        <w:jc w:val="both"/>
        <w:spacing w:after="0" w:line="268" w:lineRule="auto"/>
        <w:rPr>
          <w:sz w:val="20"/>
          <w:szCs w:val="20"/>
          <w:color w:val="auto"/>
        </w:rPr>
      </w:pPr>
      <w:r>
        <w:rPr>
          <w:rFonts w:ascii="Arial" w:cs="Arial" w:eastAsia="Arial" w:hAnsi="Arial"/>
          <w:sz w:val="19"/>
          <w:szCs w:val="19"/>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w:t>
      </w:r>
    </w:p>
    <w:p>
      <w:pPr>
        <w:jc w:val="both"/>
        <w:ind w:firstLine="8"/>
        <w:spacing w:after="0" w:line="233" w:lineRule="auto"/>
        <w:tabs>
          <w:tab w:leader="none" w:pos="383"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w:t>
      </w:r>
    </w:p>
    <w:p>
      <w:pPr>
        <w:spacing w:after="0" w:line="187" w:lineRule="exact"/>
        <w:rPr>
          <w:rFonts w:ascii="Arial" w:cs="Arial" w:eastAsia="Arial" w:hAnsi="Arial"/>
          <w:sz w:val="22"/>
          <w:szCs w:val="22"/>
          <w:color w:val="auto"/>
        </w:rPr>
      </w:pPr>
    </w:p>
    <w:p>
      <w:pPr>
        <w:jc w:val="both"/>
        <w:ind w:firstLine="872"/>
        <w:spacing w:after="0" w:line="297" w:lineRule="auto"/>
        <w:tabs>
          <w:tab w:leader="none" w:pos="2423"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spacing w:after="0" w:line="133" w:lineRule="exact"/>
        <w:rPr>
          <w:rFonts w:ascii="Arial" w:cs="Arial" w:eastAsia="Arial" w:hAnsi="Arial"/>
          <w:sz w:val="19"/>
          <w:szCs w:val="19"/>
          <w:b w:val="1"/>
          <w:bCs w:val="1"/>
          <w:color w:val="auto"/>
        </w:rPr>
      </w:pPr>
    </w:p>
    <w:p>
      <w:pPr>
        <w:ind w:left="2460" w:hanging="1588"/>
        <w:spacing w:after="0"/>
        <w:tabs>
          <w:tab w:leader="none" w:pos="2460" w:val="left"/>
        </w:tabs>
        <w:numPr>
          <w:ilvl w:val="1"/>
          <w:numId w:val="58"/>
        </w:numPr>
        <w:rPr>
          <w:rFonts w:ascii="Arial" w:cs="Arial" w:eastAsia="Arial" w:hAnsi="Arial"/>
          <w:sz w:val="19"/>
          <w:szCs w:val="19"/>
          <w:b w:val="1"/>
          <w:bCs w:val="1"/>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Stock Award</w:t>
      </w:r>
      <w:r>
        <w:rPr>
          <w:rFonts w:ascii="Arial" w:cs="Arial" w:eastAsia="Arial" w:hAnsi="Arial"/>
          <w:sz w:val="19"/>
          <w:szCs w:val="19"/>
          <w:color w:val="auto"/>
        </w:rPr>
        <w:t>” means a Stock Award granted under the terms and conditions of</w:t>
      </w:r>
    </w:p>
    <w:p>
      <w:pPr>
        <w:spacing w:after="0" w:line="42"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Section 6(c)(i).</w:t>
      </w:r>
    </w:p>
    <w:p>
      <w:pPr>
        <w:spacing w:after="0" w:line="188" w:lineRule="exact"/>
        <w:rPr>
          <w:rFonts w:ascii="Arial" w:cs="Arial" w:eastAsia="Arial" w:hAnsi="Arial"/>
          <w:sz w:val="19"/>
          <w:szCs w:val="19"/>
          <w:b w:val="1"/>
          <w:bCs w:val="1"/>
          <w:color w:val="auto"/>
        </w:rPr>
      </w:pPr>
    </w:p>
    <w:p>
      <w:pPr>
        <w:ind w:left="2560" w:hanging="1688"/>
        <w:spacing w:after="0"/>
        <w:tabs>
          <w:tab w:leader="none" w:pos="2560"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means this MannKind Corporation 2018 Equity Incentive Plan.</w:t>
      </w:r>
    </w:p>
    <w:p>
      <w:pPr>
        <w:spacing w:after="0" w:line="206" w:lineRule="exact"/>
        <w:rPr>
          <w:rFonts w:ascii="Arial" w:cs="Arial" w:eastAsia="Arial" w:hAnsi="Arial"/>
          <w:sz w:val="22"/>
          <w:szCs w:val="22"/>
          <w:b w:val="1"/>
          <w:bCs w:val="1"/>
          <w:color w:val="auto"/>
        </w:rPr>
      </w:pPr>
    </w:p>
    <w:p>
      <w:pPr>
        <w:ind w:firstLine="872"/>
        <w:spacing w:after="0" w:line="250" w:lineRule="auto"/>
        <w:tabs>
          <w:tab w:leader="none" w:pos="2423"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w:t>
      </w:r>
      <w:r>
        <w:rPr>
          <w:rFonts w:ascii="Arial" w:cs="Arial" w:eastAsia="Arial" w:hAnsi="Arial"/>
          <w:sz w:val="22"/>
          <w:szCs w:val="22"/>
          <w:color w:val="auto"/>
        </w:rPr>
        <w:t>” means an award of shares of Common Stock which is granted pursuant to the terms and conditions of Section 6(a).</w:t>
      </w:r>
    </w:p>
    <w:p>
      <w:pPr>
        <w:spacing w:after="0" w:line="174" w:lineRule="exact"/>
        <w:rPr>
          <w:rFonts w:ascii="Arial" w:cs="Arial" w:eastAsia="Arial" w:hAnsi="Arial"/>
          <w:sz w:val="22"/>
          <w:szCs w:val="22"/>
          <w:b w:val="1"/>
          <w:bCs w:val="1"/>
          <w:color w:val="auto"/>
        </w:rPr>
      </w:pPr>
    </w:p>
    <w:p>
      <w:pPr>
        <w:jc w:val="both"/>
        <w:ind w:firstLine="872"/>
        <w:spacing w:after="0"/>
        <w:tabs>
          <w:tab w:leader="none" w:pos="2663" w:val="left"/>
        </w:tabs>
        <w:numPr>
          <w:ilvl w:val="1"/>
          <w:numId w:val="58"/>
        </w:numPr>
        <w:rPr>
          <w:rFonts w:ascii="Arial" w:cs="Arial" w:eastAsia="Arial" w:hAnsi="Arial"/>
          <w:sz w:val="22"/>
          <w:szCs w:val="22"/>
          <w:b w:val="1"/>
          <w:bCs w:val="1"/>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Award Agreement</w:t>
      </w:r>
      <w:r>
        <w:rPr>
          <w:rFonts w:ascii="Arial" w:cs="Arial" w:eastAsia="Arial" w:hAnsi="Arial"/>
          <w:sz w:val="22"/>
          <w:szCs w:val="22"/>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31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25.</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93" w:name="page94"/>
    <w:bookmarkEnd w:id="93"/>
    <w:p>
      <w:pPr>
        <w:ind w:firstLine="864"/>
        <w:spacing w:after="0" w:line="256" w:lineRule="auto"/>
        <w:rPr>
          <w:sz w:val="20"/>
          <w:szCs w:val="20"/>
          <w:color w:val="auto"/>
        </w:rPr>
      </w:pPr>
      <w:r>
        <w:rPr>
          <w:rFonts w:ascii="Arial" w:cs="Arial" w:eastAsia="Arial" w:hAnsi="Arial"/>
          <w:sz w:val="22"/>
          <w:szCs w:val="22"/>
          <w:b w:val="1"/>
          <w:bCs w:val="1"/>
          <w:color w:val="auto"/>
        </w:rPr>
        <w:t xml:space="preserve">(nn) </w:t>
      </w: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Stock Unit Award</w:t>
      </w:r>
      <w:r>
        <w:rPr>
          <w:rFonts w:ascii="Arial" w:cs="Arial" w:eastAsia="Arial" w:hAnsi="Arial"/>
          <w:sz w:val="22"/>
          <w:szCs w:val="22"/>
          <w:color w:val="auto"/>
        </w:rPr>
        <w:t>” means a right to receive shares of Common Stock which is granted</w:t>
      </w:r>
      <w:r>
        <w:rPr>
          <w:rFonts w:ascii="Arial" w:cs="Arial" w:eastAsia="Arial" w:hAnsi="Arial"/>
          <w:sz w:val="22"/>
          <w:szCs w:val="22"/>
          <w:b w:val="1"/>
          <w:bCs w:val="1"/>
          <w:color w:val="auto"/>
        </w:rPr>
        <w:t xml:space="preserve"> </w:t>
      </w:r>
      <w:r>
        <w:rPr>
          <w:rFonts w:ascii="Arial" w:cs="Arial" w:eastAsia="Arial" w:hAnsi="Arial"/>
          <w:sz w:val="22"/>
          <w:szCs w:val="22"/>
          <w:color w:val="auto"/>
        </w:rPr>
        <w:t>pursuant to the terms and conditions of Section 6(b).</w:t>
      </w:r>
    </w:p>
    <w:p>
      <w:pPr>
        <w:spacing w:after="0" w:line="162" w:lineRule="exact"/>
        <w:rPr>
          <w:sz w:val="20"/>
          <w:szCs w:val="20"/>
          <w:color w:val="auto"/>
        </w:rPr>
      </w:pPr>
    </w:p>
    <w:p>
      <w:pPr>
        <w:ind w:left="880"/>
        <w:spacing w:after="0"/>
        <w:tabs>
          <w:tab w:leader="none" w:pos="2500" w:val="left"/>
        </w:tabs>
        <w:rPr>
          <w:sz w:val="20"/>
          <w:szCs w:val="20"/>
          <w:color w:val="auto"/>
        </w:rPr>
      </w:pPr>
      <w:r>
        <w:rPr>
          <w:rFonts w:ascii="Arial" w:cs="Arial" w:eastAsia="Arial" w:hAnsi="Arial"/>
          <w:sz w:val="19"/>
          <w:szCs w:val="19"/>
          <w:b w:val="1"/>
          <w:bCs w:val="1"/>
          <w:color w:val="auto"/>
        </w:rPr>
        <w:t>(oo)</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Restricted Stock Unit Award Agreement</w:t>
      </w:r>
      <w:r>
        <w:rPr>
          <w:rFonts w:ascii="Arial" w:cs="Arial" w:eastAsia="Arial" w:hAnsi="Arial"/>
          <w:sz w:val="19"/>
          <w:szCs w:val="19"/>
          <w:color w:val="auto"/>
        </w:rPr>
        <w:t>” means a written agreement between the Company and a</w:t>
      </w:r>
    </w:p>
    <w:p>
      <w:pPr>
        <w:spacing w:after="0" w:line="49"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holder of a Restricted Stock Unit Award evidencing the terms and conditions of a Restricted Stock Unit Award grant. Each Restricted Stock Unit Award Agreement will be subject to the terms and conditions of the Plan.</w:t>
      </w:r>
    </w:p>
    <w:p>
      <w:pPr>
        <w:spacing w:after="0" w:line="187" w:lineRule="exact"/>
        <w:rPr>
          <w:sz w:val="20"/>
          <w:szCs w:val="20"/>
          <w:color w:val="auto"/>
        </w:rPr>
      </w:pPr>
    </w:p>
    <w:p>
      <w:pPr>
        <w:ind w:firstLine="872"/>
        <w:spacing w:after="0" w:line="250" w:lineRule="auto"/>
        <w:tabs>
          <w:tab w:leader="none" w:pos="2544"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i w:val="1"/>
          <w:iCs w:val="1"/>
          <w:color w:val="auto"/>
        </w:rPr>
        <w:t xml:space="preserve">“Retirement” </w:t>
      </w:r>
      <w:r>
        <w:rPr>
          <w:rFonts w:ascii="Arial" w:cs="Arial" w:eastAsia="Arial" w:hAnsi="Arial"/>
          <w:sz w:val="22"/>
          <w:szCs w:val="22"/>
          <w:color w:val="auto"/>
        </w:rPr>
        <w:t>means a Participant’s voluntary termination of Continuous Service after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Participant attains age fifty-five (55).</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60" w:type="dxa"/>
            <w:vAlign w:val="bottom"/>
          </w:tcPr>
          <w:p>
            <w:pPr>
              <w:ind w:left="880"/>
              <w:spacing w:after="0"/>
              <w:rPr>
                <w:sz w:val="20"/>
                <w:szCs w:val="20"/>
                <w:color w:val="auto"/>
              </w:rPr>
            </w:pPr>
            <w:r>
              <w:rPr>
                <w:rFonts w:ascii="Arial" w:cs="Arial" w:eastAsia="Arial" w:hAnsi="Arial"/>
                <w:sz w:val="22"/>
                <w:szCs w:val="22"/>
                <w:b w:val="1"/>
                <w:bCs w:val="1"/>
                <w:color w:val="auto"/>
              </w:rPr>
              <w:t>(qq)</w:t>
            </w:r>
          </w:p>
        </w:tc>
        <w:tc>
          <w:tcPr>
            <w:tcW w:w="9380" w:type="dxa"/>
            <w:vAlign w:val="bottom"/>
          </w:tcPr>
          <w:p>
            <w:pPr>
              <w:jc w:val="right"/>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Rule 16b-3</w:t>
            </w:r>
            <w:r>
              <w:rPr>
                <w:rFonts w:ascii="Arial" w:cs="Arial" w:eastAsia="Arial" w:hAnsi="Arial"/>
                <w:sz w:val="22"/>
                <w:szCs w:val="22"/>
                <w:color w:val="auto"/>
              </w:rPr>
              <w:t>” means Rule 16b-3 promulgated under the Exchange Act or any successor to Rule</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16b-3, as in effect from time to time.</w:t>
            </w:r>
          </w:p>
        </w:tc>
      </w:tr>
      <w:tr>
        <w:trPr>
          <w:trHeight w:val="459"/>
        </w:trPr>
        <w:tc>
          <w:tcPr>
            <w:tcW w:w="1860" w:type="dxa"/>
            <w:vAlign w:val="bottom"/>
          </w:tcPr>
          <w:p>
            <w:pPr>
              <w:ind w:left="880"/>
              <w:spacing w:after="0"/>
              <w:rPr>
                <w:sz w:val="20"/>
                <w:szCs w:val="20"/>
                <w:color w:val="auto"/>
              </w:rPr>
            </w:pPr>
            <w:r>
              <w:rPr>
                <w:rFonts w:ascii="Arial" w:cs="Arial" w:eastAsia="Arial" w:hAnsi="Arial"/>
                <w:sz w:val="22"/>
                <w:szCs w:val="22"/>
                <w:b w:val="1"/>
                <w:bCs w:val="1"/>
                <w:color w:val="auto"/>
              </w:rPr>
              <w:t>(rr)</w:t>
            </w:r>
          </w:p>
        </w:tc>
        <w:tc>
          <w:tcPr>
            <w:tcW w:w="9380" w:type="dxa"/>
            <w:vAlign w:val="bottom"/>
          </w:tcPr>
          <w:p>
            <w:pPr>
              <w:jc w:val="right"/>
              <w:ind w:right="2852"/>
              <w:spacing w:after="0"/>
              <w:rPr>
                <w:sz w:val="20"/>
                <w:szCs w:val="20"/>
                <w:color w:val="auto"/>
              </w:rPr>
            </w:pPr>
            <w:r>
              <w:rPr>
                <w:rFonts w:ascii="Arial" w:cs="Arial" w:eastAsia="Arial" w:hAnsi="Arial"/>
                <w:sz w:val="22"/>
                <w:szCs w:val="22"/>
                <w:color w:val="auto"/>
                <w:w w:val="99"/>
              </w:rPr>
              <w:t>“</w:t>
            </w:r>
            <w:r>
              <w:rPr>
                <w:rFonts w:ascii="Arial" w:cs="Arial" w:eastAsia="Arial" w:hAnsi="Arial"/>
                <w:sz w:val="22"/>
                <w:szCs w:val="22"/>
                <w:b w:val="1"/>
                <w:bCs w:val="1"/>
                <w:i w:val="1"/>
                <w:iCs w:val="1"/>
                <w:color w:val="auto"/>
                <w:w w:val="99"/>
              </w:rPr>
              <w:t>Rule 405</w:t>
            </w:r>
            <w:r>
              <w:rPr>
                <w:rFonts w:ascii="Arial" w:cs="Arial" w:eastAsia="Arial" w:hAnsi="Arial"/>
                <w:sz w:val="22"/>
                <w:szCs w:val="22"/>
                <w:color w:val="auto"/>
                <w:w w:val="99"/>
              </w:rPr>
              <w:t>” means Rule 405 promulgated under the Securities Act.</w:t>
            </w:r>
          </w:p>
        </w:tc>
      </w:tr>
      <w:tr>
        <w:trPr>
          <w:trHeight w:val="459"/>
        </w:trPr>
        <w:tc>
          <w:tcPr>
            <w:tcW w:w="1860" w:type="dxa"/>
            <w:vAlign w:val="bottom"/>
          </w:tcPr>
          <w:p>
            <w:pPr>
              <w:ind w:left="880"/>
              <w:spacing w:after="0"/>
              <w:rPr>
                <w:sz w:val="20"/>
                <w:szCs w:val="20"/>
                <w:color w:val="auto"/>
              </w:rPr>
            </w:pPr>
            <w:r>
              <w:rPr>
                <w:rFonts w:ascii="Arial" w:cs="Arial" w:eastAsia="Arial" w:hAnsi="Arial"/>
                <w:sz w:val="22"/>
                <w:szCs w:val="22"/>
                <w:b w:val="1"/>
                <w:bCs w:val="1"/>
                <w:color w:val="auto"/>
              </w:rPr>
              <w:t>(ss)</w:t>
            </w:r>
          </w:p>
        </w:tc>
        <w:tc>
          <w:tcPr>
            <w:tcW w:w="9380" w:type="dxa"/>
            <w:vAlign w:val="bottom"/>
          </w:tcPr>
          <w:p>
            <w:pPr>
              <w:jc w:val="right"/>
              <w:ind w:right="3132"/>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i w:val="1"/>
                <w:iCs w:val="1"/>
                <w:color w:val="auto"/>
                <w:w w:val="97"/>
              </w:rPr>
              <w:t>Securities Act</w:t>
            </w:r>
            <w:r>
              <w:rPr>
                <w:rFonts w:ascii="Arial" w:cs="Arial" w:eastAsia="Arial" w:hAnsi="Arial"/>
                <w:sz w:val="22"/>
                <w:szCs w:val="22"/>
                <w:color w:val="auto"/>
                <w:w w:val="97"/>
              </w:rPr>
              <w:t>” means the Securities Act of 1933, as amended.</w:t>
            </w:r>
          </w:p>
        </w:tc>
      </w:tr>
      <w:tr>
        <w:trPr>
          <w:trHeight w:val="428"/>
        </w:trPr>
        <w:tc>
          <w:tcPr>
            <w:tcW w:w="1860" w:type="dxa"/>
            <w:vAlign w:val="bottom"/>
          </w:tcPr>
          <w:p>
            <w:pPr>
              <w:ind w:left="880"/>
              <w:spacing w:after="0"/>
              <w:rPr>
                <w:sz w:val="20"/>
                <w:szCs w:val="20"/>
                <w:color w:val="auto"/>
              </w:rPr>
            </w:pPr>
            <w:r>
              <w:rPr>
                <w:rFonts w:ascii="Arial" w:cs="Arial" w:eastAsia="Arial" w:hAnsi="Arial"/>
                <w:sz w:val="22"/>
                <w:szCs w:val="22"/>
                <w:b w:val="1"/>
                <w:bCs w:val="1"/>
                <w:color w:val="auto"/>
              </w:rPr>
              <w:t>(tt)</w:t>
            </w:r>
          </w:p>
        </w:tc>
        <w:tc>
          <w:tcPr>
            <w:tcW w:w="9380" w:type="dxa"/>
            <w:vAlign w:val="bottom"/>
          </w:tcPr>
          <w:p>
            <w:pPr>
              <w:jc w:val="right"/>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i w:val="1"/>
                <w:iCs w:val="1"/>
                <w:color w:val="auto"/>
                <w:w w:val="97"/>
              </w:rPr>
              <w:t>Stock Appreciation Right</w:t>
            </w:r>
            <w:r>
              <w:rPr>
                <w:rFonts w:ascii="Arial" w:cs="Arial" w:eastAsia="Arial" w:hAnsi="Arial"/>
                <w:sz w:val="22"/>
                <w:szCs w:val="22"/>
                <w:color w:val="auto"/>
                <w:w w:val="97"/>
              </w:rPr>
              <w:t>” or “</w:t>
            </w:r>
            <w:r>
              <w:rPr>
                <w:rFonts w:ascii="Arial" w:cs="Arial" w:eastAsia="Arial" w:hAnsi="Arial"/>
                <w:sz w:val="22"/>
                <w:szCs w:val="22"/>
                <w:b w:val="1"/>
                <w:bCs w:val="1"/>
                <w:i w:val="1"/>
                <w:iCs w:val="1"/>
                <w:color w:val="auto"/>
                <w:w w:val="97"/>
              </w:rPr>
              <w:t>SAR</w:t>
            </w:r>
            <w:r>
              <w:rPr>
                <w:rFonts w:ascii="Arial" w:cs="Arial" w:eastAsia="Arial" w:hAnsi="Arial"/>
                <w:sz w:val="22"/>
                <w:szCs w:val="22"/>
                <w:color w:val="auto"/>
                <w:w w:val="97"/>
              </w:rPr>
              <w:t>” means a right to receive the appreciation on Common Stock</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that is granted pursuant to the terms and conditions of Section 5.</w:t>
            </w:r>
          </w:p>
        </w:tc>
      </w:tr>
      <w:tr>
        <w:trPr>
          <w:trHeight w:val="446"/>
        </w:trPr>
        <w:tc>
          <w:tcPr>
            <w:tcW w:w="1860" w:type="dxa"/>
            <w:vAlign w:val="bottom"/>
          </w:tcPr>
          <w:p>
            <w:pPr>
              <w:ind w:left="880"/>
              <w:spacing w:after="0"/>
              <w:rPr>
                <w:sz w:val="20"/>
                <w:szCs w:val="20"/>
                <w:color w:val="auto"/>
              </w:rPr>
            </w:pPr>
            <w:r>
              <w:rPr>
                <w:rFonts w:ascii="Arial" w:cs="Arial" w:eastAsia="Arial" w:hAnsi="Arial"/>
                <w:sz w:val="22"/>
                <w:szCs w:val="22"/>
                <w:b w:val="1"/>
                <w:bCs w:val="1"/>
                <w:color w:val="auto"/>
              </w:rPr>
              <w:t>(uu)</w:t>
            </w:r>
          </w:p>
        </w:tc>
        <w:tc>
          <w:tcPr>
            <w:tcW w:w="9380" w:type="dxa"/>
            <w:vAlign w:val="bottom"/>
          </w:tcPr>
          <w:p>
            <w:pPr>
              <w:jc w:val="right"/>
              <w:spacing w:after="0"/>
              <w:rPr>
                <w:sz w:val="20"/>
                <w:szCs w:val="20"/>
                <w:color w:val="auto"/>
              </w:rPr>
            </w:pPr>
            <w:r>
              <w:rPr>
                <w:rFonts w:ascii="Arial" w:cs="Arial" w:eastAsia="Arial" w:hAnsi="Arial"/>
                <w:sz w:val="22"/>
                <w:szCs w:val="22"/>
                <w:color w:val="auto"/>
                <w:w w:val="97"/>
              </w:rPr>
              <w:t>“</w:t>
            </w:r>
            <w:r>
              <w:rPr>
                <w:rFonts w:ascii="Arial" w:cs="Arial" w:eastAsia="Arial" w:hAnsi="Arial"/>
                <w:sz w:val="22"/>
                <w:szCs w:val="22"/>
                <w:b w:val="1"/>
                <w:bCs w:val="1"/>
                <w:i w:val="1"/>
                <w:iCs w:val="1"/>
                <w:color w:val="auto"/>
                <w:w w:val="97"/>
              </w:rPr>
              <w:t>Stock Appreciation Right Agreement</w:t>
            </w:r>
            <w:r>
              <w:rPr>
                <w:rFonts w:ascii="Arial" w:cs="Arial" w:eastAsia="Arial" w:hAnsi="Arial"/>
                <w:sz w:val="22"/>
                <w:szCs w:val="22"/>
                <w:color w:val="auto"/>
                <w:w w:val="97"/>
              </w:rPr>
              <w:t>” means a written agreement between the Company and a</w:t>
            </w:r>
          </w:p>
        </w:tc>
      </w:tr>
    </w:tbl>
    <w:p>
      <w:pPr>
        <w:jc w:val="both"/>
        <w:ind w:right="20"/>
        <w:spacing w:after="0" w:line="236" w:lineRule="auto"/>
        <w:rPr>
          <w:sz w:val="20"/>
          <w:szCs w:val="20"/>
          <w:color w:val="auto"/>
        </w:rPr>
      </w:pPr>
      <w:r>
        <w:rPr>
          <w:rFonts w:ascii="Arial" w:cs="Arial" w:eastAsia="Arial" w:hAnsi="Arial"/>
          <w:sz w:val="22"/>
          <w:szCs w:val="22"/>
          <w:color w:val="auto"/>
        </w:rPr>
        <w:t>holder of a Stock Appreciation Right evidencing the terms and conditions of a Stock Appreciation Right grant. Each Stock Appreciation Right Agreement will be subject to the terms and conditions of the Plan.</w:t>
      </w:r>
    </w:p>
    <w:p>
      <w:pPr>
        <w:spacing w:after="0" w:line="181"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(vv) </w:t>
      </w:r>
      <w:r>
        <w:rPr>
          <w:rFonts w:ascii="Arial" w:cs="Arial" w:eastAsia="Arial" w:hAnsi="Arial"/>
          <w:sz w:val="22"/>
          <w:szCs w:val="22"/>
          <w:color w:val="auto"/>
        </w:rPr>
        <w:t>“</w:t>
      </w:r>
      <w:r>
        <w:rPr>
          <w:rFonts w:ascii="Arial" w:cs="Arial" w:eastAsia="Arial" w:hAnsi="Arial"/>
          <w:sz w:val="22"/>
          <w:szCs w:val="22"/>
          <w:b w:val="1"/>
          <w:bCs w:val="1"/>
          <w:i w:val="1"/>
          <w:iCs w:val="1"/>
          <w:color w:val="auto"/>
        </w:rPr>
        <w:t>Stock Award</w:t>
      </w:r>
      <w:r>
        <w:rPr>
          <w:rFonts w:ascii="Arial" w:cs="Arial" w:eastAsia="Arial" w:hAnsi="Arial"/>
          <w:sz w:val="22"/>
          <w:szCs w:val="22"/>
          <w:color w:val="auto"/>
        </w:rPr>
        <w:t>” means any right to receive Common Stock granted under the Plan, including an</w:t>
      </w:r>
      <w:r>
        <w:rPr>
          <w:rFonts w:ascii="Arial" w:cs="Arial" w:eastAsia="Arial" w:hAnsi="Arial"/>
          <w:sz w:val="22"/>
          <w:szCs w:val="22"/>
          <w:b w:val="1"/>
          <w:bCs w:val="1"/>
          <w:color w:val="auto"/>
        </w:rPr>
        <w:t xml:space="preserve"> </w:t>
      </w:r>
      <w:r>
        <w:rPr>
          <w:rFonts w:ascii="Arial" w:cs="Arial" w:eastAsia="Arial" w:hAnsi="Arial"/>
          <w:sz w:val="22"/>
          <w:szCs w:val="22"/>
          <w:color w:val="auto"/>
        </w:rPr>
        <w:t>Incentive Stock Option, a Nonstatutory Stock Option, a Stock Appreciation Right, a Restricted Stock Award, a Restricted Stock Unit Award, a Performance Stock Award or any Other Stock Award.</w:t>
      </w:r>
    </w:p>
    <w:p>
      <w:pPr>
        <w:spacing w:after="0" w:line="177" w:lineRule="exact"/>
        <w:rPr>
          <w:sz w:val="20"/>
          <w:szCs w:val="20"/>
          <w:color w:val="auto"/>
        </w:rPr>
      </w:pPr>
    </w:p>
    <w:p>
      <w:pPr>
        <w:ind w:left="880"/>
        <w:spacing w:after="0"/>
        <w:tabs>
          <w:tab w:leader="none" w:pos="2600" w:val="left"/>
        </w:tabs>
        <w:rPr>
          <w:sz w:val="20"/>
          <w:szCs w:val="20"/>
          <w:color w:val="auto"/>
        </w:rPr>
      </w:pPr>
      <w:r>
        <w:rPr>
          <w:rFonts w:ascii="Arial" w:cs="Arial" w:eastAsia="Arial" w:hAnsi="Arial"/>
          <w:sz w:val="19"/>
          <w:szCs w:val="19"/>
          <w:b w:val="1"/>
          <w:bCs w:val="1"/>
          <w:color w:val="auto"/>
        </w:rPr>
        <w:t>(ww)</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Stock Award Agreement</w:t>
      </w:r>
      <w:r>
        <w:rPr>
          <w:rFonts w:ascii="Arial" w:cs="Arial" w:eastAsia="Arial" w:hAnsi="Arial"/>
          <w:sz w:val="19"/>
          <w:szCs w:val="19"/>
          <w:color w:val="auto"/>
        </w:rPr>
        <w:t>” means a written agreement between the Company and a Participant</w:t>
      </w:r>
    </w:p>
    <w:p>
      <w:pPr>
        <w:spacing w:after="0" w:line="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evidencing the terms and conditions of a Stock Award grant. Each Stock Award Agreement will be subject to the terms and conditions of the Plan.</w:t>
      </w:r>
    </w:p>
    <w:p>
      <w:pPr>
        <w:spacing w:after="0" w:line="181"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(xx) </w:t>
      </w:r>
      <w:r>
        <w:rPr>
          <w:rFonts w:ascii="Arial" w:cs="Arial" w:eastAsia="Arial" w:hAnsi="Arial"/>
          <w:sz w:val="22"/>
          <w:szCs w:val="22"/>
          <w:color w:val="auto"/>
        </w:rPr>
        <w:t>“</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means, with respect to the Company, (i) any corporation of which more than 50% of</w:t>
      </w:r>
      <w:r>
        <w:rPr>
          <w:rFonts w:ascii="Arial" w:cs="Arial" w:eastAsia="Arial" w:hAnsi="Arial"/>
          <w:sz w:val="22"/>
          <w:szCs w:val="22"/>
          <w:b w:val="1"/>
          <w:bCs w:val="1"/>
          <w:color w:val="auto"/>
        </w:rPr>
        <w:t xml:space="preserve"> </w:t>
      </w:r>
      <w:r>
        <w:rPr>
          <w:rFonts w:ascii="Arial" w:cs="Arial" w:eastAsia="Arial" w:hAnsi="Arial"/>
          <w:sz w:val="22"/>
          <w:szCs w:val="22"/>
          <w:color w:val="auto"/>
        </w:rPr>
        <w:t>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(yy) </w:t>
      </w:r>
      <w:r>
        <w:rPr>
          <w:rFonts w:ascii="Arial" w:cs="Arial" w:eastAsia="Arial" w:hAnsi="Arial"/>
          <w:sz w:val="22"/>
          <w:szCs w:val="22"/>
          <w:color w:val="auto"/>
        </w:rPr>
        <w:t>“</w:t>
      </w:r>
      <w:r>
        <w:rPr>
          <w:rFonts w:ascii="Arial" w:cs="Arial" w:eastAsia="Arial" w:hAnsi="Arial"/>
          <w:sz w:val="22"/>
          <w:szCs w:val="22"/>
          <w:b w:val="1"/>
          <w:bCs w:val="1"/>
          <w:i w:val="1"/>
          <w:iCs w:val="1"/>
          <w:color w:val="auto"/>
        </w:rPr>
        <w:t>Ten Percent Stockholder</w:t>
      </w:r>
      <w:r>
        <w:rPr>
          <w:rFonts w:ascii="Arial" w:cs="Arial" w:eastAsia="Arial" w:hAnsi="Arial"/>
          <w:sz w:val="22"/>
          <w:szCs w:val="22"/>
          <w:color w:val="auto"/>
        </w:rPr>
        <w:t>” means a person who Owns (or is deemed to Own pursuant to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424(d) of the Code) stock possessing more than 10% of the total combined voting power of all classes of stock of the Company or any Affiliate.</w:t>
      </w:r>
    </w:p>
    <w:p>
      <w:pPr>
        <w:spacing w:after="0" w:line="309"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26.</w:t>
      </w:r>
    </w:p>
    <w:p>
      <w:pPr>
        <w:spacing w:after="0"/>
        <w:rPr>
          <w:sz w:val="20"/>
          <w:szCs w:val="20"/>
          <w:color w:val="auto"/>
        </w:rPr>
      </w:pPr>
      <w:r>
        <w:rPr>
          <w:rFonts w:ascii="Arial" w:cs="Arial" w:eastAsia="Arial" w:hAnsi="Arial"/>
          <w:sz w:val="14"/>
          <w:szCs w:val="14"/>
          <w:color w:val="auto"/>
        </w:rPr>
        <w:t>168825797 v6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4" w:name="page95"/>
    <w:bookmarkEnd w:id="94"/>
    <w:p>
      <w:pPr>
        <w:jc w:val="both"/>
        <w:ind w:left="880"/>
        <w:spacing w:after="0"/>
        <w:tabs>
          <w:tab w:leader="none" w:pos="2480" w:val="left"/>
        </w:tabs>
        <w:rPr>
          <w:sz w:val="20"/>
          <w:szCs w:val="20"/>
          <w:color w:val="auto"/>
        </w:rPr>
      </w:pPr>
      <w:r>
        <w:rPr>
          <w:rFonts w:ascii="Arial" w:cs="Arial" w:eastAsia="Arial" w:hAnsi="Arial"/>
          <w:sz w:val="22"/>
          <w:szCs w:val="22"/>
          <w:b w:val="1"/>
          <w:bCs w:val="1"/>
          <w:color w:val="auto"/>
        </w:rPr>
        <w:t>(zz)</w:t>
      </w:r>
      <w:r>
        <w:rPr>
          <w:sz w:val="20"/>
          <w:szCs w:val="20"/>
          <w:color w:val="auto"/>
        </w:rPr>
        <w:tab/>
      </w:r>
      <w:r>
        <w:rPr>
          <w:rFonts w:ascii="Arial" w:cs="Arial" w:eastAsia="Arial" w:hAnsi="Arial"/>
          <w:sz w:val="22"/>
          <w:szCs w:val="22"/>
          <w:color w:val="auto"/>
        </w:rPr>
        <w:t>“</w:t>
      </w:r>
      <w:r>
        <w:rPr>
          <w:rFonts w:ascii="Arial" w:cs="Arial" w:eastAsia="Arial" w:hAnsi="Arial"/>
          <w:sz w:val="22"/>
          <w:szCs w:val="22"/>
          <w:b w:val="1"/>
          <w:bCs w:val="1"/>
          <w:i w:val="1"/>
          <w:iCs w:val="1"/>
          <w:color w:val="auto"/>
        </w:rPr>
        <w:t>Transaction</w:t>
      </w:r>
      <w:r>
        <w:rPr>
          <w:rFonts w:ascii="Arial" w:cs="Arial" w:eastAsia="Arial" w:hAnsi="Arial"/>
          <w:sz w:val="22"/>
          <w:szCs w:val="22"/>
          <w:color w:val="auto"/>
        </w:rPr>
        <w:t>” 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880"/>
        <w:spacing w:after="0"/>
        <w:rPr>
          <w:sz w:val="20"/>
          <w:szCs w:val="20"/>
          <w:color w:val="auto"/>
        </w:rPr>
      </w:pPr>
      <w:r>
        <w:rPr>
          <w:rFonts w:ascii="Arial" w:cs="Arial" w:eastAsia="Arial" w:hAnsi="Arial"/>
          <w:sz w:val="22"/>
          <w:szCs w:val="22"/>
          <w:color w:val="auto"/>
        </w:rPr>
        <w:t>27.</w:t>
      </w:r>
    </w:p>
    <w:p>
      <w:pPr>
        <w:spacing w:after="0"/>
        <w:rPr>
          <w:sz w:val="20"/>
          <w:szCs w:val="20"/>
          <w:color w:val="auto"/>
        </w:rPr>
      </w:pPr>
      <w:r>
        <w:rPr>
          <w:rFonts w:ascii="Arial" w:cs="Arial" w:eastAsia="Arial" w:hAnsi="Arial"/>
          <w:sz w:val="14"/>
          <w:szCs w:val="14"/>
          <w:color w:val="auto"/>
        </w:rPr>
        <w:t>168825797 v6</w:t>
      </w:r>
    </w:p>
    <w:p>
      <w:pPr>
        <w:sectPr>
          <w:pgSz w:w="11900" w:h="16838" w:orient="portrait"/>
          <w:cols w:equalWidth="0" w:num="1">
            <w:col w:w="10139"/>
          </w:cols>
          <w:pgMar w:left="320" w:top="328"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Michael E. Castagna, certify that:</w:t>
      </w:r>
    </w:p>
    <w:p>
      <w:pPr>
        <w:spacing w:after="0" w:line="225"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Director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337"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13a-14(a) OR 15d-14(a) OF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Steven B. Binder, certify that:</w:t>
      </w:r>
    </w:p>
    <w:p>
      <w:pPr>
        <w:spacing w:after="0" w:line="225"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MannKind Corporation;</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0" w:firstLine="8"/>
        <w:spacing w:after="0" w:line="308" w:lineRule="auto"/>
        <w:tabs>
          <w:tab w:leader="none" w:pos="180" w:val="left"/>
        </w:tabs>
        <w:numPr>
          <w:ilvl w:val="0"/>
          <w:numId w:val="6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ind w:right="140" w:firstLine="8"/>
        <w:spacing w:after="0" w:line="263" w:lineRule="auto"/>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100" w:firstLine="8"/>
        <w:spacing w:after="0" w:line="277" w:lineRule="auto"/>
        <w:tabs>
          <w:tab w:leader="none" w:pos="24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8"/>
        <w:spacing w:after="0" w:line="26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right="480" w:firstLine="8"/>
        <w:spacing w:after="0" w:line="30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40" w:firstLine="8"/>
        <w:spacing w:after="0" w:line="277" w:lineRule="auto"/>
        <w:tabs>
          <w:tab w:leader="none" w:pos="24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60" w:firstLine="8"/>
        <w:spacing w:after="0" w:line="277"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31546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2020</w:t>
      </w:r>
    </w:p>
    <w:p>
      <w:pPr>
        <w:sectPr>
          <w:pgSz w:w="11900" w:h="16838" w:orient="portrait"/>
          <w:cols w:equalWidth="0" w:num="1">
            <w:col w:w="11240"/>
          </w:cols>
          <w:pgMar w:left="320" w:top="337"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2020, as filed with the Securities and Exchange Commission on or about the date hereof, to which this certification is attached as Exhibit 32.1 (the “Report”) and pursuant to the requirement set forth in Rule 13a-14(b) or Rule 15d-14(b) of the Securities Exchange Act of 1934, as amended (the “Exchange Act”), and Section 1350 of Chapter 63 of Title 18 of the United States Code (18 U.S.C. §1350), Michael E. Castagna, Chief Executive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5th day of August,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Michael E. Castagna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E. Castagna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ind w:left="220" w:right="20" w:hanging="212"/>
        <w:spacing w:after="0" w:line="286" w:lineRule="auto"/>
        <w:tabs>
          <w:tab w:leader="none" w:pos="220" w:val="left"/>
        </w:tabs>
        <w:numPr>
          <w:ilvl w:val="0"/>
          <w:numId w:val="69"/>
        </w:numPr>
        <w:rPr>
          <w:rFonts w:ascii="Arial" w:cs="Arial" w:eastAsia="Arial" w:hAnsi="Arial"/>
          <w:sz w:val="14"/>
          <w:szCs w:val="14"/>
          <w:color w:val="auto"/>
        </w:rPr>
      </w:pPr>
      <w:r>
        <w:rPr>
          <w:rFonts w:ascii="Arial" w:cs="Arial" w:eastAsia="Arial" w:hAnsi="Arial"/>
          <w:sz w:val="17"/>
          <w:szCs w:val="17"/>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RULE 13a-14(b) OR 15d-14(b) OF THE SECURITIES EXCHANGE ACT OF 1934, AS AMENDED, AND SECTION 1350 OF</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CHAPTER 63 OF TITLE 18 OF THE UNITED STATES CODE (18 U.S.C. § 1350)</w:t>
      </w:r>
      <w:r>
        <w:rPr>
          <w:rFonts w:ascii="Arial" w:cs="Arial" w:eastAsia="Arial" w:hAnsi="Arial"/>
          <w:sz w:val="15"/>
          <w:szCs w:val="15"/>
          <w:b w:val="1"/>
          <w:bCs w:val="1"/>
          <w:color w:val="auto"/>
        </w:rPr>
        <w:t>1</w:t>
      </w:r>
    </w:p>
    <w:p>
      <w:pPr>
        <w:spacing w:after="0" w:line="22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connection with the filing of the quarterly report of MannKind Corporation (the “Company”) on Form 10-Q for the quarterly period ended June 30, 2020, as filed with the Securities and Exchange Commission on or about the date hereof, to which this certification is attached as Exhibit 32.2 (the “Report”) and pursuant to the requirement set forth in Rule 13a-14(b) or Rule 15d-14(b) of the Securities Exchange Act of 1934, as amended (the “Exchange Act”), and Section 1350 of Chapter 63 of Title 18 of the United States Code (18 U.S.C. §1350), Steven B. Binder, Chief Financial Officer of MannKind Corporation (the “Company”), hereby certifies that, to the best of his knowledge:</w:t>
      </w:r>
    </w:p>
    <w:p>
      <w:pPr>
        <w:spacing w:after="0" w:line="80" w:lineRule="exact"/>
        <w:rPr>
          <w:sz w:val="20"/>
          <w:szCs w:val="20"/>
          <w:color w:val="auto"/>
        </w:rPr>
      </w:pPr>
    </w:p>
    <w:p>
      <w:pPr>
        <w:ind w:left="180" w:hanging="172"/>
        <w:spacing w:after="0"/>
        <w:tabs>
          <w:tab w:leader="none" w:pos="1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Exchange Act, and</w:t>
      </w:r>
    </w:p>
    <w:p>
      <w:pPr>
        <w:spacing w:after="0" w:line="117" w:lineRule="exact"/>
        <w:rPr>
          <w:rFonts w:ascii="Arial" w:cs="Arial" w:eastAsia="Arial" w:hAnsi="Arial"/>
          <w:sz w:val="18"/>
          <w:szCs w:val="18"/>
          <w:color w:val="auto"/>
        </w:rPr>
      </w:pPr>
    </w:p>
    <w:p>
      <w:pPr>
        <w:ind w:left="180" w:hanging="172"/>
        <w:spacing w:after="0"/>
        <w:tabs>
          <w:tab w:leader="none" w:pos="1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set his hand hereto as of the 5th day of August,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Steven B. Binder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Steven B. Binder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260" w:right="180" w:hanging="252"/>
        <w:spacing w:after="0" w:line="311" w:lineRule="auto"/>
        <w:tabs>
          <w:tab w:leader="none" w:pos="260" w:val="left"/>
        </w:tabs>
        <w:numPr>
          <w:ilvl w:val="0"/>
          <w:numId w:val="71"/>
        </w:numPr>
        <w:rPr>
          <w:rFonts w:ascii="Arial" w:cs="Arial" w:eastAsia="Arial" w:hAnsi="Arial"/>
          <w:sz w:val="13"/>
          <w:szCs w:val="13"/>
          <w:color w:val="auto"/>
        </w:rPr>
      </w:pPr>
      <w:r>
        <w:rPr>
          <w:rFonts w:ascii="Arial" w:cs="Arial" w:eastAsia="Arial" w:hAnsi="Arial"/>
          <w:sz w:val="16"/>
          <w:szCs w:val="16"/>
          <w:color w:val="auto"/>
        </w:rPr>
        <w:t>This certification is being furnished solely to accompany this quarterly report on Form 10-Q pursuant to 18 U.S.C. Section 1350, and is not deemed filed for purposes of Section 18 of the Exchange Act or the Securities Act of 1933, as amended, and is not incorporated by reference into any filing of the Company, whether made before or after the date hereof, regardless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endash "/>
      <w:numFmt w:val="bullet"/>
      <w:start w:val="1"/>
    </w:lvl>
  </w:abstractNum>
  <w:abstractNum w:abstractNumId="3">
    <w:nsid w:val="7724C67E"/>
    <w:multiLevelType w:val="hybridMultilevel"/>
    <w:lvl w:ilvl="0">
      <w:lvlJc w:val="left"/>
      <w:lvlText w:val="%1"/>
      <w:numFmt w:val="upperLetter"/>
      <w:start w:val="68"/>
    </w:lvl>
  </w:abstractNum>
  <w:abstractNum w:abstractNumId="4">
    <w:nsid w:val="5C482A97"/>
    <w:multiLevelType w:val="hybridMultilevel"/>
    <w:lvl w:ilvl="0">
      <w:lvlJc w:val="left"/>
      <w:lvlText w:val="(%1)"/>
      <w:numFmt w:val="decimal"/>
      <w:start w:val="1"/>
    </w:lvl>
  </w:abstractNum>
  <w:abstractNum w:abstractNumId="5">
    <w:nsid w:val="2463B9EA"/>
    <w:multiLevelType w:val="hybridMultilevel"/>
    <w:lvl w:ilvl="0">
      <w:lvlJc w:val="left"/>
      <w:lvlText w:val="(%1)"/>
      <w:numFmt w:val="decimal"/>
      <w:start w:val="3"/>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
      <w:numFmt w:val="bullet"/>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1)"/>
      <w:numFmt w:val="lowerLetter"/>
      <w:start w:val="1"/>
    </w:lvl>
  </w:abstractNum>
  <w:abstractNum w:abstractNumId="25">
    <w:nsid w:val="32FFF902"/>
    <w:multiLevelType w:val="hybridMultilevel"/>
    <w:lvl w:ilvl="0">
      <w:lvlJc w:val="left"/>
      <w:lvlText w:val="%1"/>
      <w:numFmt w:val="decimal"/>
      <w:start w:val="1"/>
    </w:lvl>
    <w:lvl w:ilvl="1">
      <w:lvlJc w:val="left"/>
      <w:lvlText w:val="(%2)"/>
      <w:numFmt w:val="lowerLetter"/>
      <w:start w:val="4"/>
    </w:lvl>
  </w:abstractNum>
  <w:abstractNum w:abstractNumId="26">
    <w:nsid w:val="684A481A"/>
    <w:multiLevelType w:val="hybridMultilevel"/>
    <w:lvl w:ilvl="0">
      <w:lvlJc w:val="left"/>
      <w:lvlText w:val="%1."/>
      <w:numFmt w:val="decimal"/>
      <w:start w:val="2"/>
    </w:lvl>
    <w:lvl w:ilvl="1">
      <w:lvlJc w:val="left"/>
      <w:lvlText w:val="(%2)"/>
      <w:numFmt w:val="lowerLetter"/>
      <w:start w:val="1"/>
    </w:lvl>
  </w:abstractNum>
  <w:abstractNum w:abstractNumId="27">
    <w:nsid w:val="579478FE"/>
    <w:multiLevelType w:val="hybridMultilevel"/>
    <w:lvl w:ilvl="0">
      <w:lvlJc w:val="left"/>
      <w:lvlText w:val="(%1)"/>
      <w:numFmt w:val="lowerLetter"/>
      <w:start w:val="3"/>
    </w:lvl>
  </w:abstractNum>
  <w:abstractNum w:abstractNumId="28">
    <w:nsid w:val="749ABB43"/>
    <w:multiLevelType w:val="hybridMultilevel"/>
    <w:lvl w:ilvl="0">
      <w:lvlJc w:val="left"/>
      <w:lvlText w:val="(%1)"/>
      <w:numFmt w:val="lowerLetter"/>
      <w:start w:val="4"/>
    </w:lvl>
  </w:abstractNum>
  <w:abstractNum w:abstractNumId="29">
    <w:nsid w:val="3DC240FB"/>
    <w:multiLevelType w:val="hybridMultilevel"/>
    <w:lvl w:ilvl="0">
      <w:lvlJc w:val="left"/>
      <w:lvlText w:val="%1."/>
      <w:numFmt w:val="decimal"/>
      <w:start w:val="3"/>
    </w:lvl>
    <w:lvl w:ilvl="1">
      <w:lvlJc w:val="left"/>
      <w:lvlText w:val="(%2)"/>
      <w:numFmt w:val="lowerLetter"/>
      <w:start w:val="1"/>
    </w:lvl>
  </w:abstractNum>
  <w:abstractNum w:abstractNumId="30">
    <w:nsid w:val="1BA026FA"/>
    <w:multiLevelType w:val="hybridMultilevel"/>
    <w:lvl w:ilvl="0">
      <w:lvlJc w:val="left"/>
      <w:lvlText w:val="(%1)"/>
      <w:numFmt w:val="lowerLetter"/>
      <w:start w:val="2"/>
    </w:lvl>
  </w:abstractNum>
  <w:abstractNum w:abstractNumId="31">
    <w:nsid w:val="79A1DEAA"/>
    <w:multiLevelType w:val="hybridMultilevel"/>
    <w:lvl w:ilvl="0">
      <w:lvlJc w:val="left"/>
      <w:lvlText w:val="(%1)"/>
      <w:numFmt w:val="decimal"/>
      <w:start w:val="2"/>
    </w:lvl>
  </w:abstractNum>
  <w:abstractNum w:abstractNumId="32">
    <w:nsid w:val="75C6C33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3">
    <w:nsid w:val="12E685F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3"/>
    </w:lvl>
  </w:abstractNum>
  <w:abstractNum w:abstractNumId="34">
    <w:nsid w:val="70C6A529"/>
    <w:multiLevelType w:val="hybridMultilevel"/>
    <w:lvl w:ilvl="0">
      <w:lvlJc w:val="left"/>
      <w:lvlText w:val="%1."/>
      <w:numFmt w:val="decimal"/>
      <w:start w:val="5"/>
    </w:lvl>
  </w:abstractNum>
  <w:abstractNum w:abstractNumId="35">
    <w:nsid w:val="520EEDD1"/>
    <w:multiLevelType w:val="hybridMultilevel"/>
    <w:lvl w:ilvl="0">
      <w:lvlJc w:val="left"/>
      <w:lvlText w:val="(%1)"/>
      <w:numFmt w:val="lowerLetter"/>
      <w:start w:val="1"/>
    </w:lvl>
  </w:abstractNum>
  <w:abstractNum w:abstractNumId="36">
    <w:nsid w:val="374A3FE6"/>
    <w:multiLevelType w:val="hybridMultilevel"/>
    <w:lvl w:ilvl="0">
      <w:lvlJc w:val="left"/>
      <w:lvlText w:val="(%1)"/>
      <w:numFmt w:val="upperLetter"/>
      <w:start w:val="1"/>
    </w:lvl>
  </w:abstractNum>
  <w:abstractNum w:abstractNumId="37">
    <w:nsid w:val="4F4EF005"/>
    <w:multiLevelType w:val="hybridMultilevel"/>
    <w:lvl w:ilvl="0">
      <w:lvlJc w:val="left"/>
      <w:lvlText w:val="%1"/>
      <w:numFmt w:val="upperLetter"/>
      <w:start w:val="1"/>
    </w:lvl>
    <w:lvl w:ilvl="1">
      <w:lvlJc w:val="left"/>
      <w:lvlText w:val="(%2)"/>
      <w:numFmt w:val="lowerLetter"/>
      <w:start w:val="4"/>
    </w:lvl>
  </w:abstractNum>
  <w:abstractNum w:abstractNumId="38">
    <w:nsid w:val="23F9C13C"/>
    <w:multiLevelType w:val="hybridMultilevel"/>
    <w:lvl w:ilvl="0">
      <w:lvlJc w:val="left"/>
      <w:lvlText w:val="(%1)"/>
      <w:numFmt w:val="upperLetter"/>
      <w:start w:val="1"/>
    </w:lvl>
    <w:lvl w:ilvl="1">
      <w:lvlJc w:val="left"/>
      <w:lvlText w:val="(%2)"/>
      <w:numFmt w:val="lowerLetter"/>
      <w:start w:val="5"/>
    </w:lvl>
  </w:abstractNum>
  <w:abstractNum w:abstractNumId="39">
    <w:nsid w:val="649BB77C"/>
    <w:multiLevelType w:val="hybridMultilevel"/>
    <w:lvl w:ilvl="0">
      <w:lvlJc w:val="left"/>
      <w:lvlText w:val="(%1)"/>
      <w:numFmt w:val="lowerLetter"/>
      <w:start w:val="6"/>
    </w:lvl>
  </w:abstractNum>
  <w:abstractNum w:abstractNumId="40">
    <w:nsid w:val="275AC794"/>
    <w:multiLevelType w:val="hybridMultilevel"/>
    <w:lvl w:ilvl="0">
      <w:lvlJc w:val="left"/>
      <w:lvlText w:val="(%1)"/>
      <w:numFmt w:val="lowerLetter"/>
      <w:start w:val="9"/>
    </w:lvl>
  </w:abstractNum>
  <w:abstractNum w:abstractNumId="41">
    <w:nsid w:val="39386575"/>
    <w:multiLevelType w:val="hybridMultilevel"/>
    <w:lvl w:ilvl="0">
      <w:lvlJc w:val="left"/>
      <w:lvlText w:val="%1"/>
      <w:numFmt w:val="decimal"/>
      <w:start w:val="1"/>
    </w:lvl>
    <w:lvl w:ilvl="1">
      <w:lvlJc w:val="left"/>
      <w:lvlText w:val="(%2)"/>
      <w:numFmt w:val="lowerLetter"/>
      <w:start w:val="13"/>
    </w:lvl>
  </w:abstractNum>
  <w:abstractNum w:abstractNumId="42">
    <w:nsid w:val="1CF10FD8"/>
    <w:multiLevelType w:val="hybridMultilevel"/>
    <w:lvl w:ilvl="0">
      <w:lvlJc w:val="left"/>
      <w:lvlText w:val="%1."/>
      <w:numFmt w:val="decimal"/>
      <w:start w:val="6"/>
    </w:lvl>
    <w:lvl w:ilvl="1">
      <w:lvlJc w:val="left"/>
      <w:lvlText w:val="(%2)"/>
      <w:numFmt w:val="lowerLetter"/>
      <w:start w:val="1"/>
    </w:lvl>
  </w:abstractNum>
  <w:abstractNum w:abstractNumId="43">
    <w:nsid w:val="180115BE"/>
    <w:multiLevelType w:val="hybridMultilevel"/>
    <w:lvl w:ilvl="0">
      <w:lvlJc w:val="left"/>
      <w:lvlText w:val="(%1)"/>
      <w:numFmt w:val="lowerLetter"/>
      <w:start w:val="2"/>
    </w:lvl>
  </w:abstractNum>
  <w:abstractNum w:abstractNumId="44">
    <w:nsid w:val="235BA861"/>
    <w:multiLevelType w:val="hybridMultilevel"/>
    <w:lvl w:ilvl="0">
      <w:lvlJc w:val="left"/>
      <w:lvlText w:val="(%1)"/>
      <w:numFmt w:val="lowerLetter"/>
      <w:start w:val="3"/>
    </w:lvl>
  </w:abstractNum>
  <w:abstractNum w:abstractNumId="45">
    <w:nsid w:val="47398C89"/>
    <w:multiLevelType w:val="hybridMultilevel"/>
    <w:lvl w:ilvl="0">
      <w:lvlJc w:val="left"/>
      <w:lvlText w:val="%1"/>
      <w:numFmt w:val="decimal"/>
      <w:start w:val="1"/>
    </w:lvl>
    <w:lvl w:ilvl="1">
      <w:lvlJc w:val="left"/>
      <w:lvlText w:val="(%2)"/>
      <w:numFmt w:val="lowerLetter"/>
      <w:start w:val="4"/>
    </w:lvl>
  </w:abstractNum>
  <w:abstractNum w:abstractNumId="46">
    <w:nsid w:val="354FE9F9"/>
    <w:multiLevelType w:val="hybridMultilevel"/>
    <w:lvl w:ilvl="0">
      <w:lvlJc w:val="left"/>
      <w:lvlText w:val="%1."/>
      <w:numFmt w:val="decimal"/>
      <w:start w:val="7"/>
    </w:lvl>
    <w:lvl w:ilvl="1">
      <w:lvlJc w:val="left"/>
      <w:lvlText w:val="(%2)"/>
      <w:numFmt w:val="lowerLetter"/>
      <w:start w:val="1"/>
    </w:lvl>
  </w:abstractNum>
  <w:abstractNum w:abstractNumId="47">
    <w:nsid w:val="15B5AF5C"/>
    <w:multiLevelType w:val="hybridMultilevel"/>
    <w:lvl w:ilvl="0">
      <w:lvlJc w:val="left"/>
      <w:lvlText w:val="%1"/>
      <w:numFmt w:val="decimal"/>
      <w:start w:val="1"/>
    </w:lvl>
    <w:lvl w:ilvl="1">
      <w:lvlJc w:val="left"/>
      <w:lvlText w:val="(%2)"/>
      <w:numFmt w:val="lowerLetter"/>
      <w:start w:val="3"/>
    </w:lvl>
  </w:abstractNum>
  <w:abstractNum w:abstractNumId="48">
    <w:nsid w:val="741226BB"/>
    <w:multiLevelType w:val="hybridMultilevel"/>
    <w:lvl w:ilvl="0">
      <w:lvlJc w:val="left"/>
      <w:lvlText w:val="%1."/>
      <w:numFmt w:val="decimal"/>
      <w:start w:val="8"/>
    </w:lvl>
    <w:lvl w:ilvl="1">
      <w:lvlJc w:val="left"/>
      <w:lvlText w:val="(%2)"/>
      <w:numFmt w:val="lowerLetter"/>
      <w:start w:val="1"/>
    </w:lvl>
  </w:abstractNum>
  <w:abstractNum w:abstractNumId="49">
    <w:nsid w:val="D34B6A8"/>
    <w:multiLevelType w:val="hybridMultilevel"/>
    <w:lvl w:ilvl="0">
      <w:lvlJc w:val="left"/>
      <w:lvlText w:val="%1"/>
      <w:numFmt w:val="lowerLetter"/>
      <w:start w:val="1"/>
    </w:lvl>
    <w:lvl w:ilvl="1">
      <w:lvlJc w:val="left"/>
      <w:lvlText w:val="(%2)"/>
      <w:numFmt w:val="lowerLetter"/>
      <w:start w:val="6"/>
    </w:lvl>
  </w:abstractNum>
  <w:abstractNum w:abstractNumId="50">
    <w:nsid w:val="10233C99"/>
    <w:multiLevelType w:val="hybridMultilevel"/>
    <w:lvl w:ilvl="0">
      <w:lvlJc w:val="left"/>
      <w:lvlText w:val="(%1)"/>
      <w:numFmt w:val="lowerLetter"/>
      <w:start w:val="35"/>
    </w:lvl>
    <w:lvl w:ilvl="1">
      <w:lvlJc w:val="left"/>
      <w:lvlText w:val="(%2)"/>
      <w:numFmt w:val="lowerLetter"/>
      <w:start w:val="8"/>
    </w:lvl>
  </w:abstractNum>
  <w:abstractNum w:abstractNumId="51">
    <w:nsid w:val="3F6AB60F"/>
    <w:multiLevelType w:val="hybridMultilevel"/>
    <w:lvl w:ilvl="0">
      <w:lvlJc w:val="left"/>
      <w:lvlText w:val="(%1)"/>
      <w:numFmt w:val="lowerLetter"/>
      <w:start w:val="9"/>
    </w:lvl>
  </w:abstractNum>
  <w:abstractNum w:abstractNumId="52">
    <w:nsid w:val="61574095"/>
    <w:multiLevelType w:val="hybridMultilevel"/>
    <w:lvl w:ilvl="0">
      <w:lvlJc w:val="left"/>
      <w:lvlText w:val="%1."/>
      <w:numFmt w:val="decimal"/>
      <w:start w:val="9"/>
    </w:lvl>
    <w:lvl w:ilvl="1">
      <w:lvlJc w:val="left"/>
      <w:lvlText w:val="(%2)"/>
      <w:numFmt w:val="lowerLetter"/>
      <w:start w:val="1"/>
    </w:lvl>
  </w:abstractNum>
  <w:abstractNum w:abstractNumId="53">
    <w:nsid w:val="7E0C57B1"/>
    <w:multiLevelType w:val="hybridMultilevel"/>
    <w:lvl w:ilvl="0">
      <w:lvlJc w:val="left"/>
      <w:lvlText w:val="%1"/>
      <w:numFmt w:val="decimal"/>
      <w:start w:val="1"/>
    </w:lvl>
    <w:lvl w:ilvl="1">
      <w:lvlJc w:val="left"/>
      <w:lvlText w:val="(%2)"/>
      <w:numFmt w:val="lowerLetter"/>
      <w:start w:val="4"/>
    </w:lvl>
  </w:abstractNum>
  <w:abstractNum w:abstractNumId="54">
    <w:nsid w:val="77AE35EB"/>
    <w:multiLevelType w:val="hybridMultilevel"/>
    <w:lvl w:ilvl="0">
      <w:lvlJc w:val="left"/>
      <w:lvlText w:val="%1."/>
      <w:numFmt w:val="decimal"/>
      <w:start w:val="10"/>
    </w:lvl>
    <w:lvl w:ilvl="1">
      <w:lvlJc w:val="left"/>
      <w:lvlText w:val="(%2)"/>
      <w:numFmt w:val="lowerLetter"/>
      <w:start w:val="1"/>
    </w:lvl>
  </w:abstractNum>
  <w:abstractNum w:abstractNumId="55">
    <w:nsid w:val="579BE4F1"/>
    <w:multiLevelType w:val="hybridMultilevel"/>
    <w:lvl w:ilvl="0">
      <w:lvlJc w:val="left"/>
      <w:lvlText w:val="%1."/>
      <w:numFmt w:val="decimal"/>
      <w:start w:val="13"/>
    </w:lvl>
    <w:lvl w:ilvl="1">
      <w:lvlJc w:val="left"/>
      <w:lvlText w:val="(%2)"/>
      <w:numFmt w:val="lowerLetter"/>
      <w:start w:val="1"/>
    </w:lvl>
  </w:abstractNum>
  <w:abstractNum w:abstractNumId="56">
    <w:nsid w:val="310C50B3"/>
    <w:multiLevelType w:val="hybridMultilevel"/>
    <w:lvl w:ilvl="0">
      <w:lvlJc w:val="left"/>
      <w:lvlText w:val="(%1)"/>
      <w:numFmt w:val="upperLetter"/>
      <w:start w:val="2"/>
    </w:lvl>
  </w:abstractNum>
  <w:abstractNum w:abstractNumId="57">
    <w:nsid w:val="5FF87E05"/>
    <w:multiLevelType w:val="hybridMultilevel"/>
    <w:lvl w:ilvl="0">
      <w:lvlJc w:val="left"/>
      <w:lvlText w:val="(%1)"/>
      <w:numFmt w:val="lowerLetter"/>
      <w:start w:val="61"/>
    </w:lvl>
    <w:lvl w:ilvl="1">
      <w:lvlJc w:val="left"/>
      <w:lvlText w:val="(%2)"/>
      <w:numFmt w:val="lowerLetter"/>
      <w:start w:val="35"/>
    </w:lvl>
  </w:abstractNum>
  <w:abstractNum w:abstractNumId="58">
    <w:nsid w:val="2F305DEF"/>
    <w:multiLevelType w:val="hybridMultilevel"/>
    <w:lvl w:ilvl="0">
      <w:lvlJc w:val="left"/>
      <w:lvlText w:val="(%1)"/>
      <w:numFmt w:val="lowerLetter"/>
      <w:start w:val="42"/>
    </w:lvl>
  </w:abstractNum>
  <w:abstractNum w:abstractNumId="59">
    <w:nsid w:val="25A70BF7"/>
    <w:multiLevelType w:val="hybridMultilevel"/>
    <w:lvl w:ilvl="0">
      <w:lvlJc w:val="left"/>
      <w:lvlText w:val="%1."/>
      <w:numFmt w:val="decimal"/>
      <w:start w:val="1"/>
    </w:lvl>
  </w:abstractNum>
  <w:abstractNum w:abstractNumId="60">
    <w:nsid w:val="1DBABF00"/>
    <w:multiLevelType w:val="hybridMultilevel"/>
    <w:lvl w:ilvl="0">
      <w:lvlJc w:val="left"/>
      <w:lvlText w:val="(%1)"/>
      <w:numFmt w:val="lowerLetter"/>
      <w:start w:val="1"/>
    </w:lvl>
  </w:abstractNum>
  <w:abstractNum w:abstractNumId="61">
    <w:nsid w:val="4AD084E9"/>
    <w:multiLevelType w:val="hybridMultilevel"/>
    <w:lvl w:ilvl="0">
      <w:lvlJc w:val="left"/>
      <w:lvlText w:val="%1."/>
      <w:numFmt w:val="decimal"/>
      <w:start w:val="5"/>
    </w:lvl>
  </w:abstractNum>
  <w:abstractNum w:abstractNumId="62">
    <w:nsid w:val="1F48EAA1"/>
    <w:multiLevelType w:val="hybridMultilevel"/>
    <w:lvl w:ilvl="0">
      <w:lvlJc w:val="left"/>
      <w:lvlText w:val="(%1)"/>
      <w:numFmt w:val="lowerLetter"/>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lowerLetter"/>
      <w:start w:val="1"/>
    </w:lvl>
  </w:abstractNum>
  <w:abstractNum w:abstractNumId="65">
    <w:nsid w:val="100F8FCA"/>
    <w:multiLevelType w:val="hybridMultilevel"/>
    <w:lvl w:ilvl="0">
      <w:lvlJc w:val="left"/>
      <w:lvlText w:val="%1."/>
      <w:numFmt w:val="decimal"/>
      <w:start w:val="5"/>
    </w:lvl>
  </w:abstractNum>
  <w:abstractNum w:abstractNumId="66">
    <w:nsid w:val="6590700B"/>
    <w:multiLevelType w:val="hybridMultilevel"/>
    <w:lvl w:ilvl="0">
      <w:lvlJc w:val="left"/>
      <w:lvlText w:val="(%1)"/>
      <w:numFmt w:val="lowerLetter"/>
      <w:start w:val="1"/>
    </w:lvl>
  </w:abstractNum>
  <w:abstractNum w:abstractNumId="67">
    <w:nsid w:val="15014ACB"/>
    <w:multiLevelType w:val="hybridMultilevel"/>
    <w:lvl w:ilvl="0">
      <w:lvlJc w:val="left"/>
      <w:lvlText w:val="%1."/>
      <w:numFmt w:val="decimal"/>
      <w:start w:val="1"/>
    </w:lvl>
  </w:abstractNum>
  <w:abstractNum w:abstractNumId="68">
    <w:nsid w:val="5F5E7FD0"/>
    <w:multiLevelType w:val="hybridMultilevel"/>
    <w:lvl w:ilvl="0">
      <w:lvlJc w:val="left"/>
      <w:lvlText w:val="1"/>
      <w:numFmt w:val="bullet"/>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86" Type="http://schemas.openxmlformats.org/officeDocument/2006/relationships/hyperlink" Target="http://www.sec.gov/Archives/edgar/data/899460/000119312516676980/d225552dex31.htm" TargetMode="External"/><Relationship Id="rId87" Type="http://schemas.openxmlformats.org/officeDocument/2006/relationships/hyperlink" Target="http://www.sec.gov/Archives/edgar/data/899460/000119312517066630/d313758dex31.htm" TargetMode="External"/><Relationship Id="rId88" Type="http://schemas.openxmlformats.org/officeDocument/2006/relationships/hyperlink" Target="http://www.sec.gov/Archives/edgar/data/899460/000119312517368329/d511527dex31.htm" TargetMode="External"/><Relationship Id="rId89" Type="http://schemas.openxmlformats.org/officeDocument/2006/relationships/hyperlink" Target="http://www.sec.gov/Archives/edgar/data/899460/000119312520153051/d936164dex32.htm" TargetMode="External"/><Relationship Id="rId90" Type="http://schemas.openxmlformats.org/officeDocument/2006/relationships/hyperlink" Target="http://www.sec.gov/Archives/edgar/data/899460/000119312520153051/d936164dex31.htm" TargetMode="External"/><Relationship Id="rId91" Type="http://schemas.openxmlformats.org/officeDocument/2006/relationships/hyperlink" Target="http://www.sec.gov/Archives/edgar/data/899460/000119312517085519/d305327dex42.htm" TargetMode="External"/><Relationship Id="rId92" Type="http://schemas.openxmlformats.org/officeDocument/2006/relationships/hyperlink" Target="http://www.sec.gov/Archives/edgar/data/899460/000119312513279522/d562665dex993.htm" TargetMode="External"/><Relationship Id="rId93" Type="http://schemas.openxmlformats.org/officeDocument/2006/relationships/hyperlink" Target="http://www.sec.gov/Archives/edgar/data/899460/000119312516505366/d107849dex417.htm" TargetMode="External"/><Relationship Id="rId94" Type="http://schemas.openxmlformats.org/officeDocument/2006/relationships/hyperlink" Target="http://www.sec.gov/Archives/edgar/data/899460/000119312518354835/d668953dex41.htm" TargetMode="External"/><Relationship Id="rId95" Type="http://schemas.openxmlformats.org/officeDocument/2006/relationships/hyperlink" Target="http://www.sec.gov/Archives/edgar/data/899460/000119312519321379/d839460dex41.htm" TargetMode="External"/><Relationship Id="rId96" Type="http://schemas.openxmlformats.org/officeDocument/2006/relationships/hyperlink" Target="http://www.sec.gov/Archives/edgar/data/899460/000119312519215305/d757696dex41.htm" TargetMode="External"/><Relationship Id="rId97" Type="http://schemas.openxmlformats.org/officeDocument/2006/relationships/hyperlink" Target="http://www.sec.gov/Archives/edgar/data/899460/000119312519215305/d757696dex43.htm" TargetMode="External"/><Relationship Id="rId98" Type="http://schemas.openxmlformats.org/officeDocument/2006/relationships/hyperlink" Target="http://www.sec.gov/Archives/edgar/data/899460/000119312519215305/d757696dex44.htm" TargetMode="External"/><Relationship Id="rId99" Type="http://schemas.openxmlformats.org/officeDocument/2006/relationships/hyperlink" Target="http://www.sec.gov/Archives/edgar/data/899460/000119312519215305/d757696dex45.htm" TargetMode="External"/><Relationship Id="rId100" Type="http://schemas.openxmlformats.org/officeDocument/2006/relationships/hyperlink" Target="http://www.sec.gov/Archives/edgar/data/899460/000119312519215305/d757696dex46.htm" TargetMode="External"/><Relationship Id="rId101" Type="http://schemas.openxmlformats.org/officeDocument/2006/relationships/hyperlink" Target="http://www.sec.gov/Archives/edgar/data/899460/000119312519215305/d757696dex47.htm" TargetMode="External"/><Relationship Id="rId102" Type="http://schemas.openxmlformats.org/officeDocument/2006/relationships/hyperlink" Target="http://www.sec.gov/Archives/edgar/data/899460/000119312520107670/d895756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2020-08-05T15:43:24Z</dcterms:created>
  <dcterms:modified xsi:type="dcterms:W3CDTF">2020-08-05T15:43:24Z</dcterms:modified>
</cp:coreProperties>
</file>